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396875</wp:posOffset>
            </wp:positionH>
            <wp:positionV relativeFrom="page">
              <wp:posOffset>629285</wp:posOffset>
            </wp:positionV>
            <wp:extent cx="6755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586105</wp:posOffset>
            </wp:positionV>
            <wp:extent cx="67551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1714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ind w:right="-111"/>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2425700</wp:posOffset>
            </wp:positionH>
            <wp:positionV relativeFrom="paragraph">
              <wp:posOffset>86360</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51" w:lineRule="exact"/>
        <w:rPr>
          <w:sz w:val="24"/>
          <w:szCs w:val="24"/>
          <w:color w:val="auto"/>
        </w:rPr>
      </w:pPr>
    </w:p>
    <w:p>
      <w:pPr>
        <w:jc w:val="center"/>
        <w:ind w:right="68"/>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2425700</wp:posOffset>
            </wp:positionH>
            <wp:positionV relativeFrom="paragraph">
              <wp:posOffset>59055</wp:posOffset>
            </wp:positionV>
            <wp:extent cx="2280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60" w:lineRule="exact"/>
        <w:rPr>
          <w:sz w:val="24"/>
          <w:szCs w:val="24"/>
          <w:color w:val="auto"/>
        </w:rPr>
      </w:pPr>
    </w:p>
    <w:p>
      <w:pPr>
        <w:ind w:left="632" w:hanging="614"/>
        <w:spacing w:after="0"/>
        <w:tabs>
          <w:tab w:leader="none" w:pos="632"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80" w:lineRule="exact"/>
        <w:rPr>
          <w:sz w:val="24"/>
          <w:szCs w:val="24"/>
          <w:color w:val="auto"/>
        </w:rPr>
      </w:pPr>
    </w:p>
    <w:p>
      <w:pPr>
        <w:ind w:left="452"/>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88" w:lineRule="exact"/>
        <w:rPr>
          <w:sz w:val="24"/>
          <w:szCs w:val="24"/>
          <w:color w:val="auto"/>
        </w:rPr>
      </w:pPr>
    </w:p>
    <w:p>
      <w:pPr>
        <w:ind w:left="632" w:hanging="614"/>
        <w:spacing w:after="0"/>
        <w:tabs>
          <w:tab w:leader="none" w:pos="632"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4" w:lineRule="exact"/>
        <w:rPr>
          <w:sz w:val="24"/>
          <w:szCs w:val="24"/>
          <w:color w:val="auto"/>
        </w:rPr>
      </w:pPr>
    </w:p>
    <w:p>
      <w:pPr>
        <w:ind w:left="452"/>
        <w:spacing w:after="0"/>
        <w:tabs>
          <w:tab w:leader="none" w:pos="4352"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17" w:lineRule="exact"/>
        <w:rPr>
          <w:sz w:val="24"/>
          <w:szCs w:val="24"/>
          <w:color w:val="auto"/>
        </w:rPr>
      </w:pPr>
    </w:p>
    <w:p>
      <w:pPr>
        <w:jc w:val="center"/>
        <w:ind w:right="-111"/>
        <w:spacing w:after="0"/>
        <w:rPr>
          <w:sz w:val="20"/>
          <w:szCs w:val="20"/>
          <w:color w:val="auto"/>
        </w:rPr>
      </w:pPr>
      <w:r>
        <w:rPr>
          <w:rFonts w:ascii="Arial" w:cs="Arial" w:eastAsia="Arial" w:hAnsi="Arial"/>
          <w:sz w:val="18"/>
          <w:szCs w:val="18"/>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103505</wp:posOffset>
            </wp:positionV>
            <wp:extent cx="3420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8" w:lineRule="exact"/>
        <w:rPr>
          <w:sz w:val="24"/>
          <w:szCs w:val="24"/>
          <w:color w:val="auto"/>
        </w:rPr>
      </w:pPr>
    </w:p>
    <w:p>
      <w:pPr>
        <w:jc w:val="center"/>
        <w:ind w:right="-111"/>
        <w:spacing w:after="0"/>
        <w:rPr>
          <w:sz w:val="20"/>
          <w:szCs w:val="20"/>
          <w:color w:val="auto"/>
        </w:rPr>
      </w:pPr>
      <w:r>
        <w:rPr>
          <w:rFonts w:ascii="Arial" w:cs="Arial" w:eastAsia="Arial" w:hAnsi="Arial"/>
          <w:sz w:val="23"/>
          <w:szCs w:val="23"/>
          <w:b w:val="1"/>
          <w:bCs w:val="1"/>
          <w:color w:val="auto"/>
        </w:rPr>
        <w:t>American Airlines Group Inc.</w:t>
      </w:r>
    </w:p>
    <w:p>
      <w:pPr>
        <w:spacing w:after="0" w:line="60" w:lineRule="exact"/>
        <w:rPr>
          <w:sz w:val="24"/>
          <w:szCs w:val="24"/>
          <w:color w:val="auto"/>
        </w:rPr>
      </w:pPr>
    </w:p>
    <w:p>
      <w:pPr>
        <w:jc w:val="center"/>
        <w:ind w:right="-111"/>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52070</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ectPr>
          <w:pgSz w:w="11900" w:h="16838" w:orient="portrait"/>
          <w:cols w:equalWidth="0" w:num="1">
            <w:col w:w="11132"/>
          </w:cols>
          <w:pgMar w:left="328" w:top="1078" w:right="439" w:bottom="1440" w:gutter="0" w:footer="0" w:header="0"/>
        </w:sectPr>
      </w:pPr>
    </w:p>
    <w:p>
      <w:pPr>
        <w:spacing w:after="0" w:line="320" w:lineRule="exact"/>
        <w:rPr>
          <w:sz w:val="24"/>
          <w:szCs w:val="24"/>
          <w:color w:val="auto"/>
        </w:rPr>
      </w:pPr>
    </w:p>
    <w:p>
      <w:pPr>
        <w:ind w:left="2352"/>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412"/>
        <w:spacing w:after="0"/>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6" w:lineRule="exact"/>
        <w:rPr>
          <w:sz w:val="24"/>
          <w:szCs w:val="24"/>
          <w:color w:val="auto"/>
        </w:rPr>
      </w:pPr>
    </w:p>
    <w:p>
      <w:pPr>
        <w:ind w:left="832"/>
        <w:spacing w:after="0"/>
        <w:tabs>
          <w:tab w:leader="none" w:pos="2412" w:val="left"/>
          <w:tab w:leader="none" w:pos="3692" w:val="left"/>
          <w:tab w:leader="none" w:pos="4372" w:val="left"/>
        </w:tabs>
        <w:rPr>
          <w:sz w:val="20"/>
          <w:szCs w:val="20"/>
          <w:color w:val="auto"/>
        </w:rPr>
      </w:pPr>
      <w:r>
        <w:rPr>
          <w:rFonts w:ascii="Arial" w:cs="Arial" w:eastAsia="Arial" w:hAnsi="Arial"/>
          <w:sz w:val="18"/>
          <w:szCs w:val="18"/>
          <w:b w:val="1"/>
          <w:bCs w:val="1"/>
          <w:color w:val="auto"/>
        </w:rPr>
        <w:t>1 Skyview Drive,</w:t>
        <w:tab/>
        <w:t>Fort Worth,</w:t>
      </w:r>
      <w:r>
        <w:rPr>
          <w:sz w:val="20"/>
          <w:szCs w:val="20"/>
          <w:color w:val="auto"/>
        </w:rPr>
        <w:tab/>
      </w:r>
      <w:r>
        <w:rPr>
          <w:rFonts w:ascii="Arial" w:cs="Arial" w:eastAsia="Arial" w:hAnsi="Arial"/>
          <w:sz w:val="18"/>
          <w:szCs w:val="18"/>
          <w:b w:val="1"/>
          <w:bCs w:val="1"/>
          <w:color w:val="auto"/>
        </w:rPr>
        <w:t>Texas</w:t>
      </w:r>
      <w:r>
        <w:rPr>
          <w:sz w:val="20"/>
          <w:szCs w:val="20"/>
          <w:color w:val="auto"/>
        </w:rPr>
        <w:tab/>
      </w:r>
      <w:r>
        <w:rPr>
          <w:rFonts w:ascii="Arial" w:cs="Arial" w:eastAsia="Arial" w:hAnsi="Arial"/>
          <w:sz w:val="17"/>
          <w:szCs w:val="17"/>
          <w:b w:val="1"/>
          <w:bCs w:val="1"/>
          <w:color w:val="auto"/>
        </w:rPr>
        <w:t>76155</w:t>
      </w:r>
    </w:p>
    <w:p>
      <w:pPr>
        <w:spacing w:after="0" w:line="31" w:lineRule="exact"/>
        <w:rPr>
          <w:sz w:val="24"/>
          <w:szCs w:val="24"/>
          <w:color w:val="auto"/>
        </w:rPr>
      </w:pPr>
    </w:p>
    <w:p>
      <w:pPr>
        <w:ind w:left="432"/>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75-1825172</w:t>
      </w:r>
    </w:p>
    <w:p>
      <w:pPr>
        <w:spacing w:after="0" w:line="40" w:lineRule="exact"/>
        <w:rPr>
          <w:sz w:val="24"/>
          <w:szCs w:val="24"/>
          <w:color w:val="auto"/>
        </w:rPr>
      </w:pPr>
    </w:p>
    <w:p>
      <w:pPr>
        <w:jc w:val="center"/>
        <w:ind w:right="500"/>
        <w:spacing w:after="0"/>
        <w:rPr>
          <w:sz w:val="20"/>
          <w:szCs w:val="20"/>
          <w:color w:val="auto"/>
        </w:rPr>
      </w:pPr>
      <w:r>
        <w:rPr>
          <w:rFonts w:ascii="Arial" w:cs="Arial" w:eastAsia="Arial" w:hAnsi="Arial"/>
          <w:sz w:val="18"/>
          <w:szCs w:val="18"/>
          <w:i w:val="1"/>
          <w:iCs w:val="1"/>
          <w:color w:val="auto"/>
        </w:rPr>
        <w:t>(I.R.S. Employer Identification No.)</w:t>
      </w:r>
    </w:p>
    <w:p>
      <w:pPr>
        <w:spacing w:after="0" w:line="1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(682) 278-9000</w:t>
      </w:r>
    </w:p>
    <w:p>
      <w:pPr>
        <w:spacing w:after="0" w:line="31" w:lineRule="exact"/>
        <w:rPr>
          <w:sz w:val="24"/>
          <w:szCs w:val="24"/>
          <w:color w:val="auto"/>
        </w:rPr>
      </w:pPr>
    </w:p>
    <w:p>
      <w:pPr>
        <w:jc w:val="center"/>
        <w:ind w:right="500"/>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11" w:lineRule="exact"/>
        <w:rPr>
          <w:sz w:val="24"/>
          <w:szCs w:val="24"/>
          <w:color w:val="auto"/>
        </w:rPr>
      </w:pPr>
    </w:p>
    <w:p>
      <w:pPr>
        <w:sectPr>
          <w:pgSz w:w="11900" w:h="16838" w:orient="portrait"/>
          <w:cols w:equalWidth="0" w:num="2">
            <w:col w:w="5812" w:space="720"/>
            <w:col w:w="4600"/>
          </w:cols>
          <w:pgMar w:left="328" w:top="1078" w:right="439" w:bottom="1440" w:gutter="0" w:footer="0" w:header="0"/>
          <w:type w:val="continuous"/>
        </w:sectPr>
      </w:pPr>
    </w:p>
    <w:p>
      <w:pPr>
        <w:spacing w:after="0" w:line="332" w:lineRule="exact"/>
        <w:rPr>
          <w:sz w:val="24"/>
          <w:szCs w:val="24"/>
          <w:color w:val="auto"/>
        </w:rPr>
      </w:pPr>
    </w:p>
    <w:p>
      <w:pPr>
        <w:jc w:val="center"/>
        <w:ind w:right="-91"/>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12" w:type="dxa"/>
        <w:tblCellMar>
          <w:top w:w="0" w:type="dxa"/>
          <w:left w:w="0" w:type="dxa"/>
          <w:bottom w:w="0" w:type="dxa"/>
          <w:right w:w="0" w:type="dxa"/>
        </w:tblCellMar>
      </w:tblPr>
      <w:tr>
        <w:trPr>
          <w:trHeight w:val="235"/>
        </w:trPr>
        <w:tc>
          <w:tcPr>
            <w:tcW w:w="4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Title of each class</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Common Stock, $0.01 par value per share</w:t>
            </w:r>
          </w:p>
        </w:tc>
        <w:tc>
          <w:tcPr>
            <w:tcW w:w="200" w:type="dxa"/>
            <w:vAlign w:val="bottom"/>
          </w:tcPr>
          <w:p>
            <w:pPr>
              <w:spacing w:after="0"/>
              <w:rPr>
                <w:sz w:val="15"/>
                <w:szCs w:val="15"/>
                <w:color w:val="auto"/>
              </w:rPr>
            </w:pPr>
          </w:p>
        </w:tc>
        <w:tc>
          <w:tcPr>
            <w:tcW w:w="22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AAL</w:t>
            </w:r>
          </w:p>
        </w:tc>
        <w:tc>
          <w:tcPr>
            <w:tcW w:w="200" w:type="dxa"/>
            <w:vAlign w:val="bottom"/>
          </w:tcPr>
          <w:p>
            <w:pPr>
              <w:spacing w:after="0"/>
              <w:rPr>
                <w:sz w:val="15"/>
                <w:szCs w:val="15"/>
                <w:color w:val="auto"/>
              </w:rPr>
            </w:pPr>
          </w:p>
        </w:tc>
        <w:tc>
          <w:tcPr>
            <w:tcW w:w="39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r>
        <w:trPr>
          <w:trHeight w:val="160"/>
        </w:trPr>
        <w:tc>
          <w:tcPr>
            <w:tcW w:w="47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Preferred Stock Purchase Rights</w:t>
            </w:r>
          </w:p>
        </w:tc>
        <w:tc>
          <w:tcPr>
            <w:tcW w:w="2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32"/>
        </w:trPr>
        <w:tc>
          <w:tcPr>
            <w:tcW w:w="4700" w:type="dxa"/>
            <w:vAlign w:val="bottom"/>
            <w:gridSpan w:val="2"/>
            <w:vMerge w:val="continue"/>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ind w:left="152" w:hanging="152"/>
        <w:spacing w:after="0"/>
        <w:tabs>
          <w:tab w:leader="none" w:pos="152"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Attached to the Common Stock</w:t>
      </w:r>
    </w:p>
    <w:p>
      <w:pPr>
        <w:spacing w:after="0" w:line="61" w:lineRule="exact"/>
        <w:rPr>
          <w:sz w:val="24"/>
          <w:szCs w:val="24"/>
          <w:color w:val="auto"/>
        </w:rPr>
      </w:pPr>
    </w:p>
    <w:p>
      <w:pPr>
        <w:jc w:val="center"/>
        <w:ind w:right="-91"/>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27" w:lineRule="exact"/>
        <w:rPr>
          <w:sz w:val="24"/>
          <w:szCs w:val="24"/>
          <w:color w:val="auto"/>
        </w:rPr>
      </w:pPr>
    </w:p>
    <w:p>
      <w:pPr>
        <w:jc w:val="center"/>
        <w:ind w:right="-91"/>
        <w:spacing w:after="0"/>
        <w:rPr>
          <w:sz w:val="20"/>
          <w:szCs w:val="20"/>
          <w:color w:val="auto"/>
        </w:rPr>
      </w:pPr>
      <w:r>
        <w:rPr>
          <w:rFonts w:ascii="Arial" w:cs="Arial" w:eastAsia="Arial" w:hAnsi="Arial"/>
          <w:sz w:val="16"/>
          <w:szCs w:val="16"/>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97790</wp:posOffset>
            </wp:positionV>
            <wp:extent cx="3420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9" w:lineRule="exact"/>
        <w:rPr>
          <w:sz w:val="24"/>
          <w:szCs w:val="24"/>
          <w:color w:val="auto"/>
        </w:rPr>
      </w:pPr>
    </w:p>
    <w:p>
      <w:pPr>
        <w:jc w:val="center"/>
        <w:ind w:right="-91"/>
        <w:spacing w:after="0"/>
        <w:rPr>
          <w:sz w:val="20"/>
          <w:szCs w:val="20"/>
          <w:color w:val="auto"/>
        </w:rPr>
      </w:pPr>
      <w:r>
        <w:rPr>
          <w:rFonts w:ascii="Arial" w:cs="Arial" w:eastAsia="Arial" w:hAnsi="Arial"/>
          <w:sz w:val="23"/>
          <w:szCs w:val="23"/>
          <w:b w:val="1"/>
          <w:bCs w:val="1"/>
          <w:color w:val="auto"/>
        </w:rPr>
        <w:t>American Airlines, Inc.</w:t>
      </w:r>
    </w:p>
    <w:p>
      <w:pPr>
        <w:spacing w:after="0" w:line="60" w:lineRule="exact"/>
        <w:rPr>
          <w:sz w:val="24"/>
          <w:szCs w:val="24"/>
          <w:color w:val="auto"/>
        </w:rPr>
      </w:pPr>
    </w:p>
    <w:p>
      <w:pPr>
        <w:jc w:val="center"/>
        <w:ind w:right="-91"/>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52070</wp:posOffset>
            </wp:positionV>
            <wp:extent cx="3420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ectPr>
          <w:pgSz w:w="11900" w:h="16838" w:orient="portrait"/>
          <w:cols w:equalWidth="0" w:num="1">
            <w:col w:w="11132"/>
          </w:cols>
          <w:pgMar w:left="328" w:top="1078" w:right="439" w:bottom="1440" w:gutter="0" w:footer="0" w:header="0"/>
          <w:type w:val="continuous"/>
        </w:sectPr>
      </w:pPr>
    </w:p>
    <w:p>
      <w:pPr>
        <w:spacing w:after="0" w:line="320" w:lineRule="exact"/>
        <w:rPr>
          <w:sz w:val="24"/>
          <w:szCs w:val="24"/>
          <w:color w:val="auto"/>
        </w:rPr>
      </w:pPr>
    </w:p>
    <w:p>
      <w:pPr>
        <w:ind w:left="2492"/>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572"/>
        <w:spacing w:after="0"/>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6" w:lineRule="exact"/>
        <w:rPr>
          <w:sz w:val="24"/>
          <w:szCs w:val="24"/>
          <w:color w:val="auto"/>
        </w:rPr>
      </w:pPr>
    </w:p>
    <w:p>
      <w:pPr>
        <w:ind w:left="972"/>
        <w:spacing w:after="0"/>
        <w:tabs>
          <w:tab w:leader="none" w:pos="2552" w:val="left"/>
          <w:tab w:leader="none" w:pos="3852" w:val="left"/>
          <w:tab w:leader="none" w:pos="4532" w:val="left"/>
        </w:tabs>
        <w:rPr>
          <w:sz w:val="20"/>
          <w:szCs w:val="20"/>
          <w:color w:val="auto"/>
        </w:rPr>
      </w:pPr>
      <w:r>
        <w:rPr>
          <w:rFonts w:ascii="Arial" w:cs="Arial" w:eastAsia="Arial" w:hAnsi="Arial"/>
          <w:sz w:val="18"/>
          <w:szCs w:val="18"/>
          <w:b w:val="1"/>
          <w:bCs w:val="1"/>
          <w:color w:val="auto"/>
        </w:rPr>
        <w:t>1 Skyview Drive,</w:t>
        <w:tab/>
        <w:t>Fort Worth,</w:t>
      </w:r>
      <w:r>
        <w:rPr>
          <w:sz w:val="20"/>
          <w:szCs w:val="20"/>
          <w:color w:val="auto"/>
        </w:rPr>
        <w:tab/>
      </w:r>
      <w:r>
        <w:rPr>
          <w:rFonts w:ascii="Arial" w:cs="Arial" w:eastAsia="Arial" w:hAnsi="Arial"/>
          <w:sz w:val="18"/>
          <w:szCs w:val="18"/>
          <w:b w:val="1"/>
          <w:bCs w:val="1"/>
          <w:color w:val="auto"/>
        </w:rPr>
        <w:t>Texas</w:t>
      </w:r>
      <w:r>
        <w:rPr>
          <w:sz w:val="20"/>
          <w:szCs w:val="20"/>
          <w:color w:val="auto"/>
        </w:rPr>
        <w:tab/>
      </w:r>
      <w:r>
        <w:rPr>
          <w:rFonts w:ascii="Arial" w:cs="Arial" w:eastAsia="Arial" w:hAnsi="Arial"/>
          <w:sz w:val="17"/>
          <w:szCs w:val="17"/>
          <w:b w:val="1"/>
          <w:bCs w:val="1"/>
          <w:color w:val="auto"/>
        </w:rPr>
        <w:t>76155</w:t>
      </w:r>
    </w:p>
    <w:p>
      <w:pPr>
        <w:spacing w:after="0" w:line="31" w:lineRule="exact"/>
        <w:rPr>
          <w:sz w:val="24"/>
          <w:szCs w:val="24"/>
          <w:color w:val="auto"/>
        </w:rPr>
      </w:pPr>
    </w:p>
    <w:p>
      <w:pPr>
        <w:ind w:left="592"/>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13-1502798</w:t>
      </w:r>
    </w:p>
    <w:p>
      <w:pPr>
        <w:spacing w:after="0" w:line="40"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(I.R.S. Employer Identification No.)</w:t>
      </w:r>
    </w:p>
    <w:p>
      <w:pPr>
        <w:spacing w:after="0" w:line="15"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(682) 278-9000</w:t>
      </w:r>
    </w:p>
    <w:p>
      <w:pPr>
        <w:spacing w:after="0" w:line="31"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111" w:lineRule="exact"/>
        <w:rPr>
          <w:sz w:val="24"/>
          <w:szCs w:val="24"/>
          <w:color w:val="auto"/>
        </w:rPr>
      </w:pPr>
    </w:p>
    <w:p>
      <w:pPr>
        <w:sectPr>
          <w:pgSz w:w="11900" w:h="16838" w:orient="portrait"/>
          <w:cols w:equalWidth="0" w:num="2">
            <w:col w:w="5972" w:space="720"/>
            <w:col w:w="4440"/>
          </w:cols>
          <w:pgMar w:left="328" w:top="1078" w:right="439" w:bottom="1440" w:gutter="0" w:footer="0" w:header="0"/>
          <w:type w:val="continuous"/>
        </w:sectPr>
      </w:pPr>
    </w:p>
    <w:p>
      <w:pPr>
        <w:ind w:left="2892"/>
        <w:spacing w:after="0"/>
        <w:rPr>
          <w:sz w:val="20"/>
          <w:szCs w:val="20"/>
          <w:color w:val="auto"/>
        </w:rPr>
      </w:pPr>
      <w:r>
        <w:rPr>
          <w:rFonts w:ascii="Arial" w:cs="Arial" w:eastAsia="Arial" w:hAnsi="Arial"/>
          <w:sz w:val="17"/>
          <w:szCs w:val="17"/>
          <w:b w:val="1"/>
          <w:bCs w:val="1"/>
          <w:color w:val="auto"/>
        </w:rPr>
        <w:t>Securities registered pursuant to Section 12(b) of the Act: None</w:t>
      </w:r>
    </w:p>
    <w:p>
      <w:pPr>
        <w:spacing w:after="0" w:line="102" w:lineRule="exact"/>
        <w:rPr>
          <w:sz w:val="24"/>
          <w:szCs w:val="24"/>
          <w:color w:val="auto"/>
        </w:rPr>
      </w:pPr>
    </w:p>
    <w:p>
      <w:pPr>
        <w:ind w:left="2892"/>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41" w:lineRule="exact"/>
        <w:rPr>
          <w:sz w:val="24"/>
          <w:szCs w:val="24"/>
          <w:color w:val="auto"/>
        </w:rPr>
      </w:pPr>
    </w:p>
    <w:p>
      <w:pPr>
        <w:ind w:left="3272"/>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608965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078" w:right="439" w:bottom="144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ectPr>
          <w:pgSz w:w="11900" w:h="16838" w:orient="portrait"/>
          <w:cols w:equalWidth="0" w:num="1">
            <w:col w:w="11240"/>
          </w:cols>
          <w:pgMar w:left="320" w:top="890" w:right="339" w:bottom="1440" w:gutter="0" w:footer="0" w:header="0"/>
        </w:sectPr>
      </w:pPr>
    </w:p>
    <w:p>
      <w:pPr>
        <w:spacing w:after="0" w:line="169" w:lineRule="exact"/>
        <w:rPr>
          <w:sz w:val="20"/>
          <w:szCs w:val="20"/>
          <w:color w:val="auto"/>
        </w:rPr>
      </w:pPr>
    </w:p>
    <w:p>
      <w:pPr>
        <w:ind w:left="20"/>
        <w:spacing w:after="0"/>
        <w:tabs>
          <w:tab w:leader="none" w:pos="930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5"/>
          <w:szCs w:val="15"/>
          <w:color w:val="auto"/>
        </w:rPr>
        <w:t>Yes</w:t>
      </w:r>
    </w:p>
    <w:p>
      <w:pPr>
        <w:spacing w:after="0" w:line="32" w:lineRule="exact"/>
        <w:rPr>
          <w:sz w:val="20"/>
          <w:szCs w:val="20"/>
          <w:color w:val="auto"/>
        </w:rPr>
      </w:pPr>
    </w:p>
    <w:p>
      <w:pPr>
        <w:ind w:left="20"/>
        <w:spacing w:after="0"/>
        <w:tabs>
          <w:tab w:leader="none" w:pos="930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5"/>
          <w:szCs w:val="15"/>
          <w:color w:val="auto"/>
        </w:rPr>
        <w:t>Yes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860" w:hanging="860"/>
        <w:spacing w:after="0" w:line="207" w:lineRule="exact"/>
        <w:tabs>
          <w:tab w:leader="none" w:pos="8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64" w:lineRule="exact"/>
        <w:rPr>
          <w:rFonts w:ascii="MS PGothic" w:cs="MS PGothic" w:eastAsia="MS PGothic" w:hAnsi="MS PGothic"/>
          <w:sz w:val="18"/>
          <w:szCs w:val="18"/>
          <w:color w:val="auto"/>
        </w:rPr>
      </w:pPr>
    </w:p>
    <w:p>
      <w:pPr>
        <w:ind w:left="860" w:hanging="860"/>
        <w:spacing w:after="0" w:line="207" w:lineRule="exact"/>
        <w:tabs>
          <w:tab w:leader="none" w:pos="8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439" w:lineRule="exact"/>
        <w:rPr>
          <w:sz w:val="20"/>
          <w:szCs w:val="20"/>
          <w:color w:val="auto"/>
        </w:rPr>
      </w:pPr>
    </w:p>
    <w:p>
      <w:pPr>
        <w:sectPr>
          <w:pgSz w:w="11900" w:h="16838" w:orient="portrait"/>
          <w:cols w:equalWidth="0" w:num="2">
            <w:col w:w="9580" w:space="220"/>
            <w:col w:w="1440"/>
          </w:cols>
          <w:pgMar w:left="320" w:top="890" w:right="339" w:bottom="1440" w:gutter="0" w:footer="0" w:header="0"/>
          <w:type w:val="continuous"/>
        </w:sectPr>
      </w:pPr>
    </w:p>
    <w:p>
      <w:pPr>
        <w:ind w:left="20"/>
        <w:spacing w:after="0" w:line="207" w:lineRule="exact"/>
        <w:tabs>
          <w:tab w:leader="none" w:pos="9300" w:val="left"/>
          <w:tab w:leader="none" w:pos="9780" w:val="left"/>
          <w:tab w:leader="none" w:pos="1068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65" w:lineRule="exact"/>
        <w:rPr>
          <w:sz w:val="20"/>
          <w:szCs w:val="20"/>
          <w:color w:val="auto"/>
        </w:rPr>
      </w:pPr>
    </w:p>
    <w:p>
      <w:pPr>
        <w:ind w:left="20"/>
        <w:spacing w:after="0" w:line="207" w:lineRule="exact"/>
        <w:tabs>
          <w:tab w:leader="none" w:pos="9300" w:val="left"/>
          <w:tab w:leader="none" w:pos="9780" w:val="left"/>
          <w:tab w:leader="none" w:pos="1068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5"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65"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5"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65"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90" w:right="339" w:bottom="1440" w:gutter="0" w:footer="0" w:header="0"/>
          <w:type w:val="continuous"/>
        </w:sectPr>
      </w:pPr>
    </w:p>
    <w:p>
      <w:pPr>
        <w:spacing w:after="0" w:line="1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0"/>
          <w:szCs w:val="20"/>
          <w:color w:val="auto"/>
        </w:rPr>
      </w:pPr>
      <w:r>
        <w:rPr>
          <w:sz w:val="20"/>
          <w:szCs w:val="20"/>
          <w:color w:val="auto"/>
        </w:rPr>
        <w:br w:type="column"/>
      </w:r>
    </w:p>
    <w:p>
      <w:pPr>
        <w:spacing w:after="0" w:line="348" w:lineRule="exact"/>
        <w:tabs>
          <w:tab w:leader="none" w:pos="260" w:val="left"/>
          <w:tab w:leader="none" w:pos="18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1"/>
          <w:szCs w:val="31"/>
          <w:color w:val="auto"/>
          <w:vertAlign w:val="subscript"/>
        </w:rPr>
        <w:t xml:space="preserve">☐ </w:t>
      </w:r>
      <w:r>
        <w:rPr>
          <w:rFonts w:ascii="Arial" w:cs="Arial" w:eastAsia="Arial" w:hAnsi="Arial"/>
          <w:sz w:val="11"/>
          <w:szCs w:val="11"/>
          <w:color w:val="auto"/>
        </w:rPr>
        <w:t>Accelerated filer</w:t>
      </w:r>
      <w:r>
        <w:rPr>
          <w:rFonts w:ascii="MS PGothic" w:cs="MS PGothic" w:eastAsia="MS PGothic" w:hAnsi="MS PGothic"/>
          <w:sz w:val="31"/>
          <w:szCs w:val="31"/>
          <w:color w:val="auto"/>
        </w:rPr>
        <w:t xml:space="preserve">    </w:t>
      </w:r>
      <w:r>
        <w:rPr>
          <w:rFonts w:ascii="MS PGothic" w:cs="MS PGothic" w:eastAsia="MS PGothic" w:hAnsi="MS PGothic"/>
          <w:sz w:val="31"/>
          <w:szCs w:val="31"/>
          <w:color w:val="auto"/>
          <w:vertAlign w:val="subscript"/>
        </w:rPr>
        <w:t>☐</w:t>
      </w:r>
      <w:r>
        <w:rPr>
          <w:rFonts w:ascii="MS PGothic" w:cs="MS PGothic" w:eastAsia="MS PGothic" w:hAnsi="MS PGothic"/>
          <w:sz w:val="31"/>
          <w:szCs w:val="31"/>
          <w:color w:val="auto"/>
        </w:rPr>
        <w:t xml:space="preserve"> </w:t>
      </w:r>
      <w:r>
        <w:rPr>
          <w:rFonts w:ascii="Arial" w:cs="Arial" w:eastAsia="Arial" w:hAnsi="Arial"/>
          <w:sz w:val="11"/>
          <w:szCs w:val="11"/>
          <w:color w:val="auto"/>
        </w:rPr>
        <w:t>Non-accelerated filer</w:t>
      </w:r>
      <w:r>
        <w:rPr>
          <w:rFonts w:ascii="MS PGothic" w:cs="MS PGothic" w:eastAsia="MS PGothic" w:hAnsi="MS PGothic"/>
          <w:sz w:val="31"/>
          <w:szCs w:val="31"/>
          <w:color w:val="auto"/>
        </w:rPr>
        <w:t xml:space="preserve">     </w:t>
      </w:r>
      <w:r>
        <w:rPr>
          <w:rFonts w:ascii="MS PGothic" w:cs="MS PGothic" w:eastAsia="MS PGothic" w:hAnsi="MS PGothic"/>
          <w:sz w:val="31"/>
          <w:szCs w:val="31"/>
          <w:color w:val="auto"/>
          <w:vertAlign w:val="subscript"/>
        </w:rPr>
        <w:t>☐</w:t>
      </w:r>
      <w:r>
        <w:rPr>
          <w:rFonts w:ascii="MS PGothic" w:cs="MS PGothic" w:eastAsia="MS PGothic" w:hAnsi="MS PGothic"/>
          <w:sz w:val="31"/>
          <w:szCs w:val="31"/>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31"/>
          <w:szCs w:val="31"/>
          <w:color w:val="auto"/>
        </w:rPr>
        <w:t xml:space="preserve">      </w:t>
      </w:r>
      <w:r>
        <w:rPr>
          <w:rFonts w:ascii="MS PGothic" w:cs="MS PGothic" w:eastAsia="MS PGothic" w:hAnsi="MS PGothic"/>
          <w:sz w:val="31"/>
          <w:szCs w:val="31"/>
          <w:color w:val="auto"/>
          <w:vertAlign w:val="subscript"/>
        </w:rPr>
        <w:t>☐</w:t>
      </w:r>
      <w:r>
        <w:rPr>
          <w:rFonts w:ascii="MS PGothic" w:cs="MS PGothic" w:eastAsia="MS PGothic" w:hAnsi="MS PGothic"/>
          <w:sz w:val="31"/>
          <w:szCs w:val="31"/>
          <w:color w:val="auto"/>
        </w:rPr>
        <w:t xml:space="preserve"> </w:t>
      </w:r>
      <w:r>
        <w:rPr>
          <w:rFonts w:ascii="Arial" w:cs="Arial" w:eastAsia="Arial" w:hAnsi="Arial"/>
          <w:sz w:val="11"/>
          <w:szCs w:val="11"/>
          <w:color w:val="auto"/>
        </w:rPr>
        <w:t>Emerging growth company</w:t>
      </w:r>
    </w:p>
    <w:p>
      <w:pPr>
        <w:spacing w:after="0" w:line="243" w:lineRule="exact"/>
        <w:tabs>
          <w:tab w:leader="none" w:pos="260" w:val="left"/>
          <w:tab w:leader="none" w:pos="186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0"/>
          <w:szCs w:val="30"/>
          <w:color w:val="auto"/>
          <w:vertAlign w:val="subscript"/>
        </w:rPr>
        <w:t xml:space="preserve">☐ </w:t>
      </w:r>
      <w:r>
        <w:rPr>
          <w:rFonts w:ascii="Arial" w:cs="Arial" w:eastAsia="Arial" w:hAnsi="Arial"/>
          <w:sz w:val="11"/>
          <w:szCs w:val="11"/>
          <w:color w:val="auto"/>
        </w:rPr>
        <w:t>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Non-accelerated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Emerging growth company</w:t>
      </w:r>
    </w:p>
    <w:p>
      <w:pPr>
        <w:spacing w:after="0" w:line="70" w:lineRule="exact"/>
        <w:rPr>
          <w:sz w:val="20"/>
          <w:szCs w:val="20"/>
          <w:color w:val="auto"/>
        </w:rPr>
      </w:pPr>
    </w:p>
    <w:p>
      <w:pPr>
        <w:sectPr>
          <w:pgSz w:w="11900" w:h="16838" w:orient="portrait"/>
          <w:cols w:equalWidth="0" w:num="2">
            <w:col w:w="1620" w:space="320"/>
            <w:col w:w="9300"/>
          </w:cols>
          <w:pgMar w:left="320" w:top="890" w:right="339" w:bottom="1440" w:gutter="0" w:footer="0" w:header="0"/>
          <w:type w:val="continuous"/>
        </w:sectPr>
      </w:pPr>
    </w:p>
    <w:p>
      <w:pPr>
        <w:jc w:val="both"/>
        <w:ind w:firstLine="121"/>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7" w:lineRule="exact"/>
        <w:rPr>
          <w:sz w:val="20"/>
          <w:szCs w:val="20"/>
          <w:color w:val="auto"/>
        </w:rPr>
      </w:pPr>
    </w:p>
    <w:p>
      <w:pPr>
        <w:ind w:left="20"/>
        <w:spacing w:after="0" w:line="207" w:lineRule="exact"/>
        <w:tabs>
          <w:tab w:leader="none" w:pos="972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65" w:lineRule="exact"/>
        <w:rPr>
          <w:sz w:val="20"/>
          <w:szCs w:val="20"/>
          <w:color w:val="auto"/>
        </w:rPr>
      </w:pPr>
    </w:p>
    <w:p>
      <w:pPr>
        <w:ind w:left="20"/>
        <w:spacing w:after="0" w:line="207" w:lineRule="exact"/>
        <w:tabs>
          <w:tab w:leader="none" w:pos="972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American Airlines Group Inc.</w:t>
            </w:r>
          </w:p>
        </w:tc>
        <w:tc>
          <w:tcPr>
            <w:tcW w:w="900" w:type="dxa"/>
            <w:vAlign w:val="bottom"/>
          </w:tcPr>
          <w:p>
            <w:pPr>
              <w:ind w:left="520"/>
              <w:spacing w:after="0"/>
              <w:rPr>
                <w:sz w:val="20"/>
                <w:szCs w:val="20"/>
                <w:color w:val="auto"/>
              </w:rPr>
            </w:pPr>
            <w:r>
              <w:rPr>
                <w:rFonts w:ascii="Arial" w:cs="Arial" w:eastAsia="Arial" w:hAnsi="Arial"/>
                <w:sz w:val="16"/>
                <w:szCs w:val="16"/>
                <w:color w:val="auto"/>
              </w:rPr>
              <w:t>Yes</w:t>
            </w:r>
          </w:p>
        </w:tc>
        <w:tc>
          <w:tcPr>
            <w:tcW w:w="6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8780" w:type="dxa"/>
            <w:vAlign w:val="bottom"/>
          </w:tcPr>
          <w:p>
            <w:pPr>
              <w:spacing w:after="0"/>
              <w:rPr>
                <w:sz w:val="20"/>
                <w:szCs w:val="20"/>
                <w:color w:val="auto"/>
              </w:rPr>
            </w:pPr>
            <w:r>
              <w:rPr>
                <w:rFonts w:ascii="Arial" w:cs="Arial" w:eastAsia="Arial" w:hAnsi="Arial"/>
                <w:sz w:val="18"/>
                <w:szCs w:val="18"/>
                <w:color w:val="auto"/>
              </w:rPr>
              <w:t>American Airlines, Inc.</w:t>
            </w:r>
          </w:p>
        </w:tc>
        <w:tc>
          <w:tcPr>
            <w:tcW w:w="900" w:type="dxa"/>
            <w:vAlign w:val="bottom"/>
          </w:tcPr>
          <w:p>
            <w:pPr>
              <w:ind w:left="520"/>
              <w:spacing w:after="0"/>
              <w:rPr>
                <w:sz w:val="20"/>
                <w:szCs w:val="20"/>
                <w:color w:val="auto"/>
              </w:rPr>
            </w:pPr>
            <w:r>
              <w:rPr>
                <w:rFonts w:ascii="Arial" w:cs="Arial" w:eastAsia="Arial" w:hAnsi="Arial"/>
                <w:sz w:val="16"/>
                <w:szCs w:val="16"/>
                <w:color w:val="auto"/>
              </w:rPr>
              <w:t>Yes</w:t>
            </w:r>
          </w:p>
        </w:tc>
        <w:tc>
          <w:tcPr>
            <w:tcW w:w="6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8"/>
        </w:trPr>
        <w:tc>
          <w:tcPr>
            <w:tcW w:w="8780" w:type="dxa"/>
            <w:vAlign w:val="bottom"/>
          </w:tcPr>
          <w:p>
            <w:pPr>
              <w:ind w:left="1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7"/>
        </w:trPr>
        <w:tc>
          <w:tcPr>
            <w:tcW w:w="8780" w:type="dxa"/>
            <w:vAlign w:val="bottom"/>
          </w:tcPr>
          <w:p>
            <w:pPr>
              <w:spacing w:after="0"/>
              <w:rPr>
                <w:sz w:val="20"/>
                <w:szCs w:val="20"/>
                <w:color w:val="auto"/>
              </w:rPr>
            </w:pPr>
            <w:r>
              <w:rPr>
                <w:rFonts w:ascii="Arial" w:cs="Arial" w:eastAsia="Arial" w:hAnsi="Arial"/>
                <w:sz w:val="18"/>
                <w:szCs w:val="18"/>
                <w:color w:val="auto"/>
              </w:rPr>
              <w:t>American Airlines Group Inc.</w:t>
            </w:r>
          </w:p>
        </w:tc>
        <w:tc>
          <w:tcPr>
            <w:tcW w:w="900" w:type="dxa"/>
            <w:vAlign w:val="bottom"/>
          </w:tcPr>
          <w:p>
            <w:pPr>
              <w:ind w:left="520"/>
              <w:spacing w:after="0"/>
              <w:rPr>
                <w:sz w:val="20"/>
                <w:szCs w:val="20"/>
                <w:color w:val="auto"/>
              </w:rPr>
            </w:pPr>
            <w:r>
              <w:rPr>
                <w:rFonts w:ascii="Arial" w:cs="Arial" w:eastAsia="Arial" w:hAnsi="Arial"/>
                <w:sz w:val="18"/>
                <w:szCs w:val="18"/>
                <w:color w:val="auto"/>
              </w:rPr>
              <w:t>Yes</w:t>
            </w:r>
          </w:p>
        </w:tc>
        <w:tc>
          <w:tcPr>
            <w:tcW w:w="62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8780" w:type="dxa"/>
            <w:vAlign w:val="bottom"/>
          </w:tcPr>
          <w:p>
            <w:pPr>
              <w:spacing w:after="0"/>
              <w:rPr>
                <w:sz w:val="20"/>
                <w:szCs w:val="20"/>
                <w:color w:val="auto"/>
              </w:rPr>
            </w:pPr>
            <w:r>
              <w:rPr>
                <w:rFonts w:ascii="Arial" w:cs="Arial" w:eastAsia="Arial" w:hAnsi="Arial"/>
                <w:sz w:val="18"/>
                <w:szCs w:val="18"/>
                <w:color w:val="auto"/>
              </w:rPr>
              <w:t>American Airlines, Inc.</w:t>
            </w:r>
          </w:p>
        </w:tc>
        <w:tc>
          <w:tcPr>
            <w:tcW w:w="900" w:type="dxa"/>
            <w:vAlign w:val="bottom"/>
          </w:tcPr>
          <w:p>
            <w:pPr>
              <w:ind w:left="520"/>
              <w:spacing w:after="0"/>
              <w:rPr>
                <w:sz w:val="20"/>
                <w:szCs w:val="20"/>
                <w:color w:val="auto"/>
              </w:rPr>
            </w:pPr>
            <w:r>
              <w:rPr>
                <w:rFonts w:ascii="Arial" w:cs="Arial" w:eastAsia="Arial" w:hAnsi="Arial"/>
                <w:sz w:val="18"/>
                <w:szCs w:val="18"/>
                <w:color w:val="auto"/>
              </w:rPr>
              <w:t>Yes</w:t>
            </w:r>
          </w:p>
        </w:tc>
        <w:tc>
          <w:tcPr>
            <w:tcW w:w="62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9" w:lineRule="exact"/>
        <w:rPr>
          <w:sz w:val="20"/>
          <w:szCs w:val="20"/>
          <w:color w:val="auto"/>
        </w:rPr>
      </w:pPr>
    </w:p>
    <w:p>
      <w:pPr>
        <w:jc w:val="both"/>
        <w:ind w:firstLine="121"/>
        <w:spacing w:after="0" w:line="287" w:lineRule="auto"/>
        <w:rPr>
          <w:sz w:val="20"/>
          <w:szCs w:val="20"/>
          <w:color w:val="auto"/>
        </w:rPr>
      </w:pPr>
      <w:r>
        <w:rPr>
          <w:rFonts w:ascii="Arial" w:cs="Arial" w:eastAsia="Arial" w:hAnsi="Arial"/>
          <w:sz w:val="18"/>
          <w:szCs w:val="18"/>
          <w:color w:val="auto"/>
        </w:rPr>
        <w:t>As of February 17, 2023, there were 651,430,518 shares of American Airlines Group Inc. common stock outstanding. The aggregate market value of the voting stock held by non-affiliates of the registrant as of June 30, 2022, was approximately $8.2 billion.</w:t>
      </w:r>
    </w:p>
    <w:p>
      <w:pPr>
        <w:spacing w:after="0" w:line="45" w:lineRule="exact"/>
        <w:rPr>
          <w:sz w:val="20"/>
          <w:szCs w:val="20"/>
          <w:color w:val="auto"/>
        </w:rPr>
      </w:pPr>
    </w:p>
    <w:p>
      <w:pPr>
        <w:jc w:val="both"/>
        <w:ind w:right="20" w:firstLine="121"/>
        <w:spacing w:after="0" w:line="287" w:lineRule="auto"/>
        <w:rPr>
          <w:sz w:val="20"/>
          <w:szCs w:val="20"/>
          <w:color w:val="auto"/>
        </w:rPr>
      </w:pPr>
      <w:r>
        <w:rPr>
          <w:rFonts w:ascii="Arial" w:cs="Arial" w:eastAsia="Arial" w:hAnsi="Arial"/>
          <w:sz w:val="18"/>
          <w:szCs w:val="18"/>
          <w:color w:val="auto"/>
        </w:rPr>
        <w:t>As of February 17, 2023, there were 1,000 shares of American Airlines, Inc. common stock outstanding, all of which were held by American Airlines Group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OMISSION OF CERTAIN INFORMATION</w:t>
      </w:r>
    </w:p>
    <w:p>
      <w:pPr>
        <w:spacing w:after="0" w:line="40" w:lineRule="exact"/>
        <w:rPr>
          <w:sz w:val="20"/>
          <w:szCs w:val="20"/>
          <w:color w:val="auto"/>
        </w:rPr>
      </w:pPr>
    </w:p>
    <w:p>
      <w:pPr>
        <w:jc w:val="both"/>
        <w:ind w:firstLine="121"/>
        <w:spacing w:after="0" w:line="282" w:lineRule="auto"/>
        <w:rPr>
          <w:sz w:val="20"/>
          <w:szCs w:val="20"/>
          <w:color w:val="auto"/>
        </w:rPr>
      </w:pPr>
      <w:r>
        <w:rPr>
          <w:rFonts w:ascii="Arial" w:cs="Arial" w:eastAsia="Arial" w:hAnsi="Arial"/>
          <w:sz w:val="18"/>
          <w:szCs w:val="18"/>
          <w:color w:val="auto"/>
        </w:rPr>
        <w:t>American Airlines, Inc. meets the conditions set forth in General Instruction I(1)(a) and (b) of Form 10-K and has therefore omitted the information otherwise called for by Items 10-13 of Form 10-K as allowed under General Instruction I(2)(c).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0"/>
          <w:szCs w:val="20"/>
          <w:color w:val="auto"/>
        </w:rPr>
      </w:pPr>
    </w:p>
    <w:p>
      <w:pPr>
        <w:jc w:val="both"/>
        <w:ind w:firstLine="121"/>
        <w:spacing w:after="0" w:line="258" w:lineRule="auto"/>
        <w:rPr>
          <w:sz w:val="20"/>
          <w:szCs w:val="20"/>
          <w:color w:val="auto"/>
        </w:rPr>
      </w:pPr>
      <w:r>
        <w:rPr>
          <w:rFonts w:ascii="Arial" w:cs="Arial" w:eastAsia="Arial" w:hAnsi="Arial"/>
          <w:sz w:val="18"/>
          <w:szCs w:val="18"/>
          <w:color w:val="auto"/>
        </w:rPr>
        <w:t>Portions of the proxy statement related to American Airlines Group Inc.’s 2023 Annual Meeting of Stockholders, which proxy statement will be filed under the Securities Exchange Act of 1934 within 120 days of the end of American Airlines Group Inc.’s fiscal year ended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91440</wp:posOffset>
            </wp:positionV>
            <wp:extent cx="67722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65405</wp:posOffset>
            </wp:positionV>
            <wp:extent cx="6772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gridSpan w:val="19"/>
          </w:tcPr>
          <w:p>
            <w:pPr>
              <w:jc w:val="center"/>
              <w:ind w:right="3360"/>
              <w:spacing w:after="0"/>
              <w:rPr>
                <w:sz w:val="20"/>
                <w:szCs w:val="20"/>
                <w:color w:val="auto"/>
              </w:rPr>
            </w:pPr>
            <w:r>
              <w:rPr>
                <w:rFonts w:ascii="Arial" w:cs="Arial" w:eastAsia="Arial" w:hAnsi="Arial"/>
                <w:sz w:val="18"/>
                <w:szCs w:val="18"/>
                <w:b w:val="1"/>
                <w:bCs w:val="1"/>
                <w:color w:val="auto"/>
                <w:w w:val="99"/>
              </w:rPr>
              <w:t>American Airlines Group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18"/>
          </w:tcPr>
          <w:p>
            <w:pPr>
              <w:jc w:val="center"/>
              <w:ind w:right="3660"/>
              <w:spacing w:after="0"/>
              <w:rPr>
                <w:sz w:val="20"/>
                <w:szCs w:val="20"/>
                <w:color w:val="auto"/>
              </w:rPr>
            </w:pPr>
            <w:r>
              <w:rPr>
                <w:rFonts w:ascii="Arial" w:cs="Arial" w:eastAsia="Arial" w:hAnsi="Arial"/>
                <w:sz w:val="18"/>
                <w:szCs w:val="18"/>
                <w:b w:val="1"/>
                <w:bCs w:val="1"/>
                <w:color w:val="auto"/>
                <w:w w:val="99"/>
              </w:rPr>
              <w:t>American Airlines,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18"/>
          </w:tcPr>
          <w:p>
            <w:pPr>
              <w:jc w:val="center"/>
              <w:ind w:right="3680"/>
              <w:spacing w:after="0"/>
              <w:rPr>
                <w:sz w:val="20"/>
                <w:szCs w:val="20"/>
                <w:color w:val="auto"/>
              </w:rPr>
            </w:pPr>
            <w:r>
              <w:rPr>
                <w:rFonts w:ascii="Arial" w:cs="Arial" w:eastAsia="Arial" w:hAnsi="Arial"/>
                <w:sz w:val="18"/>
                <w:szCs w:val="18"/>
                <w:b w:val="1"/>
                <w:bCs w:val="1"/>
                <w:color w:val="auto"/>
                <w:w w:val="98"/>
              </w:rPr>
              <w:t>Form 10-K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gridSpan w:val="19"/>
          </w:tcPr>
          <w:p>
            <w:pPr>
              <w:jc w:val="center"/>
              <w:ind w:right="3360"/>
              <w:spacing w:after="0"/>
              <w:rPr>
                <w:sz w:val="20"/>
                <w:szCs w:val="20"/>
                <w:color w:val="auto"/>
              </w:rPr>
            </w:pPr>
            <w:r>
              <w:rPr>
                <w:rFonts w:ascii="Arial" w:cs="Arial" w:eastAsia="Arial" w:hAnsi="Arial"/>
                <w:sz w:val="18"/>
                <w:szCs w:val="18"/>
                <w:b w:val="1"/>
                <w:bCs w:val="1"/>
                <w:color w:val="auto"/>
                <w:w w:val="99"/>
              </w:rPr>
              <w:t>Year Ended December 31, 2022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60" w:type="dxa"/>
            <w:vAlign w:val="bottom"/>
            <w:gridSpan w:val="18"/>
          </w:tcPr>
          <w:p>
            <w:pPr>
              <w:jc w:val="center"/>
              <w:ind w:right="3720"/>
              <w:spacing w:after="0"/>
              <w:rPr>
                <w:sz w:val="20"/>
                <w:szCs w:val="20"/>
                <w:color w:val="auto"/>
              </w:rPr>
            </w:pPr>
            <w:r>
              <w:rPr>
                <w:rFonts w:ascii="Arial" w:cs="Arial" w:eastAsia="Arial" w:hAnsi="Arial"/>
                <w:sz w:val="18"/>
                <w:szCs w:val="18"/>
                <w:b w:val="1"/>
                <w:bCs w:val="1"/>
                <w:color w:val="auto"/>
                <w:w w:val="99"/>
              </w:rPr>
              <w:t>Table of Contents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16"/>
            <w:vMerge w:val="restart"/>
          </w:tcPr>
          <w:p>
            <w:pPr>
              <w:jc w:val="center"/>
              <w:ind w:right="4400"/>
              <w:spacing w:after="0"/>
              <w:rPr>
                <w:sz w:val="20"/>
                <w:szCs w:val="20"/>
                <w:color w:val="auto"/>
              </w:rPr>
            </w:pPr>
            <w:r>
              <w:rPr>
                <w:rFonts w:ascii="Arial" w:cs="Arial" w:eastAsia="Arial" w:hAnsi="Arial"/>
                <w:sz w:val="18"/>
                <w:szCs w:val="18"/>
                <w:b w:val="1"/>
                <w:bCs w:val="1"/>
                <w:color w:val="0000FF"/>
                <w:w w:val="98"/>
              </w:rPr>
              <w:t>PART I</w:t>
            </w:r>
          </w:p>
        </w:tc>
        <w:tc>
          <w:tcPr>
            <w:tcW w:w="900" w:type="dxa"/>
            <w:vAlign w:val="bottom"/>
            <w:tcBorders>
              <w:bottom w:val="single" w:sz="8" w:color="435363"/>
            </w:tcBorders>
            <w:gridSpan w:val="5"/>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20" w:type="dxa"/>
            <w:vAlign w:val="bottom"/>
            <w:gridSpan w:val="16"/>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gridSpan w:val="17"/>
          </w:tcPr>
          <w:p>
            <w:pPr>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0000FF"/>
            </w:tcBorders>
            <w:gridSpan w:val="3"/>
          </w:tcPr>
          <w:p>
            <w:pPr>
              <w:spacing w:after="0"/>
              <w:rPr>
                <w:sz w:val="18"/>
                <w:szCs w:val="18"/>
                <w:color w:val="auto"/>
              </w:rPr>
            </w:pPr>
          </w:p>
        </w:tc>
        <w:tc>
          <w:tcPr>
            <w:tcW w:w="4420" w:type="dxa"/>
            <w:vAlign w:val="bottom"/>
            <w:gridSpan w:val="12"/>
          </w:tcPr>
          <w:p>
            <w:pPr>
              <w:spacing w:after="0"/>
              <w:rPr>
                <w:sz w:val="18"/>
                <w:szCs w:val="18"/>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5"/>
          </w:tcPr>
          <w:p>
            <w:pPr>
              <w:spacing w:after="0"/>
              <w:rPr>
                <w:sz w:val="20"/>
                <w:szCs w:val="20"/>
                <w:color w:val="auto"/>
              </w:rPr>
            </w:pPr>
            <w:r>
              <w:rPr>
                <w:rFonts w:ascii="Arial" w:cs="Arial" w:eastAsia="Arial" w:hAnsi="Arial"/>
                <w:sz w:val="18"/>
                <w:szCs w:val="18"/>
                <w:color w:val="0000FF"/>
                <w:w w:val="97"/>
              </w:rPr>
              <w:t>Risk Factors</w:t>
            </w:r>
          </w:p>
        </w:tc>
        <w:tc>
          <w:tcPr>
            <w:tcW w:w="8260" w:type="dxa"/>
            <w:vAlign w:val="bottom"/>
            <w:gridSpan w:val="27"/>
          </w:tcPr>
          <w:p>
            <w:pPr>
              <w:spacing w:after="0"/>
              <w:rPr>
                <w:sz w:val="18"/>
                <w:szCs w:val="18"/>
                <w:color w:val="auto"/>
              </w:rPr>
            </w:pPr>
          </w:p>
        </w:tc>
        <w:tc>
          <w:tcPr>
            <w:tcW w:w="68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260" w:type="dxa"/>
            <w:vAlign w:val="bottom"/>
            <w:gridSpan w:val="32"/>
          </w:tcPr>
          <w:p>
            <w:pPr>
              <w:spacing w:after="0"/>
              <w:rPr>
                <w:sz w:val="20"/>
                <w:szCs w:val="20"/>
                <w:color w:val="auto"/>
              </w:rPr>
            </w:pPr>
            <w:r>
              <w:rPr>
                <w:rFonts w:ascii="Arial" w:cs="Arial" w:eastAsia="Arial" w:hAnsi="Arial"/>
                <w:sz w:val="18"/>
                <w:szCs w:val="18"/>
                <w:color w:val="0000FF"/>
              </w:rPr>
              <w:t>Unresolved Staff Comments</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4"/>
          </w:tcPr>
          <w:p>
            <w:pPr>
              <w:spacing w:after="0"/>
              <w:rPr>
                <w:sz w:val="20"/>
                <w:szCs w:val="20"/>
                <w:color w:val="auto"/>
              </w:rPr>
            </w:pPr>
            <w:r>
              <w:rPr>
                <w:rFonts w:ascii="Arial" w:cs="Arial" w:eastAsia="Arial" w:hAnsi="Arial"/>
                <w:sz w:val="18"/>
                <w:szCs w:val="18"/>
                <w:color w:val="0000FF"/>
                <w:w w:val="97"/>
              </w:rPr>
              <w:t>Properties</w:t>
            </w:r>
          </w:p>
        </w:tc>
        <w:tc>
          <w:tcPr>
            <w:tcW w:w="1420" w:type="dxa"/>
            <w:vAlign w:val="bottom"/>
            <w:gridSpan w:val="7"/>
          </w:tcPr>
          <w:p>
            <w:pPr>
              <w:spacing w:after="0"/>
              <w:rPr>
                <w:sz w:val="18"/>
                <w:szCs w:val="18"/>
                <w:color w:val="auto"/>
              </w:rPr>
            </w:pPr>
          </w:p>
        </w:tc>
        <w:tc>
          <w:tcPr>
            <w:tcW w:w="7020" w:type="dxa"/>
            <w:vAlign w:val="bottom"/>
            <w:gridSpan w:val="21"/>
          </w:tcPr>
          <w:p>
            <w:pPr>
              <w:spacing w:after="0"/>
              <w:rPr>
                <w:sz w:val="18"/>
                <w:szCs w:val="18"/>
                <w:color w:val="auto"/>
              </w:rPr>
            </w:pPr>
          </w:p>
        </w:tc>
        <w:tc>
          <w:tcPr>
            <w:tcW w:w="68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32"/>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480"/>
        </w:trPr>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w w:val="96"/>
              </w:rPr>
              <w:t>PART II</w:t>
            </w:r>
          </w:p>
        </w:tc>
        <w:tc>
          <w:tcPr>
            <w:tcW w:w="440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32"/>
          </w:tcPr>
          <w:p>
            <w:pPr>
              <w:spacing w:after="0"/>
              <w:rPr>
                <w:sz w:val="20"/>
                <w:szCs w:val="20"/>
                <w:color w:val="auto"/>
              </w:rPr>
            </w:pPr>
            <w:r>
              <w:rPr>
                <w:rFonts w:ascii="Arial" w:cs="Arial" w:eastAsia="Arial" w:hAnsi="Arial"/>
                <w:sz w:val="18"/>
                <w:szCs w:val="18"/>
                <w:color w:val="0000FF"/>
              </w:rPr>
              <w:t>Market for American Airlines Group’s Common Stock, Related Stockholder Matters and Issuer Purchases of Equity</w:t>
            </w:r>
          </w:p>
        </w:tc>
        <w:tc>
          <w:tcPr>
            <w:tcW w:w="680" w:type="dxa"/>
            <w:vAlign w:val="bottom"/>
            <w:gridSpan w:val="2"/>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4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Securities</w:t>
            </w:r>
          </w:p>
        </w:tc>
        <w:tc>
          <w:tcPr>
            <w:tcW w:w="7720" w:type="dxa"/>
            <w:vAlign w:val="bottom"/>
            <w:tcBorders>
              <w:top w:val="single" w:sz="8" w:color="0000FF"/>
            </w:tcBorders>
            <w:gridSpan w:val="25"/>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300" w:type="dxa"/>
            <w:vAlign w:val="bottom"/>
            <w:gridSpan w:val="5"/>
            <w:shd w:val="clear" w:color="auto" w:fill="0000FF"/>
          </w:tcPr>
          <w:p>
            <w:pPr>
              <w:spacing w:after="0"/>
              <w:rPr>
                <w:sz w:val="2"/>
                <w:szCs w:val="2"/>
                <w:color w:val="auto"/>
              </w:rPr>
            </w:pPr>
          </w:p>
        </w:tc>
        <w:tc>
          <w:tcPr>
            <w:tcW w:w="2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3000" w:type="dxa"/>
            <w:vAlign w:val="bottom"/>
            <w:gridSpan w:val="12"/>
          </w:tcPr>
          <w:p>
            <w:pPr>
              <w:spacing w:after="0"/>
              <w:rPr>
                <w:sz w:val="20"/>
                <w:szCs w:val="20"/>
                <w:color w:val="auto"/>
              </w:rPr>
            </w:pPr>
            <w:r>
              <w:rPr>
                <w:rFonts w:ascii="Arial" w:cs="Arial" w:eastAsia="Arial" w:hAnsi="Arial"/>
                <w:sz w:val="18"/>
                <w:szCs w:val="18"/>
                <w:color w:val="0000FF"/>
                <w:w w:val="99"/>
              </w:rPr>
              <w:t>Selected Consolidated Financial Data</w:t>
            </w:r>
          </w:p>
        </w:tc>
        <w:tc>
          <w:tcPr>
            <w:tcW w:w="6260" w:type="dxa"/>
            <w:vAlign w:val="bottom"/>
            <w:gridSpan w:val="20"/>
          </w:tcPr>
          <w:p>
            <w:pPr>
              <w:spacing w:after="0"/>
              <w:rPr>
                <w:sz w:val="18"/>
                <w:szCs w:val="18"/>
                <w:color w:val="auto"/>
              </w:rPr>
            </w:pPr>
          </w:p>
        </w:tc>
        <w:tc>
          <w:tcPr>
            <w:tcW w:w="68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2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80" w:type="dxa"/>
            <w:vAlign w:val="bottom"/>
            <w:gridSpan w:val="5"/>
          </w:tcPr>
          <w:p>
            <w:pPr>
              <w:spacing w:after="0"/>
              <w:rPr>
                <w:sz w:val="18"/>
                <w:szCs w:val="18"/>
                <w:color w:val="auto"/>
              </w:rPr>
            </w:pPr>
          </w:p>
        </w:tc>
        <w:tc>
          <w:tcPr>
            <w:tcW w:w="68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2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180" w:type="dxa"/>
            <w:vAlign w:val="bottom"/>
            <w:gridSpan w:val="5"/>
          </w:tcPr>
          <w:p>
            <w:pPr>
              <w:spacing w:after="0"/>
              <w:rPr>
                <w:sz w:val="18"/>
                <w:szCs w:val="18"/>
                <w:color w:val="auto"/>
              </w:rPr>
            </w:pPr>
          </w:p>
        </w:tc>
        <w:tc>
          <w:tcPr>
            <w:tcW w:w="68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8A.</w:t>
            </w:r>
          </w:p>
        </w:tc>
        <w:tc>
          <w:tcPr>
            <w:tcW w:w="7360" w:type="dxa"/>
            <w:vAlign w:val="bottom"/>
            <w:gridSpan w:val="29"/>
          </w:tcPr>
          <w:p>
            <w:pPr>
              <w:spacing w:after="0"/>
              <w:rPr>
                <w:sz w:val="20"/>
                <w:szCs w:val="20"/>
                <w:color w:val="auto"/>
              </w:rPr>
            </w:pPr>
            <w:r>
              <w:rPr>
                <w:rFonts w:ascii="Arial" w:cs="Arial" w:eastAsia="Arial" w:hAnsi="Arial"/>
                <w:sz w:val="18"/>
                <w:szCs w:val="18"/>
                <w:color w:val="0000FF"/>
                <w:w w:val="99"/>
              </w:rPr>
              <w:t>Consolidated Financial Statements and Supplementary Data of American Airlines Group Inc.</w:t>
            </w:r>
          </w:p>
        </w:tc>
        <w:tc>
          <w:tcPr>
            <w:tcW w:w="190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8B.</w:t>
            </w:r>
          </w:p>
        </w:tc>
        <w:tc>
          <w:tcPr>
            <w:tcW w:w="68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Consolidated Financial Statements and Supplementary Data of American Airlines, Inc.</w:t>
            </w:r>
          </w:p>
        </w:tc>
        <w:tc>
          <w:tcPr>
            <w:tcW w:w="500" w:type="dxa"/>
            <w:vAlign w:val="bottom"/>
            <w:gridSpan w:val="3"/>
          </w:tcPr>
          <w:p>
            <w:pPr>
              <w:spacing w:after="0"/>
              <w:rPr>
                <w:sz w:val="18"/>
                <w:szCs w:val="18"/>
                <w:color w:val="auto"/>
              </w:rPr>
            </w:pPr>
          </w:p>
        </w:tc>
        <w:tc>
          <w:tcPr>
            <w:tcW w:w="190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9260" w:type="dxa"/>
            <w:vAlign w:val="bottom"/>
            <w:gridSpan w:val="3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80" w:type="dxa"/>
            <w:vAlign w:val="bottom"/>
            <w:gridSpan w:val="4"/>
          </w:tcPr>
          <w:p>
            <w:pPr>
              <w:jc w:val="right"/>
              <w:spacing w:after="0"/>
              <w:rPr>
                <w:sz w:val="20"/>
                <w:szCs w:val="20"/>
                <w:color w:val="auto"/>
              </w:rPr>
            </w:pPr>
            <w:r>
              <w:rPr>
                <w:rFonts w:ascii="Arial" w:cs="Arial" w:eastAsia="Arial" w:hAnsi="Arial"/>
                <w:sz w:val="18"/>
                <w:szCs w:val="18"/>
                <w:color w:val="0000FF"/>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7140" w:type="dxa"/>
            <w:vAlign w:val="bottom"/>
            <w:tcBorders>
              <w:top w:val="single" w:sz="8" w:color="0000FF"/>
            </w:tcBorders>
            <w:gridSpan w:val="28"/>
          </w:tcPr>
          <w:p>
            <w:pPr>
              <w:spacing w:after="0"/>
              <w:rPr>
                <w:sz w:val="20"/>
                <w:szCs w:val="20"/>
                <w:color w:val="auto"/>
              </w:rPr>
            </w:pPr>
            <w:r>
              <w:rPr>
                <w:rFonts w:ascii="Arial" w:cs="Arial" w:eastAsia="Arial" w:hAnsi="Arial"/>
                <w:sz w:val="18"/>
                <w:szCs w:val="18"/>
                <w:color w:val="0000FF"/>
              </w:rPr>
              <w:t>Controls and Procedures</w:t>
            </w:r>
          </w:p>
        </w:tc>
        <w:tc>
          <w:tcPr>
            <w:tcW w:w="212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7280" w:type="dxa"/>
            <w:vAlign w:val="bottom"/>
            <w:gridSpan w:val="2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9C.</w:t>
            </w:r>
          </w:p>
        </w:tc>
        <w:tc>
          <w:tcPr>
            <w:tcW w:w="54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86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gridSpan w:val="17"/>
          </w:tcPr>
          <w:p>
            <w:pPr>
              <w:jc w:val="center"/>
              <w:ind w:right="4380"/>
              <w:spacing w:after="0"/>
              <w:rPr>
                <w:sz w:val="20"/>
                <w:szCs w:val="20"/>
                <w:color w:val="auto"/>
              </w:rPr>
            </w:pPr>
            <w:r>
              <w:rPr>
                <w:rFonts w:ascii="Arial" w:cs="Arial" w:eastAsia="Arial" w:hAnsi="Arial"/>
                <w:sz w:val="18"/>
                <w:szCs w:val="18"/>
                <w:b w:val="1"/>
                <w:bCs w:val="1"/>
                <w:color w:val="0000FF"/>
                <w:w w:val="98"/>
              </w:rPr>
              <w:t>PART III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76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11.</w:t>
            </w:r>
          </w:p>
        </w:tc>
        <w:tc>
          <w:tcPr>
            <w:tcW w:w="9260" w:type="dxa"/>
            <w:vAlign w:val="bottom"/>
            <w:gridSpan w:val="32"/>
          </w:tcPr>
          <w:p>
            <w:pPr>
              <w:spacing w:after="0"/>
              <w:rPr>
                <w:sz w:val="20"/>
                <w:szCs w:val="20"/>
                <w:color w:val="auto"/>
              </w:rPr>
            </w:pPr>
            <w:r>
              <w:rPr>
                <w:rFonts w:ascii="Arial" w:cs="Arial" w:eastAsia="Arial" w:hAnsi="Arial"/>
                <w:sz w:val="18"/>
                <w:szCs w:val="18"/>
                <w:color w:val="0000FF"/>
              </w:rPr>
              <w:t>Executive Compensation</w:t>
            </w:r>
          </w:p>
        </w:tc>
        <w:tc>
          <w:tcPr>
            <w:tcW w:w="880" w:type="dxa"/>
            <w:vAlign w:val="bottom"/>
            <w:gridSpan w:val="4"/>
          </w:tcPr>
          <w:p>
            <w:pPr>
              <w:jc w:val="right"/>
              <w:spacing w:after="0"/>
              <w:rPr>
                <w:sz w:val="20"/>
                <w:szCs w:val="20"/>
                <w:color w:val="auto"/>
              </w:rPr>
            </w:pPr>
            <w:r>
              <w:rPr>
                <w:rFonts w:ascii="Arial" w:cs="Arial" w:eastAsia="Arial" w:hAnsi="Arial"/>
                <w:sz w:val="18"/>
                <w:szCs w:val="18"/>
                <w:color w:val="0000FF"/>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9260" w:type="dxa"/>
            <w:vAlign w:val="bottom"/>
            <w:gridSpan w:val="3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80" w:type="dxa"/>
            <w:vAlign w:val="bottom"/>
            <w:gridSpan w:val="4"/>
          </w:tcPr>
          <w:p>
            <w:pPr>
              <w:jc w:val="right"/>
              <w:spacing w:after="0"/>
              <w:rPr>
                <w:sz w:val="20"/>
                <w:szCs w:val="20"/>
                <w:color w:val="auto"/>
              </w:rPr>
            </w:pPr>
            <w:r>
              <w:rPr>
                <w:rFonts w:ascii="Arial" w:cs="Arial" w:eastAsia="Arial" w:hAnsi="Arial"/>
                <w:sz w:val="18"/>
                <w:szCs w:val="18"/>
                <w:color w:val="0000FF"/>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13.</w:t>
            </w:r>
          </w:p>
        </w:tc>
        <w:tc>
          <w:tcPr>
            <w:tcW w:w="6080" w:type="dxa"/>
            <w:vAlign w:val="bottom"/>
            <w:tcBorders>
              <w:top w:val="single" w:sz="8" w:color="0000FF"/>
              <w:bottom w:val="single" w:sz="8" w:color="0000FF"/>
            </w:tcBorders>
            <w:gridSpan w:val="25"/>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gridSpan w:val="5"/>
          </w:tcPr>
          <w:p>
            <w:pPr>
              <w:spacing w:after="0"/>
              <w:rPr>
                <w:sz w:val="18"/>
                <w:szCs w:val="18"/>
                <w:color w:val="auto"/>
              </w:rPr>
            </w:pPr>
          </w:p>
        </w:tc>
        <w:tc>
          <w:tcPr>
            <w:tcW w:w="12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9260" w:type="dxa"/>
            <w:vAlign w:val="bottom"/>
            <w:gridSpan w:val="32"/>
          </w:tcPr>
          <w:p>
            <w:pPr>
              <w:spacing w:after="0"/>
              <w:rPr>
                <w:sz w:val="20"/>
                <w:szCs w:val="20"/>
                <w:color w:val="auto"/>
              </w:rPr>
            </w:pPr>
            <w:r>
              <w:rPr>
                <w:rFonts w:ascii="Arial" w:cs="Arial" w:eastAsia="Arial" w:hAnsi="Arial"/>
                <w:sz w:val="18"/>
                <w:szCs w:val="18"/>
                <w:color w:val="0000FF"/>
              </w:rPr>
              <w:t>Principal Accountant Fees and Services</w:t>
            </w:r>
          </w:p>
        </w:tc>
        <w:tc>
          <w:tcPr>
            <w:tcW w:w="880" w:type="dxa"/>
            <w:vAlign w:val="bottom"/>
            <w:gridSpan w:val="4"/>
          </w:tcPr>
          <w:p>
            <w:pPr>
              <w:jc w:val="right"/>
              <w:spacing w:after="0"/>
              <w:rPr>
                <w:sz w:val="20"/>
                <w:szCs w:val="20"/>
                <w:color w:val="auto"/>
              </w:rPr>
            </w:pPr>
            <w:r>
              <w:rPr>
                <w:rFonts w:ascii="Arial" w:cs="Arial" w:eastAsia="Arial" w:hAnsi="Arial"/>
                <w:sz w:val="18"/>
                <w:szCs w:val="18"/>
                <w:color w:val="0000FF"/>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Borders>
              <w:bottom w:val="single" w:sz="8" w:color="0000FF"/>
            </w:tcBorders>
            <w:gridSpan w:val="8"/>
          </w:tcPr>
          <w:p>
            <w:pPr>
              <w:jc w:val="center"/>
              <w:spacing w:after="0"/>
              <w:rPr>
                <w:sz w:val="20"/>
                <w:szCs w:val="20"/>
                <w:color w:val="auto"/>
              </w:rPr>
            </w:pPr>
            <w:r>
              <w:rPr>
                <w:rFonts w:ascii="Arial" w:cs="Arial" w:eastAsia="Arial" w:hAnsi="Arial"/>
                <w:sz w:val="18"/>
                <w:szCs w:val="18"/>
                <w:b w:val="1"/>
                <w:bCs w:val="1"/>
                <w:color w:val="0000FF"/>
                <w:w w:val="98"/>
              </w:rPr>
              <w:t>PART IV</w:t>
            </w:r>
          </w:p>
        </w:tc>
        <w:tc>
          <w:tcPr>
            <w:tcW w:w="436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15.</w:t>
            </w:r>
          </w:p>
        </w:tc>
        <w:tc>
          <w:tcPr>
            <w:tcW w:w="9260" w:type="dxa"/>
            <w:vAlign w:val="bottom"/>
            <w:gridSpan w:val="32"/>
          </w:tcPr>
          <w:p>
            <w:pPr>
              <w:spacing w:after="0"/>
              <w:rPr>
                <w:sz w:val="20"/>
                <w:szCs w:val="20"/>
                <w:color w:val="auto"/>
              </w:rPr>
            </w:pPr>
            <w:r>
              <w:rPr>
                <w:rFonts w:ascii="Arial" w:cs="Arial" w:eastAsia="Arial" w:hAnsi="Arial"/>
                <w:sz w:val="18"/>
                <w:szCs w:val="18"/>
                <w:color w:val="0000FF"/>
              </w:rPr>
              <w:t>Exhibits and Financial Statement Schedules</w:t>
            </w:r>
          </w:p>
        </w:tc>
        <w:tc>
          <w:tcPr>
            <w:tcW w:w="880" w:type="dxa"/>
            <w:vAlign w:val="bottom"/>
            <w:gridSpan w:val="4"/>
          </w:tcPr>
          <w:p>
            <w:pPr>
              <w:jc w:val="right"/>
              <w:spacing w:after="0"/>
              <w:rPr>
                <w:sz w:val="20"/>
                <w:szCs w:val="20"/>
                <w:color w:val="auto"/>
              </w:rPr>
            </w:pPr>
            <w:r>
              <w:rPr>
                <w:rFonts w:ascii="Arial" w:cs="Arial" w:eastAsia="Arial" w:hAnsi="Arial"/>
                <w:sz w:val="18"/>
                <w:szCs w:val="18"/>
                <w:color w:val="0000FF"/>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Item 16.</w:t>
            </w:r>
          </w:p>
        </w:tc>
        <w:tc>
          <w:tcPr>
            <w:tcW w:w="35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Form 10-K Summary</w:t>
            </w:r>
          </w:p>
        </w:tc>
        <w:tc>
          <w:tcPr>
            <w:tcW w:w="5760" w:type="dxa"/>
            <w:vAlign w:val="bottom"/>
            <w:gridSpan w:val="18"/>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20" w:type="dxa"/>
            <w:vAlign w:val="bottom"/>
            <w:gridSpan w:val="33"/>
          </w:tcPr>
          <w:p>
            <w:pPr>
              <w:spacing w:after="0"/>
              <w:rPr>
                <w:sz w:val="20"/>
                <w:szCs w:val="20"/>
                <w:color w:val="auto"/>
              </w:rPr>
            </w:pPr>
            <w:r>
              <w:rPr>
                <w:rFonts w:ascii="Arial" w:cs="Arial" w:eastAsia="Arial" w:hAnsi="Arial"/>
                <w:sz w:val="18"/>
                <w:szCs w:val="18"/>
                <w:color w:val="0000FF"/>
              </w:rPr>
              <w:t>SIGNATURES</w:t>
            </w:r>
          </w:p>
        </w:tc>
        <w:tc>
          <w:tcPr>
            <w:tcW w:w="880" w:type="dxa"/>
            <w:vAlign w:val="bottom"/>
            <w:gridSpan w:val="4"/>
          </w:tcPr>
          <w:p>
            <w:pPr>
              <w:jc w:val="right"/>
              <w:spacing w:after="0"/>
              <w:rPr>
                <w:sz w:val="20"/>
                <w:szCs w:val="20"/>
                <w:color w:val="auto"/>
              </w:rPr>
            </w:pPr>
            <w:r>
              <w:rPr>
                <w:rFonts w:ascii="Arial" w:cs="Arial" w:eastAsia="Arial" w:hAnsi="Arial"/>
                <w:sz w:val="18"/>
                <w:szCs w:val="18"/>
                <w:color w:val="0000FF"/>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Annual Report on Form 10-K to “we,” “us,” “our,” the “Company” and similar terms refer to AAG and its consolidated subsidiaries. References in this report to “mainline” refer to the operations of American only and exclude regional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0"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 xml:space="preserve">For the convenience of the reader, the definitions of certain capitalized industry and other terms used in this report have been consolidated into a glossary beginning on page </w:t>
      </w:r>
      <w:r>
        <w:rPr>
          <w:rFonts w:ascii="Arial" w:cs="Arial" w:eastAsia="Arial" w:hAnsi="Arial"/>
          <w:sz w:val="18"/>
          <w:szCs w:val="18"/>
          <w:u w:val="single" w:color="auto"/>
          <w:color w:val="0000FF"/>
        </w:rPr>
        <w:t>20</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the continuing availability of borrowings under revolving lines of credit,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Part II, Item 7. Management’s Discussion and Analysis of Financial Condition and Results of Operations and other risks and uncertainties listed from time to time in our filings with the Securities and Exchange Commission (the SEC).</w:t>
      </w:r>
    </w:p>
    <w:p>
      <w:pPr>
        <w:spacing w:after="0" w:line="136"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Item 1A. Risk Factors. These risks include, among others, the following: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9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79" w:lineRule="exact"/>
        <w:rPr>
          <w:rFonts w:ascii="Arial" w:cs="Arial" w:eastAsia="Arial" w:hAnsi="Arial"/>
          <w:sz w:val="22"/>
          <w:szCs w:val="22"/>
          <w:color w:val="auto"/>
        </w:rPr>
      </w:pPr>
    </w:p>
    <w:p>
      <w:pPr>
        <w:jc w:val="both"/>
        <w:ind w:left="660" w:hanging="328"/>
        <w:spacing w:after="0" w:line="249"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172"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8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80"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or our inability to otherwise maintain labor costs at competitive levels and hire and retain a sufficient number of employees may adversely affect our operations and financial performance.</w:t>
      </w:r>
    </w:p>
    <w:p>
      <w:pPr>
        <w:spacing w:after="0" w:line="17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7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utilize our NOLs and other carryforwards may be limited.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8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179"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70"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178"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8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13" w:lineRule="exact"/>
        <w:rPr>
          <w:rFonts w:ascii="Arial" w:cs="Arial" w:eastAsia="Arial" w:hAnsi="Arial"/>
          <w:sz w:val="22"/>
          <w:szCs w:val="22"/>
          <w:color w:val="auto"/>
        </w:rPr>
      </w:pPr>
    </w:p>
    <w:p>
      <w:pPr>
        <w:ind w:left="660" w:right="20" w:hanging="328"/>
        <w:spacing w:after="0" w:line="31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8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shortage of pilots or other personnel has in the past and could continue to materially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w:t>
      </w:r>
    </w:p>
    <w:p>
      <w:pPr>
        <w:spacing w:after="0" w:line="17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Delays in scheduled aircraft deliveries or other loss of anticipated fleet capacity, and failure of new aircraft to perform as expected, may adversely impact our business, results of operations and financial condition.</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180"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Evolving data security and privacy requirements (in particular, compliance with applicable federal, state and 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16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manage effectively the costs, rights and functionality of these channels.</w:t>
      </w:r>
    </w:p>
    <w:p>
      <w:pPr>
        <w:spacing w:after="0" w:line="193"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American Airlines Group Inc. (AAG), a Delaware corporation, is a holding company and its principal, wholly-owned subsidiaries are American Airlines, Inc. (American), Envoy Aviation Group Inc., PSA Airlines, Inc. (PSA) and Piedmont Airlines, Inc. (Piedmont). AAG was formed in 1982, under the name AMR Corporation (AMR), as the parent company of American, which was founded in 1934.</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AAG’s and American’s principal executive offices are located at 1 Skyview Drive, Fort Worth, Texas 76155 and their telephone number is 682-278-9000.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Operations</w:t>
      </w:r>
    </w:p>
    <w:p>
      <w:pPr>
        <w:spacing w:after="0" w:line="90"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primary business activity is the operation of a major network air carrier, providing scheduled air transportation for passengers and cargo through our hubs in Charlotte, Chicago, Dallas/Fort Worth, Los Angeles, Miami, New York, Philadelphia, Phoenix and Washington, D.C. and partner gateways, including in London, Doha, Madrid, Seattle/Tacoma, Sydney and Tokyo (among others). In 2022, over 199 million passengers boarded our flights. During 2022, we announced the return of several international routes that had been cut due to the COVID-19 pandemic and aircraft delivery delays.</w:t>
      </w:r>
    </w:p>
    <w:p>
      <w:pPr>
        <w:spacing w:after="0" w:line="12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 xml:space="preserve">As of December 31, 2022, we operated 925 mainline aircraft supported by our regional airline subsidiaries and third-party regional carriers, which together operated an additional 536 regional aircraft. See Part I, Item 2. Properties for further discussion of our mainline and regional aircraft and </w:t>
      </w:r>
      <w:r>
        <w:rPr>
          <w:rFonts w:ascii="Arial" w:cs="Arial" w:eastAsia="Arial" w:hAnsi="Arial"/>
          <w:sz w:val="18"/>
          <w:szCs w:val="18"/>
          <w:i w:val="1"/>
          <w:iCs w:val="1"/>
          <w:color w:val="auto"/>
        </w:rPr>
        <w:t>“Regional”</w:t>
      </w:r>
      <w:r>
        <w:rPr>
          <w:rFonts w:ascii="Arial" w:cs="Arial" w:eastAsia="Arial" w:hAnsi="Arial"/>
          <w:sz w:val="18"/>
          <w:szCs w:val="18"/>
          <w:color w:val="auto"/>
        </w:rPr>
        <w:t xml:space="preserve"> below for further discussion of our regional operations.</w:t>
      </w:r>
    </w:p>
    <w:p>
      <w:pPr>
        <w:spacing w:after="0" w:line="114" w:lineRule="exact"/>
        <w:rPr>
          <w:sz w:val="20"/>
          <w:szCs w:val="20"/>
          <w:color w:val="auto"/>
        </w:rPr>
      </w:pPr>
    </w:p>
    <w:p>
      <w:pPr>
        <w:jc w:val="both"/>
        <w:ind w:right="20" w:firstLine="202"/>
        <w:spacing w:after="0" w:line="241"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Alliance, which brings together a global network of 13 world-class member airlines and their affiliates, working together to provide a superior and seamless travel experience. See </w:t>
      </w:r>
      <w:r>
        <w:rPr>
          <w:rFonts w:ascii="Arial" w:cs="Arial" w:eastAsia="Arial" w:hAnsi="Arial"/>
          <w:sz w:val="18"/>
          <w:szCs w:val="18"/>
          <w:i w:val="1"/>
          <w:iCs w:val="1"/>
          <w:color w:val="auto"/>
        </w:rPr>
        <w:t>“Distribution and Marketing Agreements”</w:t>
      </w:r>
      <w:r>
        <w:rPr>
          <w:rFonts w:ascii="Arial" w:cs="Arial" w:eastAsia="Arial" w:hAnsi="Arial"/>
          <w:sz w:val="18"/>
          <w:szCs w:val="18"/>
          <w:color w:val="auto"/>
        </w:rPr>
        <w:t xml:space="preserve"> below for further discussion on the </w:t>
      </w:r>
      <w:r>
        <w:rPr>
          <w:rFonts w:ascii="Arial" w:cs="Arial" w:eastAsia="Arial" w:hAnsi="Arial"/>
          <w:sz w:val="18"/>
          <w:szCs w:val="18"/>
          <w:b w:val="1"/>
          <w:bCs w:val="1"/>
          <w:color w:val="auto"/>
        </w:rPr>
        <w:t>one</w:t>
      </w:r>
      <w:r>
        <w:rPr>
          <w:rFonts w:ascii="Arial" w:cs="Arial" w:eastAsia="Arial" w:hAnsi="Arial"/>
          <w:sz w:val="18"/>
          <w:szCs w:val="18"/>
          <w:color w:val="auto"/>
        </w:rPr>
        <w:t>world Alliance and other agreements with domestic and international airlines.</w:t>
      </w:r>
    </w:p>
    <w:p>
      <w:pPr>
        <w:spacing w:after="0" w:line="13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 xml:space="preserve">See Part II, Item 7. Management’s Discussion and Analysis of Financial Condition and Results of Operations – </w:t>
      </w:r>
      <w:r>
        <w:rPr>
          <w:rFonts w:ascii="Arial" w:cs="Arial" w:eastAsia="Arial" w:hAnsi="Arial"/>
          <w:sz w:val="18"/>
          <w:szCs w:val="18"/>
          <w:i w:val="1"/>
          <w:iCs w:val="1"/>
          <w:color w:val="auto"/>
        </w:rPr>
        <w:t>“2022 Financial Overview,”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“AAG’s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“American’s Results of Operations” </w:t>
      </w:r>
      <w:r>
        <w:rPr>
          <w:rFonts w:ascii="Arial" w:cs="Arial" w:eastAsia="Arial" w:hAnsi="Arial"/>
          <w:sz w:val="18"/>
          <w:szCs w:val="18"/>
          <w:color w:val="auto"/>
        </w:rPr>
        <w:t>for further discussion of AAG’s and American’s operating results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Also, see Note 1(m) to each of AAG’s and American’s Consolidated Financial Statements in Part II, Items 8A and 8B, respectively, for passenger revenue by geographic region and Note 13 to AAG’s Consolidated Financial Statements in Part II, Item 8A and Note 12 to American’s Consolidated Financial Statements in Part II, Item 8B for information regarding operating segments.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88"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Envoy Air Inc. (Envoy), PSA and Piedmont, as well as third-party regional carriers including Republic Airways Inc. (Republic), SkyWest Airlines, Inc. (SkyWest), Mesa Airlines, Inc. (Mesa) and Air Wisconsin Airlines LLC (Air Wisconsin). Our regional carriers are an integral component of our operating network. We rely heavily on regional carriers to drive feeder traffic to our hubs from low-density markets that are not economical for us to serve with larger, mainline aircraft. In addition, regional carriers offer complementary service in many of our mainline markets. All American Eagle carriers use logos, service marks, aircraft paint schemes and uniforms similar to those of our mainline operations. In 2022, 48 million passengers boarded our regional flights, approximately 44% of whom connected to or from our mainline flights.</w:t>
      </w:r>
    </w:p>
    <w:p>
      <w:pPr>
        <w:spacing w:after="0" w:line="131"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Our regional carrier arrangements are in the form of capacity purchase agreements. The capacity purchase agreements provide that all revenues, including passenger, in-flight, ancillary, mail and freight revenues, go to us. We control marketing, scheduling, ticketing, pricing and seat inventories. In return, we agree to pay predetermined fees to these airlines for operating an agreed-upon number of aircraft, without regard to the number of passengers on board. In addition, these agreements provide that we either reimburse or pay 100% of certain variable costs, such as airport landing fees, fuel and passenger liability insurance. We previously announced that we had entered into an agreement with Air Wisconsin, pursuant to which Air Wisconsin is expected to begin operating scheduled flights under the American Eagle name in the first quarter of 2023. Additionally, in December 2022, we announced a wind-down of our relationship with Mesa, which we expect to conclude in the second quarter of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Cargo</w:t>
      </w:r>
    </w:p>
    <w:p>
      <w:pPr>
        <w:spacing w:after="0" w:line="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 xml:space="preserve">Our cargo division provides a wide range of freight and mail services, with facilities and interline connections available across the globe. In 2022, we served more than 20,000 unique origin and destination pairs, transporting over 890 million pounds of time-sensitive freight and mail across our network. Also in 2022, we were named Best Cargo Airline from the Americas by </w:t>
      </w:r>
      <w:r>
        <w:rPr>
          <w:rFonts w:ascii="Arial" w:cs="Arial" w:eastAsia="Arial" w:hAnsi="Arial"/>
          <w:sz w:val="18"/>
          <w:szCs w:val="18"/>
          <w:i w:val="1"/>
          <w:iCs w:val="1"/>
          <w:color w:val="auto"/>
        </w:rPr>
        <w:t>Air Cargo News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 Agreements</w:t>
      </w:r>
    </w:p>
    <w:p>
      <w:pPr>
        <w:spacing w:after="0" w:line="90"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Passengers can purchase tickets for travel on American through several distribution channels, including our website (</w:t>
      </w:r>
      <w:r>
        <w:rPr>
          <w:rFonts w:ascii="Arial" w:cs="Arial" w:eastAsia="Arial" w:hAnsi="Arial"/>
          <w:sz w:val="18"/>
          <w:szCs w:val="18"/>
          <w:i w:val="1"/>
          <w:iCs w:val="1"/>
          <w:color w:val="auto"/>
        </w:rPr>
        <w:t>www.aa.com</w:t>
      </w:r>
      <w:r>
        <w:rPr>
          <w:rFonts w:ascii="Arial" w:cs="Arial" w:eastAsia="Arial" w:hAnsi="Arial"/>
          <w:sz w:val="18"/>
          <w:szCs w:val="18"/>
          <w:color w:val="auto"/>
        </w:rPr>
        <w:t>), our mobile app, our reservations centers and third-party distribution channels, including those provided by or through global distribution systems (e.g., Amadeus, Sabre and Travelport), conventional travel agents, travel management companies and online travel agents (e.g., Expedia, including its booking sites Orbitz and Travelocity, and Booking Holdings, including its booking sites Kayak and Priceline). In 2022, American entered into new long-term distribution agreements with Amadeus, Sabre and Travelport which will allow us to continue to provide convenient ways for customers to purchase travel from American. To remain competitive, we will need to manage our distribution costs and rights effectively, increase our distribution flexibility and improve the functionality of our proprietary and third-party distribution channels, while maintaining an industry-competitive cost structure. For more discussion, see Part I, Item 1A. Risk Factors – “</w:t>
      </w:r>
      <w:r>
        <w:rPr>
          <w:rFonts w:ascii="Arial" w:cs="Arial" w:eastAsia="Arial" w:hAnsi="Arial"/>
          <w:sz w:val="18"/>
          <w:szCs w:val="18"/>
          <w:i w:val="1"/>
          <w:iCs w:val="1"/>
          <w:color w:val="auto"/>
        </w:rPr>
        <w:t>We rely on third-party</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 channels and must manage effectively the costs, rights and functionality of these channels</w:t>
      </w:r>
      <w:r>
        <w:rPr>
          <w:rFonts w:ascii="Arial" w:cs="Arial" w:eastAsia="Arial" w:hAnsi="Arial"/>
          <w:sz w:val="18"/>
          <w:szCs w:val="18"/>
          <w:color w:val="auto"/>
        </w:rPr>
        <w:t>.”</w:t>
      </w:r>
    </w:p>
    <w:p>
      <w:pPr>
        <w:spacing w:after="0" w:line="127"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 xml:space="preserve">In general, beyond nonstop city pairs, carriers that have the greatest ability to seamlessly connect passengers to and from markets have a competitive advantage. In some cases, however, foreign governments limit U.S. air carriers’ rights to transport passengers beyond designated gateway cities in foreign countries. In order to improve access to domestic and foreign markets, we have arrangements with other airlines including through the </w:t>
      </w:r>
      <w:r>
        <w:rPr>
          <w:rFonts w:ascii="Arial" w:cs="Arial" w:eastAsia="Arial" w:hAnsi="Arial"/>
          <w:sz w:val="18"/>
          <w:szCs w:val="18"/>
          <w:b w:val="1"/>
          <w:bCs w:val="1"/>
          <w:color w:val="auto"/>
        </w:rPr>
        <w:t>one</w:t>
      </w:r>
      <w:r>
        <w:rPr>
          <w:rFonts w:ascii="Arial" w:cs="Arial" w:eastAsia="Arial" w:hAnsi="Arial"/>
          <w:sz w:val="18"/>
          <w:szCs w:val="18"/>
          <w:color w:val="auto"/>
        </w:rPr>
        <w:t>world Alliance, other cooperation agreements, joint business agreements and marketing relationships, as further discussed below.</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Member of oneworld Alliance</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which currently includes Alaska Airlines, British Airways, Cathay Pacific, Finnair, Iberia, Japan Airlines, Malaysia Airlines, Qantas Airways (Qantas), Qatar Airways, Royal Air Maroc, Royal Jordanian Airlines and SriLankan Airlines. Fiji Airways is a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connect partner and Oman Air is expected to join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in 2024. The </w:t>
      </w:r>
      <w:r>
        <w:rPr>
          <w:rFonts w:ascii="Arial" w:cs="Arial" w:eastAsia="Arial" w:hAnsi="Arial"/>
          <w:sz w:val="18"/>
          <w:szCs w:val="18"/>
          <w:b w:val="1"/>
          <w:bCs w:val="1"/>
          <w:color w:val="auto"/>
        </w:rPr>
        <w:t>one</w:t>
      </w:r>
      <w:r>
        <w:rPr>
          <w:rFonts w:ascii="Arial" w:cs="Arial" w:eastAsia="Arial" w:hAnsi="Arial"/>
          <w:sz w:val="18"/>
          <w:szCs w:val="18"/>
          <w:color w:val="auto"/>
        </w:rPr>
        <w:t>world Alliance links the networks of member carriers and their respective affiliates to enhance customer service and provide smooth connections to the destinations served by the alliance, including linking member carriers’ loyalty programs and providing reciprocal access to the carriers’ airport lounge facilities.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Cooperation and Joint Business Agreements</w:t>
      </w:r>
    </w:p>
    <w:p>
      <w:pPr>
        <w:spacing w:after="0" w:line="88"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Joint business agreements enable the carriers involved to cooperate on flights between particular destinations and allow pooling and sharing of certain revenues and costs, enhanced loyalty program reciprocity and cooperation in other areas. Joint business agreements have become a common approach among major carriers to address key regulatory restrictions typically applicable to international airline service, including limitations on the foreign ownership of airlines and national laws prohibiting foreign airlines from carrying passengers beyond specific gateway cities. American and its joint business partners received regulatory approval to enter into each of these cooperation agreements and each has been granted antitrust immunity. Our competitors, including Delta Air Lines and United Airlines, are party to similar arrangements.</w:t>
      </w:r>
    </w:p>
    <w:p>
      <w:pPr>
        <w:spacing w:after="0" w:line="131"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The business relationship under the transatlantic joint business benefits from a grant of antitrust immunity from the U.S.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and April 2022, the CMA adopted interim measures that effectively extend the EC commitments until March 2026 in light of the uncertainty and other impacts resulting from the COVID-19 pandemic. The CMA plans to complete its investigation before the scheduled expiration of the interim measures in March 2026.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 Relationships</w:t>
      </w:r>
    </w:p>
    <w:p>
      <w:pPr>
        <w:spacing w:after="0" w:line="88"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To improve access to each other’s markets, various U.S. and foreign air carriers, including American, have established marketing agreements with other airlines. These marketing agreements are intended to provide enhanced customer choice by means of an expanded network with reciprocal loyalty program participation and joint sales cooperation. As of December 31, 2022, American had codeshare, marketing and/or loyalty program relationships with Aer Lingus, Air Tahiti Nui, Alaska Airlines, British Airways, Cape Air, Cathay Pacific, China Southern Airlines Company Limited (China Southern Airlines), EL AL Israel Airlines, Etihad Airways, Fiji Airways, Finnair, GOL Linhas Aéreas Inteligentes S.A. (GOL), Gulf Air, Hawaiian Airlines, Iberia, IndiGo, Japan Airlines, JetBlue Airways Corporation (JetBlue), Jetstar, Jetstar Japan, Malaysia Airlines, Qantas, Qatar Airways, Royal Air Maroc, Royal Jordanian Airlines, Silver Airways, SriLankan Airlines and Vueling Airlines.</w:t>
      </w:r>
    </w:p>
    <w:p>
      <w:pPr>
        <w:spacing w:after="0" w:line="13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In 2022, we entered into an investment agreement with GOL, a Brazilian low-cost airline. This expanded partnership with GOL includes an exclusive codeshare agreement allowing customers access to more than 30 destinations served by American in the U.S. and more than 30 destinations served by GOL in South America. Members of GOL’s SMILES and American’s AAdvantage loyalty programs will also benefit from a deeper loyalty program partnership. In addition, the expanded partnership with GOL will allow further commercial cooperation in areas such as purchasing, sales tools and systems integration, subject to relevant regulatory and contractual limitations.</w:t>
      </w:r>
    </w:p>
    <w:p>
      <w:pPr>
        <w:spacing w:after="0" w:line="125"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Also in 2022, we expanded our strategic alliance with Qatar Airways, enabling American’s customers to book travel on Qatar Airways flights between the U.S. and Doha, Qatar and connecting to and from select destinations throughout the Middle East, East Africa, South Asia and Southeast Asia gateways. In addition to this expanded codeshare, we launched new service in 2022 from New York’s John F. Kennedy International Airport (JFK) to Doha’s Hamad International Airport.</w:t>
      </w:r>
    </w:p>
    <w:p>
      <w:pPr>
        <w:spacing w:after="0" w:line="122"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Additionally, in December 2022, we completed an investment agreement with JetSmart Airlines SpA (JetSMART), an ultra-low-cost carrier operating in South America, which includes a codeshare agreement that remains to be implemented.</w:t>
      </w:r>
    </w:p>
    <w:p>
      <w:pPr>
        <w:spacing w:after="0" w:line="99"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In 2021, we began implementing key aspects of our marketing relationship with JetBlue, creating seamless connectivity for travelers in the U.S. Northeast and more choice for customers across our complementary domestic and international networks. This arrangement includes an alliance agreement with reciprocal codesharing on certain domestic and international routes from New York (JFK, LaGuardia Airport (LGA) and Newark Liberty International Airport (EWR)) and Boston Logan International Airport (BOS), and provides for reciprocal loyalty program benefits. The arrangement does not include JetBlue’s transatlantic flying. Pursuant to federal law, American and JetBlue submitted this proposed alliance arrangement to the DOT for review. After American, JetBlue and the DOT agreed to a series of commitments, the DOT terminated its review of the proposed alliance in January 2021. The commitments include growth commitments to ensure capacity expansion, slot divestitures at JFK and at Ronald Reagan Washington National Airport (DCA) near Washington, D.C. and antitrust compliance measures. Beyond this agreement with the DOT (the DOT Agreement), American and JetBlue will also refrain from certain kinds of coordination on certain city pair markets. Upon the DOT’s termination of its review of the proposed alliance, American and JetBlue implemented the proposed alliance subject to these commitments. On September 21, 2021, the United States Department of Justice (the DOJ), joined by Attorneys General from six states and the District of Columbia, filed an antitrust complaint against American and JetBlue in the District of Massachusetts alleging that American and JetBlue violated U.S. antitrust law in connection with the Northeast Alliance arrangement (the NEA). The parties presented their respective cases in a bench trial that commenced on September 27, 2022. Closing arguments from both parties were presented on November 18, 2022. A decision is expected in the first quarter of 2023. Separately, in December 2022, two putative class action lawsuits were filed in the Eastern District of New York also alleging that the NEA violated the antitrust law. Those lawsuits, which have been consolidated, seek monetary and injunctive relief. In February 2023, private party plaintiffs filed two additional putative class action antitrust complaints against American and JetBlue in the District of Massachusetts and the Eastern District of New York, respectively. We believe these complaints are without merit and are defending against them vigorously.</w:t>
      </w:r>
    </w:p>
    <w:p>
      <w:pPr>
        <w:spacing w:after="0" w:line="137"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We also have a marketing relationship with Alaska Airlines which includes an expanded codeshare agreement (including codeshare on certain of our international routes from Seattle-Tacoma International Airport and Los Angeles International Airport (LAX)), reciprocal loyalty program benefits and shared lounge access. Prior to its implementation, American and Alaska Airlines submitted this arrangement to the DOT for review pursuant to federal law. After the DOT allowed the review period to expire with no further actions, American and Alaska Airlines commenced implementation of this arrangement.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88" w:lineRule="exact"/>
        <w:rPr>
          <w:sz w:val="20"/>
          <w:szCs w:val="20"/>
          <w:color w:val="auto"/>
        </w:rPr>
      </w:pPr>
    </w:p>
    <w:p>
      <w:pPr>
        <w:jc w:val="both"/>
        <w:ind w:firstLine="202"/>
        <w:spacing w:after="0" w:line="245" w:lineRule="auto"/>
        <w:rPr>
          <w:sz w:val="20"/>
          <w:szCs w:val="20"/>
          <w:color w:val="auto"/>
        </w:rPr>
      </w:pPr>
      <w:r>
        <w:rPr>
          <w:rFonts w:ascii="Arial" w:cs="Arial" w:eastAsia="Arial" w:hAnsi="Arial"/>
          <w:sz w:val="18"/>
          <w:szCs w:val="18"/>
          <w:color w:val="auto"/>
        </w:rPr>
        <w:t>Our loyalty program,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established to develop passenger loyalty by offering benefits and awards to travelers for their continued patronage with American and our partners. AAdvantage members earn mileage credits for flying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Alliance airline or other partner airlines. For every dollar spent by flying on American, members earn mileage credits, and Gold, Platinum, Platinum Pro and Executive Platinum status holders earn additional bonus mileage credits of 40%, 60%, 80% and 120%, respectively. Members also earn mileage credits by using the services of more than 1,000 non-flight partners, such as our co-branded credit cards, and certain hotel and car rental companies. The AAdvantage program in general, and our co-branded credit cards in particular, are significant assets of our business and have become increasingly important to our company over time.</w:t>
      </w:r>
    </w:p>
    <w:p>
      <w:pPr>
        <w:spacing w:after="0" w:line="136" w:lineRule="exact"/>
        <w:rPr>
          <w:sz w:val="20"/>
          <w:szCs w:val="20"/>
          <w:color w:val="auto"/>
        </w:rPr>
      </w:pPr>
    </w:p>
    <w:p>
      <w:pPr>
        <w:jc w:val="both"/>
        <w:ind w:firstLine="202"/>
        <w:spacing w:after="0" w:line="247" w:lineRule="auto"/>
        <w:rPr>
          <w:sz w:val="20"/>
          <w:szCs w:val="20"/>
          <w:color w:val="auto"/>
        </w:rPr>
      </w:pPr>
      <w:r>
        <w:rPr>
          <w:rFonts w:ascii="Arial" w:cs="Arial" w:eastAsia="Arial" w:hAnsi="Arial"/>
          <w:sz w:val="18"/>
          <w:szCs w:val="18"/>
          <w:color w:val="auto"/>
        </w:rPr>
        <w:t>Mileage credits can be redeemed for free or upgraded travel on American and participating airlines, membership to our Admirals Club</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for other non-flight awards, such as car rentals and hotels, from our program partners. Travel awards are available on all flights operated by American and at times are subject to capacity-controlled seating on flights operated by our partners. A member’s mileage credits generally do not expire if that member has any type of qualifying activity at least once every 24 months or if the AAdvantage member is the primary holder of a co-branded credit card. Starting in 2022, AAdvantage members have more pathways to status and only one metric to track: Loyalty Points, which can be earned through a variety of qualifying travel and non-travel activities, including use of our co-branded credit cards. Loyalty Points are used for measuring status qualification in the AAdvantage program over a 12-month period beginning on March 1 of each year. Status members can enjoy additional travel benefits of the AAdvantage program, including complimentary upgrades, checked bags, and Preferred and Main Cabin Extra seats, as well as priority check-in, security, boarding and baggage delivery when traveling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Alliance airline or other partner airlines. In addition, we introduced Loyalty Point Rewards, which, starting in March 2023, will allow members to unlock benefits, rewards and choices before, between and beyond the traditional status tiers.</w:t>
      </w:r>
    </w:p>
    <w:p>
      <w:pPr>
        <w:spacing w:after="0" w:line="13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 xml:space="preserve">In 2022, AAdvantage was recognized as the Best Elite Program in the Americas by the 2022 Freddie Awards, which is based entirely on votes from travelers around the world. In addition, the editorial staff of the digital news outlet, </w:t>
      </w:r>
      <w:r>
        <w:rPr>
          <w:rFonts w:ascii="Arial" w:cs="Arial" w:eastAsia="Arial" w:hAnsi="Arial"/>
          <w:sz w:val="18"/>
          <w:szCs w:val="18"/>
          <w:i w:val="1"/>
          <w:iCs w:val="1"/>
          <w:color w:val="auto"/>
        </w:rPr>
        <w:t>The Points Guy</w:t>
      </w:r>
      <w:r>
        <w:rPr>
          <w:rFonts w:ascii="Arial" w:cs="Arial" w:eastAsia="Arial" w:hAnsi="Arial"/>
          <w:sz w:val="18"/>
          <w:szCs w:val="18"/>
          <w:color w:val="auto"/>
        </w:rPr>
        <w:t>, selected AAdvantage Executive Platinum Status as the Best U.S. Airline Elite Status and awarded Loyalty Points with the Innovation Award for Loyalty.</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Under our agreements with AAdvantage members and program partners, we reserve the right to change the terms of the AAdvantage program at any time and without notice, and may end the program with six months’ notice. Program rules, partners, special offers, awards and requisite mileage levels for awards are subject to change.</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During 2022, our members redeemed approximately 13 million awards, including travel redemptions for flights and upgrades on American and other air carriers, as well as redemption of car and hotel awards, club memberships and merchandise. Approximately 7% of our 2022 total revenue passenger miles flown were from award travel.</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Estimate</w:t>
      </w:r>
      <w:r>
        <w:rPr>
          <w:rFonts w:ascii="Arial" w:cs="Arial" w:eastAsia="Arial" w:hAnsi="Arial"/>
          <w:sz w:val="18"/>
          <w:szCs w:val="18"/>
          <w:color w:val="auto"/>
        </w:rPr>
        <w:t>s” for more information on our loyalty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Competition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Domestic</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markets in which we operate are highly competitive. On most of our domestic nonstop routes, we face competing service from other domestic airlines, including major network airlines, low-cost carriers and ultra-low-cost carriers such as Alaska Airlines, Allegiant Air, Delta Air Lines, Frontier Airlines, Hawaiian Airlines, JetBlue, Southwest Airlines, Spirit Airlines and United Airlines. Between cities that require a connection, where the major airlines compete via their respective hubs, competition is significant. In addition, we face competition on some of our connecting routes from airlines operating point-to-point service on such routes. We also compete with all-cargo and charter airlines and, particularly on shorter segments, ground and rail transportation.</w:t>
      </w:r>
    </w:p>
    <w:p>
      <w:pPr>
        <w:spacing w:after="0" w:line="12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On all of our routes, pricing decisions are affected, in large part, by the need to meet competition from other airlines. Price competition occurs on a market-by-market basis through price discounts, changes in pricing structures, fare matching, targeted promotions and loyalty program initiatives. Airlines typically use discounted fares and other promotions to stimulate traffic during normally weak travel periods, when they begin service to new cities, when they have excess capacity, to generate cash flow, to maximize revenue per available seat mile or to establish, increase or preserve market share. Most airlines will quickly match price reductions in a particular market, and we have often elected to match discounted or promotional fares initiated by other air carriers in certain markets in order to compete in those markets. In addition, we face pricing pressures from so-called ultra-low-cost carriers, such as Allegiant Air, Frontier Airlines and Spirit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Airlines, which compete in many of the markets in which we operate, with competition from these carriers increasing and new entrants regularly announcing their intention to start up new ultra-low-cost carriers.</w:t>
      </w:r>
    </w:p>
    <w:p>
      <w:pPr>
        <w:spacing w:after="0" w:line="99"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In addition to price competition, airlines compete for market share by increasing the size of their route system and the number of markets they serve. The American Eagle regional carriers increase the number of markets we serve by flying to smaller markets and providing connections at our hubs. Many of our competitors also own or have agreements with regional airlines that provide similar services at their hubs and other locations. We also compete on the basis of scheduling (frequency and flight times), availability of nonstop flights, on-time performance, type of equipment, cabin configuration, amenities provided to passengers, loyalty programs, the automation of travel agent reservation systems, onboard products, health and safety, sustainability initiatives and other services.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In addition to our extensive domestic service, we provide international service to Canada, Mexico, the Caribbean, Central and South America, Europe, China, Japan, Korea, India, Australia and New Zealand. In 2022, we launched service to Doha, Qatar, allowing customers to connect to and from select destinations throughout the Middle East, East Africa, South Asia and Southeast Asia gateways. In providing international air transportation, we compete with other U.S. airlines, foreign investor-owned airlines and foreign state-owned or state-affiliated airlines. Competition has also been increasing from low-cost airlines executing international long-haul expansion strategies, a trend we also expect to continue, in particular with the planned introduction of long-range narrowbody aircraft in the coming years.</w:t>
      </w:r>
    </w:p>
    <w:p>
      <w:pPr>
        <w:spacing w:after="0" w:line="12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order to increase our ability to compete in the market for international air transportation service, which is subject to extensive government regulation, U.S. and foreign carriers have entered into bilateral and multilateral marketing relationships, alliances, cooperation agreements and joint business agreements to exchange traffic among each other’s flights and route networks. See “</w:t>
      </w:r>
      <w:r>
        <w:rPr>
          <w:rFonts w:ascii="Arial" w:cs="Arial" w:eastAsia="Arial" w:hAnsi="Arial"/>
          <w:sz w:val="18"/>
          <w:szCs w:val="18"/>
          <w:i w:val="1"/>
          <w:iCs w:val="1"/>
          <w:color w:val="auto"/>
        </w:rPr>
        <w:t>Distribution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Marketing Agreements</w:t>
      </w:r>
      <w:r>
        <w:rPr>
          <w:rFonts w:ascii="Arial" w:cs="Arial" w:eastAsia="Arial" w:hAnsi="Arial"/>
          <w:sz w:val="18"/>
          <w:szCs w:val="18"/>
          <w:color w:val="auto"/>
        </w:rPr>
        <w:t>” above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Our purpose is to care for people on life’s journey. Conducting our business with a view towards operating a sustainable business that has the ability to serve our stakeholders over the long-term is an important part of this purpose. We have increased our focus over time on a number of elements that we view as important to build a more sustainable company, including those described below.</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Climate</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recognize the challenge of climate change and have set ambitious goals to transition to operating a low-carbon airline over time.</w:t>
      </w:r>
    </w:p>
    <w:p>
      <w:pPr>
        <w:spacing w:after="0" w:line="171"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Our aim is to achieve net zero greenhouse gas (GHG) emissions by 2050, and we have set an intermediate target to drive progress toward that goal. In April 2022, we received validation from the Science Based Targets initiative (SBTi) that our 2035 GHG reduction target complies with the SBTi criteria.</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vast majority of our direct GHG emissions comes from the use of jet fuel in our operations. Our current strategy for reaching net zero emissions by 2050 is focused on running a more fuel-efficient operation, with more fuel-efficient aircraft, powered by low-carbon fuel. To do so, we are working to drive progress across several key levers, including:</w:t>
      </w:r>
    </w:p>
    <w:p>
      <w:pPr>
        <w:spacing w:after="0" w:line="11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replace older, less fuel-efficient aircraft with new, more efficient aircraft over time;</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Helping scale the production of sustainable aviation fuel (SAF) with the aim of transitioning to lower-carbon fuels. Currently, SAF is not available at the cost or scale necessary to meet our industry’s needs. We continue to enter into agreements to purchase SAF as part of our goal to replace 10% of our conventional jet fuel with SAF in 2030 and to encourage investment in SAF; and</w:t>
      </w:r>
    </w:p>
    <w:p>
      <w:pPr>
        <w:spacing w:after="0" w:line="122" w:lineRule="exact"/>
        <w:rPr>
          <w:rFonts w:ascii="Arial" w:cs="Arial" w:eastAsia="Arial" w:hAnsi="Arial"/>
          <w:sz w:val="18"/>
          <w:szCs w:val="18"/>
          <w:color w:val="auto"/>
        </w:rPr>
      </w:pPr>
    </w:p>
    <w:p>
      <w:pPr>
        <w:jc w:val="both"/>
        <w:ind w:left="1300" w:hanging="644"/>
        <w:spacing w:after="0" w:line="259"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and investing in innovations that may enable commercial aircraft to be powered by low- and no-carbon fuel sources over the long term. For example, in 2022 we made direct investments in ZeroAvia and Universal Hydrogen, companies working to develop hydrogen-electric propulsion technology and green hydrogen distribution, respectively. We are also an anchor partner of Breakthrough Energy Catalyst, which aims to make investments to accelerate the development of new clean energy technologies.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Achieving our ambitious goals will require significant action and investments by governments, manufacturers and other stakeholders. We are committed to engaging with our stakeholders to seek to advance these initiatives, and we have dedicated resources to advance our own progress. Our Board and Corporate Governance, Public Responsibility and Safety Committee receive updates on our climate strategy, progress and key risks regularly. And, in 2022, we formally assigned responsibility for oversight of our climate change strategy at the management level to our Chief Executive Officer.</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Safety</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The safety of our customers and team members is a top priority. Our approach to safety is guided by our Safety Management System (SMS), an organization-wide approach to identifying and managing risk. The SMS is comprised of four components: Safety Policy, Safety Assurance, Safety Risk Management and Safety Promotion. Our Safety Policy sets safety objectives while striving to comply with applicable regulatory requirements and laws in the countries where we operate and establishing standards for acceptable operational behaviors.</w:t>
      </w:r>
    </w:p>
    <w:p>
      <w:pPr>
        <w:spacing w:after="0" w:line="122"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The Safety Assurance component of our SMS specifies how we use data and conduct quality assurance and internal oversight to validate the effectiveness of risk controls and the performance of the SMS. The Safety Risk Management (SRM) element of our SMS provides a decision-making process for identifying hazards and mitigating risk based on a thorough understanding of our systems and their operating environment. We employ SRM whenever there is a significant change to our operations, such as delivery of new aircraft. Lastly, the Safety Promotion component includes training and raising awareness among team members so that they can spot potential safety events.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Customers</w:t>
      </w:r>
    </w:p>
    <w:p>
      <w:pPr>
        <w:spacing w:after="0" w:line="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We fly to more than 300 destinations in the United States and internationally, and we are committed to providing our customers with a world-class travel experience. We continued to rigorously measure and track customer satisfaction through passenger surveys in 2022, efforts that led to further improvements in our operations and the services we provide.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2022:</w:t>
      </w:r>
    </w:p>
    <w:p>
      <w:pPr>
        <w:spacing w:after="0" w:line="171" w:lineRule="exact"/>
        <w:rPr>
          <w:sz w:val="20"/>
          <w:szCs w:val="20"/>
          <w:color w:val="auto"/>
        </w:rPr>
      </w:pPr>
    </w:p>
    <w:p>
      <w:pPr>
        <w:ind w:left="1300" w:hanging="644"/>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recorded a record Likelihood to Recommend score based on our internal customer data derived from approximately three million surveys completed by our customers in 2022; and</w:t>
      </w:r>
    </w:p>
    <w:p>
      <w:pPr>
        <w:spacing w:after="0" w:line="98"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were recognized for the fifth consecutive year with the prestigious Five Star rating in The APEX Official Airline Ratings – Global Airline category. This rating is based on verified customer feedback on the overall travel experience.</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People</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airline business is labor intensive, and our team members are critical to delivering for our customers. The operational complexity of our business requires a diverse team of personnel trained and experienced in a variety of technical areas such as flight operations, ground operations, safety and maintenance, customer service and airline scheduling and planning. We believe that if we create an environment where our team members feel supported, they will take care of our customers and thereby support the success of our business. To do this, we must continue to build a diverse and inclusive environment, helping all team members reach their full potential and providing them with the right resources and support.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Talent Development</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We focus on providing our team members the tools, training and resources they need to do their best work. We maintain a suite of programs aimed at helping our people develop the skills and experience they need to succeed in their roles and build rewarding, long-term careers within our company. Additionally, we have partnered with leading online learning platforms to make professional development available on-demand to all of our team members.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Diversity, Equity and Inclusion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Cultivating an environment that celebrates diversity, equity and inclusion (DEI) is a priority for us, and we seek to create a workplace where diverse perspectives and experiences are welcomed and encouraged, where team members feel comfortable to be their authentic selves and where we are always learning from one another. Our goal is to make culture a competitive advantage so people will want to work with us, fly with us and invest in us. We are implementing a multiyear strategy focused on embedding DEI throughout our company by: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engaging and retaining talent for growth;</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excellence in our operations to serve and expand our global markets;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Striving to have our teams reflect the diversity of our global customer base;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Driving innovation to build competitive advantages.</w:t>
      </w:r>
    </w:p>
    <w:p>
      <w:pPr>
        <w:spacing w:after="0" w:line="17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2022, we received a perfect score on the 2022 Disability Equality Index and were designated a Human Rights Campaign’s 2022 Best Place to Work for LGBTQ+ Equality. We also launched the Selection, Onboarding, Advancement and Retention program, an expansion of our Executive Sponsorship Program, which creates a sustainable foundation for supporting diverse talent and underrepresented groups across our company.</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Competitive Pay and Comprehensive Benefits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seek to offer competitive pay, comprehensive benefits and a wide variety of resources designed to support the physical, behavioral and financial well-being of our team members and their families, including medical coverage that is intended to be affordable and flexible along with healthcare navigation and support tools.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internal recognition programs give team members and customers the opportunity to show their appreciation for a job well done, including through our Nonstop Thanks program whereby team members can award each other points for exceptional service or as an expression of gratitude. Recognition points earned through the recognition program can be redeemed for items in an online catalog. In 2022, our team members were recognized by customers, peers and company leaders over two million times and hundreds of team members were nominated for the annual Chairman’s Award, the highest honor that we bestow upon our team members.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future success depends in large part on our ability to attract, develop and retain highly qualified management, technical and other personnel. Retaining and recruiting people with the appropriate skills has been particularly challenging as the economy in general, and the airline industry in particular, have continued to recover from the COVID-19 pandemic. A rapid return of demand for air travel and the corresponding need for airlines to staff expanding operations resulted in a period of intense competition for the human resources necessary to operate our business successfully. Like many other airlines, we have experienced and continue to experience periodic shortages of frontline team members as a result. Certain of these personnel shortages, such as pilots, are systemic and could persist for some time. For more discussion, see Part I, Item 1A. Risk Factors – </w:t>
      </w:r>
      <w:r>
        <w:rPr>
          <w:rFonts w:ascii="Arial" w:cs="Arial" w:eastAsia="Arial" w:hAnsi="Arial"/>
          <w:sz w:val="18"/>
          <w:szCs w:val="18"/>
          <w:i w:val="1"/>
          <w:iCs w:val="1"/>
          <w:color w:val="auto"/>
        </w:rPr>
        <w:t>“The loss of key personnel upon whom we depend to operate our business or the</w:t>
      </w:r>
      <w:r>
        <w:rPr>
          <w:rFonts w:ascii="Arial" w:cs="Arial" w:eastAsia="Arial" w:hAnsi="Arial"/>
          <w:sz w:val="18"/>
          <w:szCs w:val="18"/>
          <w:color w:val="auto"/>
        </w:rPr>
        <w:t xml:space="preserve"> </w:t>
      </w:r>
      <w:r>
        <w:rPr>
          <w:rFonts w:ascii="Arial" w:cs="Arial" w:eastAsia="Arial" w:hAnsi="Arial"/>
          <w:sz w:val="18"/>
          <w:szCs w:val="18"/>
          <w:i w:val="1"/>
          <w:iCs w:val="1"/>
          <w:color w:val="auto"/>
        </w:rPr>
        <w:t>inability to attract and develop additional qualified personnel could adversely affect our business.”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Labor Relations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2022, mainline and regional salaries, wages and benefits were our largest expense and represented 32% of our total operating expenses. As of December 31, 2022, we had approximately 129,700 active full-time equivalent employees, approximately 87% of whom were represented by various labor unions responsible for negotiating the collective bargaining agreements (CBAs) governing their compensation and job duties, among other things.</w:t>
      </w:r>
    </w:p>
    <w:p>
      <w:pPr>
        <w:spacing w:after="0" w:line="122"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Labor relations in the air transportation industry are regulated under the Railway Labor Act (RLA), which vests in the National Mediation Board (NMB) certain functions with respect to disputes between airlines and labor unions relating to union representation and CBAs.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shows our domestic airline employee groups that are represented by unions: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Union</w:t>
            </w:r>
          </w:p>
        </w:tc>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or Craft</w:t>
            </w: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8"/>
                <w:szCs w:val="18"/>
                <w:b w:val="1"/>
                <w:bCs w:val="1"/>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9"/>
        </w:trPr>
        <w:tc>
          <w:tcPr>
            <w:tcW w:w="5240" w:type="dxa"/>
            <w:vAlign w:val="bottom"/>
            <w:gridSpan w:val="2"/>
            <w:vMerge w:val="continue"/>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Amendable Date</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Mainline:</w:t>
            </w:r>
          </w:p>
        </w:tc>
        <w:tc>
          <w:tcPr>
            <w:tcW w:w="1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Allied Pilots Association (APA)</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Association of Professional Flight Attendants (APFA)</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75"/>
        </w:trPr>
        <w:tc>
          <w:tcPr>
            <w:tcW w:w="5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Airline Customer Service Employee Association –</w:t>
            </w:r>
          </w:p>
        </w:tc>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Passenger Service</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14,650</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176"/>
        </w:trPr>
        <w:tc>
          <w:tcPr>
            <w:tcW w:w="52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Communications Workers of America and International</w:t>
            </w: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Brotherhood of Teamsters (CWA-IBT)</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24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Transport Workers Union and International Association of</w:t>
            </w:r>
          </w:p>
        </w:tc>
        <w:tc>
          <w:tcPr>
            <w:tcW w:w="286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Mechanics and Related</w:t>
            </w:r>
          </w:p>
        </w:tc>
        <w:tc>
          <w:tcPr>
            <w:tcW w:w="134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rPr>
              <w:t>11,850</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43"/>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Machinists &amp; Aerospace Workers (TWU-IAM Association)</w:t>
            </w:r>
          </w:p>
        </w:tc>
        <w:tc>
          <w:tcPr>
            <w:tcW w:w="2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18,700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TWU-IAM Association</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Flight Simulator Engineers</w:t>
            </w: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TWU-IAM Association</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Maintenance Control Technicians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Maintenance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Airline Flight Control Association (PAFCA)</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Transport Workers Union (TWU)</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Envoy:</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Air Line Pilots Associations (ALPA)</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Association of Flight Attendants-CWA (AFA)</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Ground School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Simulator Instructors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Communications Workers of America (CWA)</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Passenger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Piedmont:</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AFA</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International Brotherhood of Teamsters (IBT)</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Mechanics and Related</w:t>
            </w:r>
          </w:p>
        </w:tc>
        <w:tc>
          <w:tcPr>
            <w:tcW w:w="13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IBT</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CWA</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Fleet and Passenger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IBT</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PSA:</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AFA</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175"/>
        </w:trPr>
        <w:tc>
          <w:tcPr>
            <w:tcW w:w="5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International Association of Machinists &amp; Aerospace Workers</w:t>
            </w:r>
          </w:p>
        </w:tc>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Mechanics and Related</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620</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41"/>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(IAM)</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3112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ind w:left="5520" w:right="4520" w:hanging="5512"/>
        <w:spacing w:after="0" w:line="721" w:lineRule="auto"/>
        <w:tabs>
          <w:tab w:leader="none" w:pos="322"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approximate number of active employees as of December 31, 2022.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CBAs covering our mainline pilots, flight attendants and passenger service are now amendable and negotiations involving these workgroups continue. Among our wholly-owned regional subsidiaries, the Envoy mechanics and related, Envoy stock clerks and PSA mechanics and related have agreements that are now amendable and are engaged in traditional RLA negotiations.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 more discussion, see Part I, Item 1A. Risk Factors – “</w:t>
      </w:r>
      <w:r>
        <w:rPr>
          <w:rFonts w:ascii="Arial" w:cs="Arial" w:eastAsia="Arial" w:hAnsi="Arial"/>
          <w:sz w:val="18"/>
          <w:szCs w:val="18"/>
          <w:i w:val="1"/>
          <w:iCs w:val="1"/>
          <w:color w:val="auto"/>
        </w:rPr>
        <w:t>Union disputes, employee strikes and other labor-related disruptions, or our</w:t>
      </w:r>
      <w:r>
        <w:rPr>
          <w:rFonts w:ascii="Arial" w:cs="Arial" w:eastAsia="Arial" w:hAnsi="Arial"/>
          <w:sz w:val="18"/>
          <w:szCs w:val="18"/>
          <w:color w:val="auto"/>
        </w:rPr>
        <w:t xml:space="preserve"> </w:t>
      </w:r>
      <w:r>
        <w:rPr>
          <w:rFonts w:ascii="Arial" w:cs="Arial" w:eastAsia="Arial" w:hAnsi="Arial"/>
          <w:sz w:val="18"/>
          <w:szCs w:val="18"/>
          <w:i w:val="1"/>
          <w:iCs w:val="1"/>
          <w:color w:val="auto"/>
        </w:rPr>
        <w:t>inability to otherwise maintain labor costs at competitive levels and hire and retain a sufficient number of employees may adversely affect our operations and financial performance</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operations and financial results are materially affected by the availability and price of aircraft fuel, which represents one of the largest single cost items in our business. Based on our 2023 forecasted mainline and regional fuel consumption, we estimate that a one cent per gallon increase in the price of aircraft fuel would increase our 2023 annual fuel expense by approximately $40 million.</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following table shows annual aircraft fuel consumption and costs, including taxes, for our mainline and regional operations for 2022 and 2021 (gallons and aircraft fuel expense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Gallons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Aircraft Fuel</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rPr>
              <w:t>per Gallon</w:t>
            </w:r>
          </w:p>
        </w:tc>
        <w:tc>
          <w:tcPr>
            <w:tcW w:w="166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rPr>
              <w:t>Expense</w:t>
            </w:r>
          </w:p>
        </w:tc>
        <w:tc>
          <w:tcPr>
            <w:tcW w:w="18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Operating Expenses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$13,791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39"/>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2021</w:t>
            </w:r>
          </w:p>
        </w:tc>
        <w:tc>
          <w:tcPr>
            <w:tcW w:w="1300" w:type="dxa"/>
            <w:vAlign w:val="bottom"/>
          </w:tcPr>
          <w:p>
            <w:pPr>
              <w:jc w:val="center"/>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$2.04</w:t>
            </w:r>
          </w:p>
        </w:tc>
        <w:tc>
          <w:tcPr>
            <w:tcW w:w="100" w:type="dxa"/>
            <w:vAlign w:val="bottom"/>
          </w:tcPr>
          <w:p>
            <w:pPr>
              <w:spacing w:after="0"/>
              <w:rPr>
                <w:sz w:val="20"/>
                <w:szCs w:val="20"/>
                <w:color w:val="auto"/>
              </w:rPr>
            </w:pPr>
          </w:p>
        </w:tc>
        <w:tc>
          <w:tcPr>
            <w:tcW w:w="1560" w:type="dxa"/>
            <w:vAlign w:val="bottom"/>
          </w:tcPr>
          <w:p>
            <w:pPr>
              <w:jc w:val="right"/>
              <w:ind w:right="419"/>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As of December 31,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aircraft fuel prices.</w:t>
      </w:r>
    </w:p>
    <w:p>
      <w:pPr>
        <w:spacing w:after="0" w:line="122"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Aircraft fuel prices have in the past, and may in the future, experience substantial volatility. We cannot predict the future availability, price volatility or cost of aircraft fuel. For more discussion, see Part I, Item 1A. Risk Factors – “</w:t>
      </w:r>
      <w:r>
        <w:rPr>
          <w:rFonts w:ascii="Arial" w:cs="Arial" w:eastAsia="Arial" w:hAnsi="Arial"/>
          <w:sz w:val="18"/>
          <w:szCs w:val="18"/>
          <w:i w:val="1"/>
          <w:iCs w:val="1"/>
          <w:color w:val="auto"/>
        </w:rPr>
        <w:t>Our business is very dependent on the price and</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of aircraft fuel. Continued periods of high volatility in fuel costs, increased fuel prices or significant disruptions in the supply of aircraft fuel could have a significant negative impact on consumer demand, our operating results and liquidity</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90"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Due to the greater demand for air travel during the summer months, revenues in the airline industry in the second and third quarters of the year tend to be greater than revenues in the first and fourth quarters of the year. General economic conditions, fears of terrorism or war, fare initiatives, fluctuations in fuel prices, labor actions, weather, natural disasters, outbreaks of disease and other factors could impact this seasonal pattern. Therefore, our quarterly results of operations are not necessarily indicative of operating results for the entire year, and historical operating results in a quarterly or annual period are not necessarily indicative of future operating results.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and Global Regulatory Landscape</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8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Airlines are subject to extensive domestic and international regulatory requirements. Domestically, the DOT and the Federal Aviation Administration (FAA) exercise significant regulatory authority over air carriers.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DOT, among other things, oversees and regulates domestic and international codeshare agreements, international route authorities, competition and consumer protection matters including accessibility, the display and sharing of ancillary fee information and refund practices. The Antitrust Division of the DOJ, along with the DOT in certain instances, have jurisdiction over airline antitrust matters.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FAA similarly exercises safety oversight and regulates most operational matters of our business, including how we operate and maintain our aircraft. FAA requirements cover, among other things, required technology and necessary onboard equipment; systems, procedures and training necessary to ensure the continuous airworthiness of our fleet of aircraft; safety measures and equipment; crew scheduling limitations and experience requirements; and many other technical aspects of airline operations. Additionally, our pilots and other employees are subject to rigorous certification standards, and our pilots and other crew members must adhere to flight time and rest requirements.</w:t>
      </w:r>
    </w:p>
    <w:p>
      <w:pPr>
        <w:spacing w:after="0" w:line="12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The FAA also controls the national airspace system, including operational rules and fees for air traffic control (ATC) services. The efficiency, reliability and capacity of the ATC network has a significant impact on our costs and on the timeliness of our operations.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U.S. Postal Service has jurisdiction over certain aspects of the transportation of mail and related services.</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Airport Access and Operations</w:t>
      </w:r>
    </w:p>
    <w:p>
      <w:pPr>
        <w:spacing w:after="0" w:line="8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Domestically, any U.S. airline authorized by the DOT is generally free to operate scheduled passenger service between any two points within the U.S. and its territories, with the exception of certain airports that require landing and take-off rights and authorizations (slots) and other facilities, and certain airports that impose geographic limitations on operations or curtail operations based on the time of day. Operations at three major domestic airports we serve (JFK and LGA in New York City, and DCA near Washington, D.C.) and many foreign airports we serve (including LHR)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In addition to slot restrictions, operations at DCA and LGA are also limited based on a so-called “perimeter rule” which generally limits the stage length of the flights that can be operated from those airports to 1,250 and 1,500 miles, respectively. Generally, our ability to retain slots is conditioned on the continued use of such slots, and in the absence of use, the slots are subject to forfeiture. In certain circumstances, such as during the COVID-19 pandemic, regulators may issue slot waivers which temporarily suspend or amend slot usage requirements, and we have used slot waivers at times to reduce flying levels given limited demand for travel. We cannot guarantee that such waivers will be made available to us, or that upon expiration or cancellation of such waivers it will be economical for us to resume prior levels of flying to destinations where we have operated a reduced service. If we are forced to surrender slots, we may be unable to provide our desired level of service to or from certain destinations in the future. For more discussion, see Part I, Item 1A. Risk Factors – “</w:t>
      </w:r>
      <w:r>
        <w:rPr>
          <w:rFonts w:ascii="Arial" w:cs="Arial" w:eastAsia="Arial" w:hAnsi="Arial"/>
          <w:sz w:val="18"/>
          <w:szCs w:val="18"/>
          <w:i w:val="1"/>
          <w:iCs w:val="1"/>
          <w:color w:val="auto"/>
        </w:rPr>
        <w:t>If we are unable to obtain and maintain adequate facilities and infrastructure throughout our system and, at some</w:t>
      </w:r>
      <w:r>
        <w:rPr>
          <w:rFonts w:ascii="Arial" w:cs="Arial" w:eastAsia="Arial" w:hAnsi="Arial"/>
          <w:sz w:val="18"/>
          <w:szCs w:val="18"/>
          <w:color w:val="auto"/>
        </w:rPr>
        <w:t xml:space="preserve"> </w:t>
      </w:r>
      <w:r>
        <w:rPr>
          <w:rFonts w:ascii="Arial" w:cs="Arial" w:eastAsia="Arial" w:hAnsi="Arial"/>
          <w:sz w:val="18"/>
          <w:szCs w:val="18"/>
          <w:i w:val="1"/>
          <w:iCs w:val="1"/>
          <w:color w:val="auto"/>
        </w:rPr>
        <w:t>airports, adequate slots, we may be unable to operate our existing flight schedule and to expand or change our route network in the future, which may have a material adverse impact on our operations.”</w:t>
      </w:r>
    </w:p>
    <w:p>
      <w:pPr>
        <w:spacing w:after="0" w:line="13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Our ability to provide service can also be impaired at airports, such as Chicago O’Hare International Airport (ORD) and LAX, where the airport gate and other facilities are currently inadequate to accommodate all of the service that we would like to provide, or airports such as Dallas Love Field Airport where we have no access to gates at all.</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Existing law also permits domestic local airport authorities to implement procedures and impose restrictions designed to abate noise, provided such procedures and restrictions do not unreasonably interfere with interstate or foreign commerce or the national transportation system. In some instances, these restrictions have caused curtailments in service or increases in operating costs.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Airline Fares, Taxes and User Fees</w:t>
      </w:r>
    </w:p>
    <w:p>
      <w:pPr>
        <w:spacing w:after="0" w:line="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Airlines are permitted to establish their own domestic fares without governmental regulation. The DOT maintains authority over certain international fares, rates and charges, but only applies this authority on a limited basis. In addition, international fares and rates are sometimes subject to the jurisdiction of the governments of the foreign countries which we serve.</w:t>
      </w:r>
    </w:p>
    <w:p>
      <w:pPr>
        <w:spacing w:after="0" w:line="117"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Airlines are obligated to collect a federal excise tax, commonly referred to as the “ticket tax,” on domestic and international air transportation, and to collect other taxes and charge other fees, such as foreign taxes, security fees and passenger facility charges. Although these taxes and fees are not our operating expenses, they represent an additional cost to our customers. These taxes and fees are subject to increase from time to time.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DOT Passenger Protection Rules</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DOT regulates airline interactions with passengers through the ticketing process, at the airport and onboard the aircraft. Among other things, these regulations govern how our fares are displayed online, required customer disclosures, access by disabled passengers, handling of long onboard flight delays and reporting of mishandled bags. In 2023, the DOT is expected to propose or implement a number of new disability regulations that will impact us, including rules for accessible lavatories on single-aisle aircraft, penalties for wheelchair loss or damage and prompt wheelchair assistance. The DOT is also expected to finalize rules requiring refunds for cancellations and significant delays and rules mandating the display of ancillary fees during the initial itinerary search.</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International air transportation is subject to extensive government regulation, including aviation agreements between the U.S. and other countries or governmental authorities, such as the EU. Moreover, our alliances with international carriers may be subject to the jurisdiction and regulations of various foreign agencies. The U.S. government has negotiated “open skies” agreements with 131 trading partners, which allow unrestricted route authority access between the U.S. and the foreign markets.</w:t>
      </w:r>
    </w:p>
    <w:p>
      <w:pPr>
        <w:spacing w:after="0" w:line="122"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addition, foreign countries impose passenger protection rules, which are analogous to, and often meet or exceed the requirements of, the DOT passenger protection rules discussed above. In cases where these foreign requirements exceed the DOT rules, we may bear additional burdens and liabilities. Further, various foreign airport authorities impose noise and curfew restrictions at their local airports.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Security</w:t>
      </w:r>
    </w:p>
    <w:p>
      <w:pPr>
        <w:spacing w:after="0" w:line="8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Substantially all aspects of civil aviation security in the U.S. or affecting U.S. carriers are controlled or regulated by the federal government through the Transportation Security Administration (TSA). Requirements include flight deck security; carriage of federal air marshals at no charge; enhanced security screening of passengers, baggage, cargo, mail, employees and vendors; fingerprint-based background checks of all employees and vendor employees with access to secure areas of airports; and the provision of certain passenger data to the federal government and other international border security authorities, for security and immigration controls. Funding for the TSA is provided by a combination of air carrier fees, passenger fees and taxpayer funds. Customs and Border Protection, which, like the TSA, is part of the Department of Homeland Security, also promulgates requirements, performs services and collects fees that impact our provision of services. Additionally, we have at times found it necessary or desirable to make significant expenditures to comply with security-related requirements while seeking to reduce their impact on our customers, such as expenditures for automated security screening lines at airports. Our international service further requires us to comply with the civil aviation security regimes imposed at the foreign airports we serve.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Environmental Regulation</w:t>
      </w:r>
    </w:p>
    <w:p>
      <w:pPr>
        <w:spacing w:after="0" w:line="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airline industry is subject to various laws and government regulations concerning environmental matters in the U.S. and other countries. U.S. federal laws that have a particular impact on our operations include the Airport Noise and Capacity Act of 1990, the Clean Air Act, the Resource Conservation and Recovery Act, the Clean Water Act, the Safe Drinking Water Act and the Comprehensive Environmental Response, Compensation and Liability Act (Superfund Act). The U.S. Environmental Protection Agency (EPA) and other federal agencies have been authorized to promulgate regulations that have an impact on our operations. In addition to these federal activities, various states have been delegated certain authorities under the aforementioned federal statutes. Many state and local governments have adopted environmental laws and regulations which are similar to or stricter than federal requirements.</w:t>
      </w:r>
    </w:p>
    <w:p>
      <w:pPr>
        <w:spacing w:after="0" w:line="129"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Revised underground storage tank regulations issued by the EPA in 2015 have affected certain airport fuel hydrant systems, with modifications of such systems needed in order to comply with applicable portions of the revised regulations. In addition, related to the EPA and state regulations pertaining to storm water management, several U.S. airport authorities are actively engaged in efforts to limit discharges of deicing fluid into the environment, often by requiring airlines to participate in the building or reconfiguring of airport deicing facilities. Additionally, compliance with updated federal and state regulations governing fire extinguishing foams are expected to require modification to fire suppression systems that we operate, as well as those maintained by airports. We are evaluating the costs and potential impacts to our business of complying with these new regulations. On November 23, 2022, the EPA also published the final rule for particulate matter emission standards and test procedures for civil aircraft engines, which took effect on December 23,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environmental laws to which we are subject include those related to responsibility for potential soil and groundwater contamination. We are conducting investigation and remediation activities to address soil and groundwater conditions at several sites, including airports and maintenance bases. We presently anticipate that the ongoing costs of such activities will not have a material impact on our operations.</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We employ an environmental management system that provides a systematic approach for compliance with environmental regulations and management of a broad range of environmental issues, including but not limited to air emissions, hazardous waste, underground tanks, and aircraft water quality.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Aircraft Emissions and Climate Change Requirements</w:t>
      </w:r>
    </w:p>
    <w:p>
      <w:pPr>
        <w:spacing w:after="0" w:line="88" w:lineRule="exact"/>
        <w:rPr>
          <w:sz w:val="20"/>
          <w:szCs w:val="20"/>
          <w:color w:val="auto"/>
        </w:rPr>
      </w:pPr>
    </w:p>
    <w:p>
      <w:pPr>
        <w:jc w:val="both"/>
        <w:ind w:firstLine="202"/>
        <w:spacing w:after="0" w:line="243" w:lineRule="auto"/>
        <w:rPr>
          <w:sz w:val="20"/>
          <w:szCs w:val="20"/>
          <w:color w:val="auto"/>
        </w:rPr>
      </w:pPr>
      <w:r>
        <w:rPr>
          <w:rFonts w:ascii="Arial" w:cs="Arial" w:eastAsia="Arial" w:hAnsi="Arial"/>
          <w:sz w:val="18"/>
          <w:szCs w:val="18"/>
          <w:color w:val="auto"/>
        </w:rPr>
        <w:t>American is subject to the requirements of the Carbon Offsetting and Reduction Scheme for International Aviation (CORSIA), an international, market-based emissions reduction program adopted by the International Civil Aviation Organization (ICAO) in 2016. CORSIA is intended to achieve carbon-neutral growth in the international aviation sector from 2021 through 2035 by requiring airlines to compensate for the growth in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relative to a predetermined baseline determined by ICAO, of a significant majority of international flights through the purchase of carbon offsets or the use of low-carbon fuels.</w:t>
      </w:r>
    </w:p>
    <w:p>
      <w:pPr>
        <w:spacing w:after="0" w:line="13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Currently, we expect to be required to purchase carbon offset credits to comply with CORSIA’s first “implementation phase” (2024-2026). We do not expect to be required to purchase carbon offset credits beforehand, unless during 2023 the demand for international travel is stronger than expected and exceeds that of 2019.</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Our future costs of CORSIA compliance are uncertain because of the difficulty in estimating the return of demand for international air travel in the recovery from the COVID-19 pandemic and the uncertainty with respect to the future supply and price of carbon offset credits and lower-carbon aircraft fuels.</w:t>
      </w:r>
    </w:p>
    <w:p>
      <w:pPr>
        <w:spacing w:after="0" w:line="11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January 2021, the EPA adopted GHG emission standards for new aircraft engines, which are aligned with the 2017 ICAO aircraft engine GHG emission standards. Like the ICAO standards, the final EPA standards for new aircraft engines would not apply retroactively to engines already on in-service aircraft. These final standards have been challenged by several states and environmental groups, and the Biden Administration has issued an executive order requiring a review of these final standards. On November 15, 2021, the EPA announced that it would not rewrite the existing aircraft engine GHG emissions standards but would seek more for ambitious new aircraft GHG emission standards within the ICAO process. The outcome of the legal challenge and whether there will be any development of new aircraft GHG emissions standards cannot be predicted at this time.</w:t>
      </w:r>
    </w:p>
    <w:p>
      <w:pPr>
        <w:spacing w:after="0" w:line="129"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EC’s ReFuelEU Aviation initiative (part of its “Fit for 55” program) included a proposal for the creation of a SAF blending mandate for aviation fuel suppliers set at 2% beginning in 2025 and rising to 63% by 2050, among other requirements. The European Parliament (which has proposed stricter targets in relation to SAF blending percentages for 2050) and the European Council have adopted initial negotiating positions with respect to the ReFuelEU Aviation initiative and are currently in negotiations in relation to the final text of the proposed regulation. Individual EU member states have been developing their own requirements including, for example, a 1% SAF mandate in France that came into force on January 1, 2022. Whether and in what form these regulations will be finalized and the potential effects on our business are uncertain at this time.</w:t>
      </w:r>
    </w:p>
    <w:p>
      <w:pPr>
        <w:spacing w:after="0" w:line="129"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before cost-effective emissions reduction technologies are available, for example, through requirements to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22"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 xml:space="preserve">For more information on our approach to ESG issues, see our 2021 ESG Report at our website </w:t>
      </w:r>
      <w:r>
        <w:rPr>
          <w:rFonts w:ascii="Arial" w:cs="Arial" w:eastAsia="Arial" w:hAnsi="Arial"/>
          <w:sz w:val="18"/>
          <w:szCs w:val="18"/>
          <w:i w:val="1"/>
          <w:iCs w:val="1"/>
          <w:color w:val="auto"/>
        </w:rPr>
        <w:t>www</w:t>
      </w:r>
      <w:r>
        <w:rPr>
          <w:rFonts w:ascii="Arial" w:cs="Arial" w:eastAsia="Arial" w:hAnsi="Arial"/>
          <w:sz w:val="18"/>
          <w:szCs w:val="18"/>
          <w:color w:val="auto"/>
        </w:rPr>
        <w:t>.</w:t>
      </w:r>
      <w:r>
        <w:rPr>
          <w:rFonts w:ascii="Arial" w:cs="Arial" w:eastAsia="Arial" w:hAnsi="Arial"/>
          <w:sz w:val="18"/>
          <w:szCs w:val="18"/>
          <w:i w:val="1"/>
          <w:iCs w:val="1"/>
          <w:color w:val="auto"/>
        </w:rPr>
        <w:t>aa.com</w:t>
      </w:r>
      <w:r>
        <w:rPr>
          <w:rFonts w:ascii="Arial" w:cs="Arial" w:eastAsia="Arial" w:hAnsi="Arial"/>
          <w:sz w:val="18"/>
          <w:szCs w:val="18"/>
          <w:color w:val="auto"/>
        </w:rPr>
        <w:t xml:space="preserve"> under “Environmental, Social and Governance.” None of the information or contents of our 2021 ESG Report are incorporated into this Annual Report on Form 10-K.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of Regulatory Requirements on Our Business</w:t>
      </w:r>
    </w:p>
    <w:p>
      <w:pPr>
        <w:spacing w:after="0" w:line="88" w:lineRule="exact"/>
        <w:rPr>
          <w:sz w:val="20"/>
          <w:szCs w:val="20"/>
          <w:color w:val="auto"/>
        </w:rPr>
      </w:pPr>
    </w:p>
    <w:p>
      <w:pPr>
        <w:jc w:val="both"/>
        <w:ind w:firstLine="202"/>
        <w:spacing w:after="0" w:line="247" w:lineRule="auto"/>
        <w:rPr>
          <w:sz w:val="20"/>
          <w:szCs w:val="20"/>
          <w:color w:val="auto"/>
        </w:rPr>
      </w:pPr>
      <w:r>
        <w:rPr>
          <w:rFonts w:ascii="Arial" w:cs="Arial" w:eastAsia="Arial" w:hAnsi="Arial"/>
          <w:sz w:val="18"/>
          <w:szCs w:val="18"/>
          <w:color w:val="auto"/>
        </w:rPr>
        <w:t>Regulatory requirements, including but not limited to those discussed above, affect operations and increase operating costs for the airline industry, including our airline subsidiaries, and future regulatory developments may continue to do the same. For additional information, see Part I, Item 1A. Risk Factors – “</w:t>
      </w:r>
      <w:r>
        <w:rPr>
          <w:rFonts w:ascii="Arial" w:cs="Arial" w:eastAsia="Arial" w:hAnsi="Arial"/>
          <w:sz w:val="18"/>
          <w:szCs w:val="18"/>
          <w:i w:val="1"/>
          <w:iCs w:val="1"/>
          <w:color w:val="auto"/>
        </w:rPr>
        <w:t>Evolving data security and privacy requirements (in particular, compliance with applicable federal, state and</w:t>
      </w:r>
      <w:r>
        <w:rPr>
          <w:rFonts w:ascii="Arial" w:cs="Arial" w:eastAsia="Arial" w:hAnsi="Arial"/>
          <w:sz w:val="18"/>
          <w:szCs w:val="18"/>
          <w:color w:val="auto"/>
        </w:rPr>
        <w:t xml:space="preserve"> </w:t>
      </w:r>
      <w:r>
        <w:rPr>
          <w:rFonts w:ascii="Arial" w:cs="Arial" w:eastAsia="Arial" w:hAnsi="Arial"/>
          <w:sz w:val="18"/>
          <w:szCs w:val="18"/>
          <w:i w:val="1"/>
          <w:iCs w:val="1"/>
          <w:color w:val="auto"/>
        </w:rPr>
        <w:t>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 “If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“The airline industry is heavily taxed,</w:t>
      </w:r>
      <w:r>
        <w:rPr>
          <w:rFonts w:ascii="Arial" w:cs="Arial" w:eastAsia="Arial" w:hAnsi="Arial"/>
          <w:sz w:val="18"/>
          <w:szCs w:val="18"/>
          <w:color w:val="auto"/>
        </w:rPr>
        <w:t>”</w:t>
      </w:r>
      <w:r>
        <w:rPr>
          <w:rFonts w:ascii="Arial" w:cs="Arial" w:eastAsia="Arial" w:hAnsi="Arial"/>
          <w:sz w:val="18"/>
          <w:szCs w:val="18"/>
          <w:i w:val="1"/>
          <w:iCs w:val="1"/>
          <w:color w:val="auto"/>
        </w:rPr>
        <w:t xml:space="preserve"> “We are subject to many forms of environmental and noise regulation and may incur substantial costs as a result,” </w:t>
      </w:r>
      <w:r>
        <w:rPr>
          <w:rFonts w:ascii="Arial" w:cs="Arial" w:eastAsia="Arial" w:hAnsi="Arial"/>
          <w:sz w:val="18"/>
          <w:szCs w:val="18"/>
          <w:color w:val="auto"/>
        </w:rPr>
        <w:t>and</w:t>
      </w:r>
      <w:r>
        <w:rPr>
          <w:rFonts w:ascii="Arial" w:cs="Arial" w:eastAsia="Arial" w:hAnsi="Arial"/>
          <w:sz w:val="18"/>
          <w:szCs w:val="18"/>
          <w:i w:val="1"/>
          <w:iCs w:val="1"/>
          <w:color w:val="auto"/>
        </w:rPr>
        <w:t xml:space="preserve"> “We are subject to risks associated with climate change, including increased regulation of our CO</w:t>
      </w:r>
      <w:r>
        <w:rPr>
          <w:rFonts w:ascii="Arial" w:cs="Arial" w:eastAsia="Arial" w:hAnsi="Arial"/>
          <w:sz w:val="23"/>
          <w:szCs w:val="23"/>
          <w:i w:val="1"/>
          <w:iCs w:val="1"/>
          <w:color w:val="auto"/>
          <w:vertAlign w:val="subscript"/>
        </w:rPr>
        <w:t>2</w:t>
      </w:r>
      <w:r>
        <w:rPr>
          <w:rFonts w:ascii="Arial" w:cs="Arial" w:eastAsia="Arial" w:hAnsi="Arial"/>
          <w:sz w:val="18"/>
          <w:szCs w:val="18"/>
          <w:i w:val="1"/>
          <w:iCs w:val="1"/>
          <w:color w:val="auto"/>
        </w:rPr>
        <w:t xml:space="preserve"> emissions, changing consumer preferences and the potential increased impacts of severe weather events on our operations and infrastructure.”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Websites to Disclose Information</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We have made and expect in the future to make public disclosures to investors and the general public of information regarding AAG and its subsidiaries by means of the investor relations section of our website as well as through the use of our social media sites, including Facebook and Twitter. In order to receive notifications regarding new postings to our website, investors are encouraged to enroll on our website to receive automatic email alerts (see </w:t>
      </w:r>
      <w:r>
        <w:rPr>
          <w:rFonts w:ascii="Arial" w:cs="Arial" w:eastAsia="Arial" w:hAnsi="Arial"/>
          <w:sz w:val="18"/>
          <w:szCs w:val="18"/>
          <w:i w:val="1"/>
          <w:iCs w:val="1"/>
          <w:color w:val="auto"/>
        </w:rPr>
        <w:t>https://americanairlines.gcs-web.com/email-alerts</w:t>
      </w:r>
      <w:r>
        <w:rPr>
          <w:rFonts w:ascii="Arial" w:cs="Arial" w:eastAsia="Arial" w:hAnsi="Arial"/>
          <w:sz w:val="18"/>
          <w:szCs w:val="18"/>
          <w:color w:val="auto"/>
        </w:rPr>
        <w:t>), “follow” American (@AmericanAir) on Twitter and “like” American on our Facebook page (</w:t>
      </w:r>
      <w:r>
        <w:rPr>
          <w:rFonts w:ascii="Arial" w:cs="Arial" w:eastAsia="Arial" w:hAnsi="Arial"/>
          <w:sz w:val="18"/>
          <w:szCs w:val="18"/>
          <w:i w:val="1"/>
          <w:iCs w:val="1"/>
          <w:color w:val="auto"/>
        </w:rPr>
        <w:t>www.facebook.com/AmericanAirlines</w:t>
      </w:r>
      <w:r>
        <w:rPr>
          <w:rFonts w:ascii="Arial" w:cs="Arial" w:eastAsia="Arial" w:hAnsi="Arial"/>
          <w:sz w:val="18"/>
          <w:szCs w:val="18"/>
          <w:color w:val="auto"/>
        </w:rPr>
        <w:t>). None of the information or contents of our website or social media postings is incorporated into this Annual Report on Form 10-K.</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Availability of SEC Reports</w:t>
      </w:r>
    </w:p>
    <w:p>
      <w:pPr>
        <w:spacing w:after="0" w:line="88" w:lineRule="exact"/>
        <w:rPr>
          <w:sz w:val="20"/>
          <w:szCs w:val="20"/>
          <w:color w:val="auto"/>
        </w:rPr>
      </w:pPr>
    </w:p>
    <w:p>
      <w:pPr>
        <w:jc w:val="both"/>
        <w:ind w:right="20" w:firstLine="202"/>
        <w:spacing w:after="0" w:line="262" w:lineRule="auto"/>
        <w:rPr>
          <w:sz w:val="20"/>
          <w:szCs w:val="20"/>
          <w:color w:val="auto"/>
        </w:rPr>
      </w:pPr>
      <w:r>
        <w:rPr>
          <w:rFonts w:ascii="Arial" w:cs="Arial" w:eastAsia="Arial" w:hAnsi="Arial"/>
          <w:sz w:val="18"/>
          <w:szCs w:val="18"/>
          <w:color w:val="auto"/>
        </w:rPr>
        <w:t xml:space="preserve">A copy of this Annual Report on Form 10-K, Quarterly Reports on Form 10-Q, Current Reports on Form 8-K and amendments to those reports are available free of charge on our website as soon as reasonably practicable after we electronically file such material with, or furnish it to, the SEC. The SEC also maintains a website that contains reports, proxy and information statements, and other information regarding issuers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“2013 Credit Facilities” means the 2013 Revolving Facility and 2013 Term Loan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Plan” means the AAG 2013 Incentive Award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term loan facility provided for under the 2013 Credit Agreement.</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“2014 Credit Facilities” means the 2014 Revolving Facility and the 2014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“2020 JFK Bonds” means special facility revenue bonds issued on behalf of American by NYTDC in June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 Form 10-K” means AAG’s and American’s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 JFK Bonds” means special facility revenue bonds NYTDC issued in June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“2021-1 Aircraft” means the 26 aircraft financed or to be financed by American under the 2021-1 Aircraft EETCs.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“2021-1 Aircraft EETCs” means the two pass-through trusts created by American in November 2021 that have issued approximately $960 million aggregate face amount of Series 2021-1 Class A and Class B EETCs.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“2026 Notes” means the AAdvantage Issuers' 5.50% senior secured notes due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“2029 Notes” means the AAdvantage Issuers' 5.75% senior secured notes due 2029.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“3.75% Senior Notes” mean 3.75% senior notes due 2025 with an aggregate principal amount of $500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“5.000% Senior Notes” means the 5.000% senior notes due in 2022 with an aggregate principal amount of $750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“10.75% Senior Secured Notes” means, collectively, the LGA/DCA Notes and the IP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“10.75% Senior Secured Notes Closing Date” means September 25,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“10.75% Senior Secured Notes Collateral” means the IP Collateral and LGA/DCA Collateral.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“11.75% Senior Secured Notes” means the 11.75% senior secured notes due in 2025 with an aggregate principal amount of $2.5 billion.</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“11.75% Senior Secured Notes Collateral” means the First Lien 11.75% Senior Secured Notes Collateral and the Second Lien 11.75% Senior Secured Notes Collateral.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frequent flyer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“AAdvantage Agreements” means the AAdvantage program agreements provided as collateral under the AAdvantage Financing.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“AAdvantage Collateral” means the AAdvantage Agreements (including all payments thereunder) and rights under an intercompany agreement and American’s rights to certain data and other intellectual property used in the AAdvantage program (subject to certain exceptions),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means, collectively, the AAdvantage Notes and the AAdvantage Term Loan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Closing Date” means March 24, 2021.</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“AAdvantage Guarantees” means the AAdvantage Note Guarantees, together with the full and unconditional guarantee of the AAdvantage Loans by the AAdvantage Guarantors.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“AAdvantage Guarantors” means the SPV Guarantors and AAG.</w:t>
      </w:r>
    </w:p>
    <w:p>
      <w:pPr>
        <w:spacing w:after="0" w:line="171"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“AAdvantage Indenture” means the indenture, dated as of March 24, 2021, by and among the AAdvantage Issuers, the AAdvantage Guarantors and Wilmington Trust, National Association, as trustee and as collateral custodian.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“AAdvantage Issuers” means the Loyalty Issuer and American.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Loans” means the $3.5 billion of term loans provided pursuant to the AAdvantage Term Loan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Note Guarantees” means the full and unconditional guarantee of the AAdvantage Notes by the AAdvantage Guarantors.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Notes” means, collectively, the 2026 Notes and the 2029 Notes.</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“AAdvantage Payment Date” means, with respect to the payment of interest on the AAdvantage Notes and AAdvantage Loans, the 20th day of each January, April, July and October.</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“AAdvantage Term Loan Facility” means the $3.5 billion term loan facility provided pursuant to the term loan credit and guaranty agreement, dated as of March 24, 2021, with Barclays Bank PLC, as administrative agent, Wilmington Trust, National Association, as collateral administrator, and the lenders party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“AAL” means the trading symbol under which AAG common stock is listed and traded on the Nasdaq Global Select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“AFA” means Association of Flight Attendants-CWA.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“Air Wisconsin” means Air Wisconsin Airlines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“ALPA” means Air Line Pilots Association.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Air Wisconsin, Mesa, Republic and SkyWest.</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“APA” means Allied Pilots Association.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“APFA” means Association of Professional Flight Attendants.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ectPr>
          <w:pgSz w:w="11900" w:h="16838" w:orient="portrait"/>
          <w:cols w:equalWidth="0" w:num="1">
            <w:col w:w="11240"/>
          </w:cols>
          <w:pgMar w:left="320" w:top="364"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“April 2016 Credit Facilities” means the April 2016 Revolving Facility and April 2016 Spare Parts Term Loan Facility provided for by the 2016 Credit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revolving credit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2016 Spare Parts Term Loan Facility” means the term loan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“ARP” means the American Rescue Plan Act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Standards Update.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means air traffic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“Aviation Act” means subtitle VII of Title 49 of the United States Code,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 Indenture” means the indenture, dated as of June 25, 2020, between AAG and the Convertible Notes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 means Boston Logan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Aid, Relief, and Economic Security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total operating cost per available seat mile and is equal to total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3"/>
          <w:szCs w:val="23"/>
          <w:color w:val="auto"/>
          <w:vertAlign w:val="subscript"/>
        </w:rPr>
        <w:t>2</w:t>
      </w:r>
      <w:r>
        <w:rPr>
          <w:rFonts w:ascii="Arial" w:cs="Arial" w:eastAsia="Arial" w:hAnsi="Arial"/>
          <w:sz w:val="18"/>
          <w:szCs w:val="18"/>
          <w:color w:val="auto"/>
        </w:rPr>
        <w:t>” means carbon dioxide.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Indenture” means the Base Indenture and the Convertible Notes Supplemental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Guarantee” means the full and unconditional guarantee of the Convertible Notes by American.</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“Convertible Notes Supplemental Indenture” means the first supplemental indenture, dated as of June 25, 2020, among AAG, American and the Convertible Notes Trustee.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Trustee” means Wilmington Trust, National Association, as trustee with respect to the 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“COVID-19” refers to a respiratory illness first detected in 2019 and the ensuing global pandemic that remains ongoing as of the date of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means, collectively, the 2013 Credit Facilities, 2014 Credit Facilities and April 2016 Credit Facilities.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“CWA” means Communications Workers of America.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“CWA-IBT” means the Airline Employees Customer Service Association – Communications Workers of America and International Brotherhood of Teamsters.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“DCR” means disputed claims reserve, a reserve established by the Bankruptcy Court, pursuant to the Plan, to hold shares of AAG common stock for issuance to disputed claimholders as of the Effective Date or, alternatively, to former holders of AMR common stock or former holders of certain AMR convertible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term loan facility provided for under the December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“DEI” means diversity, equity and inclusion.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“DOJ” means the United States Department of Justice.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“DOT Agreement” means the agreement reached between the DOT, American, and JetBlue in January 2021, following the termination of DOT’s review of the NEA.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means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“Eighth Amendment” means the Eighth Amendment entered into in January 2020 to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U.S. Environmental Protection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“ERISA” means the Employee Retirement Income Security Act of 1974,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“Ethics Standards” means AAG’s and American’s Standards of Business Conduct.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"EU-UK Trade and Cooperation Agreement" means the trade and cooperation agreement between the EU and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"EWR" means Newark Liberty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“First Lien 11.75% Senior Secured Notes Collateral” means certain assets, rights and properties utilized by American in providing its scheduled air carrier services to and from certain airports in the United States and certain airports in Australia, Canada, the Caribbean, Central America, China, Hong Kong, Japan, Mexico, South Korea, and Switzerland which are used to secure the 11.75% Senior Secured Notes on a first-lien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“GDS” means global distribution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“GOL” means GOL Linhas Aéreas Inteligentes S.A.</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“HoldCo2” means AAdvantage Holdings 2, Ltd., a Cayman Islands exempted company incorporated with limited liability and an indirect wholly owned subsidiary of American and the direct parent of Loyalty Issuer.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“IBT” means International Brotherhood of Teamsters.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“ICAO” means International Civil Aviation Organization.</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“IP Collateral” means certain intellectual property of American, including the “American Airlines” trademark and the “aa.com” domain name in the United States and certain foreign jurisdictions, to which American has given a first lien security interest to secure the IP Notes.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“IP Licenses” means the series of intercompany license agreements pursuant to which an exclusive, irrevocable (subject to certain termination rights), perpetual, worldwide, royalty-bearing sublicense to use American’s rights to certain data and other intellectual property used in the AAdvantage program (subject to certain exceptions) which was granted indirectly by Loyalty Issuer to American.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“IP Notes” means American’s $1.0 billion in initial principal amount of 10.75% senior secured IP notes.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“IP Notes Indenture” means the indenture, dated as of September 25, 2020, by and among American, AAG and Wilmington Trust, National Association, as trustee and as collateral trustee, pursuant to which the IP Notes were issued.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“IRA” means the Inflation Reduction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“JetBlue” means JetBlue Airways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“JetSMART” means JetSmart Airlines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“LAWA” means the Los Angeles World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“LGA/DCA Collateral” means certain slots related to American’s operations at LGA and DCA and certain other assets that are used as (a) a first lien security interest to secure the LGA/DCA Notes and (b) a second lien security interest to secure the IP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“LGA/DCA Notes” means American’s $200 million in initial principal amount of 10.75% senior secured LGA/DCA notes.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“LGA/DCA Notes Indenture” means the indenture, dated as of September 25, 2020, by and among American, AAG and Wilmington Trust, National Association, as trustee and as collateral trustee, pursuant to which the LGA/DCA Notes were issued.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“Loyalty Issuer” means AAdvantage Loyalty IP Ltd., a Cayman Islands exempted company incorporated with limited liability and an indirect wholly owned subsidiary of American and co-issuer of the AAdvantage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“LTV” means loan to value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"NEA" means Northeast Alliance arrangement between American and JetBlue.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“NYTDC” means the New York Transportation Development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“OSHA” means Occupational Health and Safety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“PAFCA” means Professional Airline Flight Control Association.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“PCAOB” means the Public Company Accounting Oversight Board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“PFAS” means per- and polyfluoroalkyl substances.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“Proxy Statement” means American Airlines Group Inc.’s Proxy Statement for the 2023 Annual Meeting of Stockholders of American Airlines Group Inc., certain sections of which are incorporated by reference into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“PSP Agreements” means the payroll support program agreements entered into by the Subsidiaries with Treasury under the CARES Act, PSP Extension Law and ARP.</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“PSP Financial Assistance” means the portion of financial assistance received from Treasury pursuant to the PSP Agreements that is not allocated to the PSP Warrants or the PSP Promissory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“PSP Promissory Notes” means the promissory notes issued to Treasury in connection with the PSP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Warrants” means the warrants issued or to be issued to Treasury pursuant to the PSP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means the payroll support program established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Promissory Note” means the promissory note issued to Treasury in connection with PSP1.</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“PSP1 Warrant Agreement” means the agreement entered into between AAG and Treasury in connection with the Payroll Support Program Agreement entered into by the Subsidiaries with Treasury on April 20, 2020, pursuant to which AAG issued PSP1 Warrants to Treasury to purchase up to an aggregate of approximately 14.0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“PSP1 Warrants” means the warrants issued or to be issued to Treasury pursuant to the PSP1 Warrant Agreement.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“PSP2” means the payroll support program established under the PSP Extension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“PSP2 Promissory Note” means the promissory note issued to Treasury in connection with PSP2.</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“PSP2 Warrant Agreement” means the agreement entered into between AAG and Treasury in connection with the Payroll Support Program Extension Agreement entered into by the Subsidiaries with Treasury on January 15, 2021, pursuant to which AAG issued PSP2 Warrants to Treasury to purchase up to an aggregate of approximately 6.6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“PSP2 Warrants” means the warrants issued or to be issued to Treasury pursuant to the PSP2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means the payroll support program established under the ARP.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Promissory Note” means the promissory note issued to Treasury in connection with PSP3.</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“PSP3 Warrant Agreement” means the agreement entered into between AAG and Treasury in connection with the Payroll Support Program Agreement entered into by the Subsidiaries with Treasury on April 23, 2021, pursuant to which AAG issued PSP3 Warrants to Treasury to purchase up to an aggregate of approximately 4.4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“PSP3 Warrants” means the warrants issued or to be issued to Treasury pursuant to the PSP3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Extension Law” means Subtitle A of Title IV of Division N of the Consolidated Appropriations Act,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“Rehabilitation Plan” means the rehabilitation plan adopted by the IAM Pension Fund on April 17,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Holdings” means Republic Airways Holdings Inc., the parent company of Republic.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“RSUs” means 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and Poor’s Financial Services,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“SAF” means sustainable aviation fuel.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“SAIB” means special airworthiness information bulletin.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“SBTi” means Science Based Targets initiative.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“Second Lien 11.75% Senior Secured Notes Collateral” means certain assets, rights and properties utilized by American in providing its scheduled air carrier services to and from certain airports in the United States and certain airports in the European Union and the United Kingdom which are used to secure the 11.75% Senior Secured Notes on a second-lien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“SMS” means Safety Management System.</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“SOFR” means the Secured Overnight Financing 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“SPV Guarantors” means AAdvantage Holdings 1, Ltd. a Cayman Islands exempted company incorporated with limited liability and a direct wholly-owned subsidiary of American, (ii) AAdvantage Holdings 2, Ltd., a Cayman Islands exempted company incorporated with limited liability and an indirect wholly-owned subsidiary of American and the direct parent of Loyalty Issuer, and (iii) certain Luxembourg limited liability companies and partnerships that are direct or indirect subsidiaries of Loyalty Issuer and which fully and unconditionally guarantee the AAdvantage Financing.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“SRM” means Safety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American, Envoy, PSA and Piedmont, each a wholly-owned subsidiary of AAG.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“Superfund Act” means Comprehensive Environmental Response, Compensation and Liability Act.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“Tax Benefits Preservation Plan” means the tax benefits preservation plan adopted by the Board of Directors of AAG in December 2021 in order to preserve the Company’s ability to use its NOLs and certain other tax attributes to reduce potential future income tax obligations.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“Treasury Loan Agreement” means the Loan and Guarantee Agreement, dated as of September 25, 2020, between AAG, American and Treasury which provides for the Treasury Term Loan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Loan Closing Date” means September 25, 2020.</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“Treasury Loan Warrant Agreement” means the warrant agreement, dated as of September 25, 2020, between AAG and Treasury entered into in connection with the Treasury Loan Agreement, pursuant to which AAG issued Treasury Loan Warrants to Treasury to purchase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“Treasury Loan Warrants” means the warrants issued to Treasury pursuant to the Treasury Loan Warrant Agreement.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“Treasury Loan Warrant Shares” means the shares of AAG common stock which Treasury will have the right to purchase pursuant to Treasury Loan Warrants issued by AAG in accordance with the Treasury Loan Warrant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Facility” means the term loan facility provided for under the Treasury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“TSA” means Transportation Security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“TWU” means Transport Workers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“TWU-IAM Association” means Transport Workers Union and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“Vertical” means Vertical Aerospace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For example,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COVID-19 pandemic resulted in significant inflationary pressures and volatility in certain currencies, which have increased our costs for aircraft fuel, wages and benefits and other goods and services we require to operate our business, as well as increasing the interest expense on our variable-rate indebtedness.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December 31, 2022, our planned aggregate expenditures for aircraft purchase commitments and certain engines on a consolidated basis for calendar years 2023 through 2027 would be approximately $12.3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the additional liquidity transactions completed in response to the impact of the COVID-19 pandemic; our non-investment grade credit rating; volatile or otherwise unfavorable market conditions; and the availability of assets to use as collateral for loans or other indebtedness, which has been reduced significantly as a result of certain financing transactions we have undertaken since the beginning of 2020 and may be further reduced.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significant amounts of indebtedness and other financial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bear interest at floating rates, subjecting us to volatility in interest expenses as interest rates fluctuate;</w:t>
      </w:r>
    </w:p>
    <w:p>
      <w:pPr>
        <w:spacing w:after="0" w:line="171"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 collateral coverage ratios and peak debt service coverage ratios;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right="20" w:hanging="656"/>
        <w:spacing w:after="0" w:line="287" w:lineRule="auto"/>
        <w:tabs>
          <w:tab w:leader="none" w:pos="1997" w:val="left"/>
        </w:tabs>
        <w:numPr>
          <w:ilvl w:val="1"/>
          <w:numId w:val="11"/>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98" w:lineRule="exact"/>
        <w:rPr>
          <w:rFonts w:ascii="Arial" w:cs="Arial" w:eastAsia="Arial" w:hAnsi="Arial"/>
          <w:sz w:val="18"/>
          <w:szCs w:val="18"/>
          <w:color w:val="auto"/>
        </w:rPr>
      </w:pPr>
    </w:p>
    <w:p>
      <w:pPr>
        <w:ind w:left="1940" w:hanging="636"/>
        <w:spacing w:after="0"/>
        <w:tabs>
          <w:tab w:leader="none" w:pos="1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since the onset of the COVID-19 pandemic we have been required to obtain a significant amount of additional financing from a variety of sources and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In particular, in connection with the financial assistance we have received through the payroll support program established under the Coronavirus Aid, Relief, and Economic Security Act (CARES Act) (PSP1), the payroll support program established under the Subtitle A of Title IV of Division N of the Consolidated Appropriations Act, 2021 (PSP Extension Law) (PSP2) and the payroll support program established under the American Rescue Plan Act of 2021 (ARP) (PSP3), we are required to comply with the relevant provisions of the CARES Act, the PSP Extension Law and the ARP, respectively, including the requirement that funds provided pursuant to PSP1, PSP2 and PSP3 be used exclusively for the continuation of payment of eligible employee wages, salaries and benefits; and restrictions on the payment of certain executive compensation until April 1, 2023. Additionally, under PSP1, PSP2 and PSP3, we and certain of our subsidiaries are subject to substantial and continuing reporting obligations. The substance and duration of these restrictions may materially affect our operations, and we may not be successful in managing these impacts. Moreover, as a result of the financing activities we undertook in response to</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obligations discussed above, including those imposed as a result of the CARES Act, the PSP Extension Law, the ARP and any additional financings we may be required to undertake, could also impact our ability to obtain additional financing, if needed, and our flexibility in the conduct of our business, and could materially adversely affect our liquidity, results of operations and financial condition.</w:t>
      </w:r>
    </w:p>
    <w:p>
      <w:pPr>
        <w:spacing w:after="0" w:line="1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Further, a substantial amount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In 2022, in response to rising inflation which coincided with a rapid rebound of economic activity as governments lifted restrictions and economies reopened following the COVID-19 pandemic, central banks around the world—including the U.S. Federal Reserve, the European Central Bank and the Bank of England—commenced a cycle of raising interest rates, which has consequently increased the interest we pay on our floating-rate indebtedness.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3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not possible to predict what rate or rates may become the predominant alternative to LIBOR, or what effect these changes in views or alternatives may have on financial markets for LIBOR-linked financial instruments. While the U.S. Federal Reserve, in conjunction with the Alternative Reference Rates Committee, has chosen the Secured Overnight Financing Rate (SOFR), and specifically Term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II, Item 7A. Quantitative and Qualitative Disclosures About Market Risk – </w:t>
      </w:r>
      <w:r>
        <w:rPr>
          <w:rFonts w:ascii="Arial" w:cs="Arial" w:eastAsia="Arial" w:hAnsi="Arial"/>
          <w:sz w:val="18"/>
          <w:szCs w:val="18"/>
          <w:i w:val="1"/>
          <w:iCs w:val="1"/>
          <w:color w:val="auto"/>
        </w:rPr>
        <w:t>“Interest.”</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2022, we had $9.2 billion of borrowings with interest rates linked to LIBOR. We have commenced the process of amending our LIBOR-based financing agreements to transition them to successor reference rates in anticipation of LIBOR’s discontinuation, but we may not be able to reach agreements with all affected lenders, or to do so on favorable terms. Additionally, the replacement of LIBOR with a comparable or successor rate could cause the amount of interest payable on our long-term debt to be different or higher than expected.</w:t>
      </w:r>
    </w:p>
    <w:p>
      <w:pPr>
        <w:spacing w:after="0" w:line="208"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We also have significant obligations for retiree medical and other postretirement benefits.</w:t>
      </w:r>
    </w:p>
    <w:p>
      <w:pPr>
        <w:spacing w:after="0" w:line="1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IAM Pension fund were to terminate, or if the IAM Pension Fund were to undergo a mass withdrawal, we could be subject to liability as imposed by law.</w:t>
      </w:r>
    </w:p>
    <w:p>
      <w:pPr>
        <w:spacing w:after="0" w:line="182"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up to and including 100% of relevant advanced ticket sales, would materially reduce our liquidity. Likewise, other of our commercial agreements contain provisions that allow other counterparties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219"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Retaining and recruiting people with the appropriate skills is particularly challenging as the economy in general, and the airline industry in particular, continue to recover from the COVID-19 pandemic, resulting in competition for the human resources necessary to operate our business successfully. We may not be successful in attracting, developing or retaining key personnel or other highly qualified personnel. Among other things, the CARES Act, the PSP Extension Law and the ARP impose significant restrictions on executive compensation, which will remain in place until April 1, 2023. Such restrictions, over time, will likely result in lower executive compensation in the airline industry than is prevailing in other industries, creating increasing retention challenges in the case of executives presented with alternative, non-airline opportunities. In addition,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spacing w:after="0" w:line="21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3"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99" w:lineRule="exact"/>
        <w:rPr>
          <w:sz w:val="20"/>
          <w:szCs w:val="20"/>
          <w:color w:val="auto"/>
        </w:rPr>
      </w:pPr>
    </w:p>
    <w:p>
      <w:pPr>
        <w:ind w:left="1300" w:right="20" w:hanging="644"/>
        <w:spacing w:after="0" w:line="28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higher interest rates;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occurrence of wars, terrorist attacks and political instability;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such as occurred during the COVID-19 pandemic;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hanging="644"/>
        <w:spacing w:after="0" w:line="28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9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COVID-19 pandemic, along with the measures governments and private organizations worldwide implemented in an attempt to contain its spread, resulted in significant volatility in demand for air travel, which adversely affected our business, operations and financial condition to an unprecedented extent and for a prolonged period. Measures implemented during the COVID-19 pandemic—such as travel restrictions, including testing regimes, “stay at home” and quarantine orders, limitations on public gatherings, cancellation of public events and many others—initially resulted in a precipitous decline in demand for both domestic and international business and leisure travel. Additionally, the COVID-19 pandemic necessitated changes in business practices which may persist. For example, businesses and other travelers may continue to forego air travel in favor of remote or flexible working policies and communication alternatives such as videoconferencing. In addition, businesses may seek to reduce travel costs by requiring the purchase of less expensive tickets, thereby potentially impacting our average revenue per available seat mile. In response to this material deterioration in demand, we took a number of aggressive actions to ameliorate the impacts to our business, operations and financial condition. While cases have declined globally and many governments have loosened or lifted COVID-related travel restrictions, the duration and severity of the COVID-19 pandemic—including the emergence and spread of any new variants—and its after effects remain uncertain, and there can be no assurance that any mitigating actions we take in response will be sufficient to avert a deterioration in our business, financial condition and results of operations.</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to the effects of the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and hire and retain a sufficient number of employees may adversely affect our operations and financial performance.</w:t>
      </w:r>
    </w:p>
    <w:p>
      <w:pPr>
        <w:spacing w:after="0" w:line="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Relations between air carriers and labor unions in the U.S.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As of December 31, 2022, approximately 87% of our employees were represented for collective bargaining purposes by labor unions, and 48% were covered by CBAs that are currently amendable or that will become amendable within one year. For the dates that the CBAs with our major work groups become amendable under the RLA, see Part I, Item 1. Business – </w:t>
      </w:r>
      <w:r>
        <w:rPr>
          <w:rFonts w:ascii="Arial" w:cs="Arial" w:eastAsia="Arial" w:hAnsi="Arial"/>
          <w:sz w:val="18"/>
          <w:szCs w:val="18"/>
          <w:i w:val="1"/>
          <w:iCs w:val="1"/>
          <w:color w:val="auto"/>
        </w:rPr>
        <w:t>“Our People</w:t>
      </w:r>
      <w:r>
        <w:rPr>
          <w:rFonts w:ascii="Times New Roman" w:cs="Times New Roman" w:eastAsia="Times New Roman" w:hAnsi="Times New Roman"/>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w:t>
      </w:r>
    </w:p>
    <w:p>
      <w:pPr>
        <w:spacing w:after="0" w:line="1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“Our People</w:t>
      </w:r>
      <w:r>
        <w:rPr>
          <w:rFonts w:ascii="Arial" w:cs="Arial" w:eastAsia="Arial" w:hAnsi="Arial"/>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Currently, we believe our labor costs are generally competitive relative to the other large network carriers. However, personnel shortages, in particular for pilots, and general wage inflation stand to impact our labor costs moving forward. Certain of our competitors have recently concluded agreements with their pilots’ unions which include significant increases in pay and benefits. We are currently in negotiations for several important new labor agreements, including with our mainline pilots, and we anticipate that any new contracts we agree with our labor groups will likewise include material increases in salaries and other benefits, which will significantly increase our labor expense.</w:t>
      </w:r>
    </w:p>
    <w:p>
      <w:pPr>
        <w:spacing w:after="0" w:line="208"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attempt to restore capacity in line with increased demand for air travel following the height of the COVID-19 pandemic, these third-party operators have experienced difficulties in recruiting and retaining sufficient personnel to operate significantly increased schedules, and have in some instances been required to offer significant increases in pay and other benefits to recruit and retain pilots and other personnel. Ongoing volatility in travel demand has the potential to continue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3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fueling, catering,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are also facing challenges retaining and recruiting people with the appropriate skills to meet our requirements as the economy in general, and the airline industry in particular, continue to recover from the COVID-19 pandemic. The COVID-19 pandemic also caused significant disruption in global supply chains and staffing shortages, which have affected and may continue to affect the availability and timely delivery and fulfillment of many goods, including certain of those that we purchase directly or which are required by third parties to perform contracted services for us. We rely on the operation of complex supply chains and a large number of third parties for the procurement and fulfillment of parts, components, consumable or disposable goods and other products and services essential to our business. Following a faster than expected return of demand for air travel as COVID-19 cases declined worldwide and governments lifted travel restrictions, suppliers and many of the airports we serve experienced acute shortages of personnel, resulting in increased delays, cancellations and, in certain cases, restrictions on passenger numbers or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an outbreak and spread of an infectious disease could adversely impact consumer perceptions of the health and safety of travel, and in particular airline travel, such as occurred during the COVID-19 pandemic. Actual or perceived risk of infection on our flights could have a material adverse effect on the public's perception of us and may harm our reputation and business. We have in the past, and may in the future be required to take extensive measures to reassure our team members and the traveling public of the safety of air travel, and we could incur significant costs implementing safety, hygiene-related or other actions to limit the actual or perceived threat of infection among our employees and passengers. However, we cannot assure that any actions we might take in response to an infectious disease outbreak will be sufficient to restore the confidence of consumers in the safety of air travel. In addition, as a result of mask mandates and other mitigating measures that airports and carriers were required by law to implement to limit the spread of COVID-19, we experienced an increase in the incidence of aggressive customer behavior and physical confrontation on our flights, certain of which resulted in injuries to our personnel. If our employees feel unsafe or believe that we are not doing enough to prevent and prosecute these incidents, we could experience higher rates of employee absence and we may suffer reputational harm which could make it more difficult to attract and retain employees, and which could in turn negatively affect our business, financial condition and results of operations.</w:t>
      </w:r>
    </w:p>
    <w:p>
      <w:pPr>
        <w:spacing w:after="0" w:line="21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information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9"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loyalty program, charging separately for services that had previously been included within the price of a ticket, changes to our practices and contracts with providers of distribution systems to provide additional content flexibility,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assuming this policy remains in place. We may introduce additional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might result in adverse brand perceptions, reputational harm or regulatory scrutiny,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5"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11(e) to AAG’s Consolidated Financial Statements in Part II, Item 8A and Note 10(e) to American’s Consolidated Financial Statements in Part II, Item 8B.</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As of December 31, 2022, we had approximately $16.2 billion of gross federal NOLs and $4.3 billion of other carryforwards available to reduce future federal taxable income, of which $5.9 billion will expire beginning in 2024 if unused and $14.6 billion can be carried forward indefinitely. We also had approximately $6.0 billion of NOL carryforwards to reduce future state taxable income at December 31, 2022, which will expire in taxable years 2022 through 2042 if unused. Our NOL carryforwards are subject to adjustment on audit by the Internal Revenue Service and the respective state taxing authorities. Additionally, due to the impact of the COVID-19 pandemic and other economic factors, certain of the NOL carryforwards may expire before we can generate sufficient taxable income to use them.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There can be no assurance that an additional valuation allowance on our net deferred tax assets will not be required should our financial performance be negatively impacted in the future. Such valuation allowance could be material.</w:t>
      </w:r>
    </w:p>
    <w:p>
      <w:pPr>
        <w:spacing w:after="0" w:line="11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Inc. (US Airways Group) experienced an ownership change in connection with the 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$4.4 billion of unlimited NOLs still remaining at December 31, 2022)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the warrants (and common stock issuable upon exercise thereof) we issued to Treasury did not and will not result in an “ownership change” for purposes of Section 382. This exception does not apply for companies issuing warrants, stock options, common or preferred stock or other equity pursuant to PSP1, PSP2 and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Notwithstanding the foregoing, an ownership change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Benefits Preservation Plan) in order to preserve our ability to use our NOLs and certain other tax attributes to reduce potential future income tax obligations. The Tax Benefits Preservation Plan was subsequently ratified by our stockholders at the 2022 Annual Meeting of Stockholders of AAG. The Tax Benefits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Benefits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August 16, 2022, the Inflation Reduction Act (the IRA) was signed into law in the U.S. Among other changes, the IRA introduced a corporate minimum tax on certain corporations with average adjusted financial statement income over a three-tax year period in excess of $1.0 billion and an excise tax on certain stock repurchases by certain covered corporations for taxable years beginning after December 31, 2022. The corporate minimum tax and any excise tax imposed on any repurchases of AAG common stock made after December 31, 2022 may adversely affect our financial condition in the future. The U.S. government may enact additional significant changes to the taxation of business entities including, among others, an increase in the corporate income tax rate, significant changes to the taxation of income derived from international operations, and an addition of further limitations on the deductibility of business interest. We are currently unable to predict whether such additional changes will occur. If such changes are enacted or implemented, we are currently unable to predict the ultimate impact on our business and therefore there can be no assurance our business will not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greater financial or other resources and/or lower cost structures than ours, as well as other forms of transportation, such as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recently during the COVID-19 pandemic), as airlines under financial stress, or in bankruptcy, may institute pricing or fee structures intended to attract more customers to achieve near-term survival at the expense of long-term viability.</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recently commenced operations with the stated intention to grow rapidly. Many of these new and existing carriers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in particular with the planned introduction of long-range narrowbody aircraft in coming years. The actions of existing or future low-cost carriers, including those described above, could have a material adverse effect on our operations and financial performance.</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COVID-19 pandemic and the speed with which demand for travel to these regions returns.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and prolonged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which may result in increases in our costs, disruptions to our operations, limits on our operating flexibility, reductions in the demand for air travel, and competitive disadvantages.”</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DOT and was reviewed by the EC in July 2010. In connection with this review, we provided certain commitments to the EC regarding, among other things, the availability of take-off and landing slots at LHR or LGW airports. The commitments accepted by the EC were binding for 10 years. In October 2018, in anticipation of the exit of the United Kingdom from the EU, commonly referred to as Brexit, and the expiry of the EC commitments in July 2020, the CMA opened an investigation into the transatlantic joint business. We continue to fully cooperate with the CMA and, in September 2020 and April 2022, the CMA adopted interim measures that effectively extend the EC commitments until March 2026 in light of the uncertainty and other impacts resulting from the COVID-19 pandemic. The CMA plans to complete its investigation before the scheduled expiration of the interim measures in March 2026. The foregoing arrangements are important aspects of our international network and we are dependent on the performance and continued cooperation of the other airlines party to those arrangements.</w:t>
      </w:r>
    </w:p>
    <w:p>
      <w:pPr>
        <w:spacing w:after="0" w:line="12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have a marketing relationship with JetBlue that includes an alliance agreement with reciprocal codesharing on certain domestic and international routes from New York (JFK, LGA and EWR) and BOS, and provides for reciprocal loyalty program benefits. The arrangement does not include JetBlue’s transatlantic flying. Pursuant to federal law, American and JetBlue submitted this proposed alliance arrangement to the DOT for review. After American, JetBlue and the DOT agreed to a series of commitments, the DOT terminated its review of the proposed alliance in January 2021. The commitments include growth commitments to ensure capacity expansion, slot divestitures at JFK and at DCA near Washington, D.C. and antitrust compliance measures. Beyond the DOT Agreement, American and JetBlue will also refrain from certain kinds of coordination on certain city pair markets. Upon the DOT’s termination of its review of the proposed alliance, American and JetBlue implemented the proposed alliance subject to these commitments. On September 21, 2021, the DOJ, joined by Attorneys General from six states and the District of Columbia, filed an antitrust complaint against American and JetBlue in the District of Massachusetts alleging that American and JetBlue violated U.S. antitrust law in connection with the NEA. The parties presented their respective cases in a bench trial that commenced on September 27, 2022. Closing arguments from both parties were presented on November 18, 2022. A decision is expected in the first quarter of 2023. Separately, in December 2022, two putative class action lawsuits were filed in the Eastern District of New York also alleging that the NEA violated the antitrust law. Those lawsuits, which have been consolidated, seek monetary and injunctive relief. In February 2023, private party plaintiffs filed two additional putative class action antitrust complaints against American and JetBlue in the District of Massachusetts and the Eastern District of New York, respectively. We believe these complaints are without merit and are defending against them vigorously.</w:t>
      </w:r>
    </w:p>
    <w:p>
      <w:pPr>
        <w:spacing w:after="0" w:line="141"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Notwithstanding the DOT’s termination of its reviews of the NEA and certain other alliances, the DOT maintains authority to conduct investigations under the scope of its existing statutes and regulations, including conduct related to this alliance. On September 21, 2021, the DOT published a Clarification Notice relating to the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the DOJ to resolve the antitrust concerns that the DOJ has identified with respect to the NEA. The DOT simultaneously published a Notice Staying Proceeding in relation to a complaint by Spirit Airlines, Inc. regarding the NEA, pending resolution of the DOJ action described above. On September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30, 2022, the DOT issued a further statement referencing the prior Clarification Notice and, among other things, indicating its intention to continue working with the DOJ in its efforts to resolve the ongoing proceedings regarding the NEA.</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Other mergers and other forms of airline partnerships, including antitrust immunity grants, may take place and may not involve us as a participant.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antitrust immunity grants,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Agreements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may also be impacted by competition regulations affecting certain of our major commercial partners, including our co-branded credit card partners. For example, there has previously been bipartisan legislation proposed in Congress called the Credit Card Competition Act designed to increase credit card transaction routing options for merchants which, if enacted, could result in a reduction of the fees levied on credit card transactions. If this legislation were successful, it could fundamentally alter the profitability of our agreements with co-branded credit card partners and the benefits we provide to our consumers through the co-branded credit cards issued by these partners.</w:t>
      </w:r>
    </w:p>
    <w:p>
      <w:pPr>
        <w:spacing w:after="0" w:line="208"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GOL and JetSMART, by making an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as a result of the COVID-19 pandemic and subsequent economic recovery, the industry experienced significant volatility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200"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3"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$0.37 per gallon to a high of approximately $4.40 per gallon during the period from January 1, 2020 to December 31, 2022.</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December 31, 2022,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II, Item 7A. Quantitative and Qualitative Disclosures About Market Risk – </w:t>
      </w:r>
      <w:r>
        <w:rPr>
          <w:rFonts w:ascii="Arial" w:cs="Arial" w:eastAsia="Arial" w:hAnsi="Arial"/>
          <w:sz w:val="18"/>
          <w:szCs w:val="18"/>
          <w:i w:val="1"/>
          <w:iCs w:val="1"/>
          <w:color w:val="auto"/>
        </w:rPr>
        <w:t>“Aircraft Fuel.”</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come online in coming years, we anticipate that competition for SAF among industry participants will remain intense. As a result, we may need to pay a significant premium for SAF above the price we would pay for conventional jet fuel. To secure future SAF supply, we have entered into multiple agreements for the purchase of future SAF production, and continue to engage with producers regarding potential future SAF purchases, which may include investments to support these producers. Certain existing or potential future agreements pertain to SAF production from facilities that are planned but not yet operational,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FAA, the TSA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was not lifted in the United States until November 2020),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See </w:t>
      </w:r>
      <w:r>
        <w:rPr>
          <w:rFonts w:ascii="Arial" w:cs="Arial" w:eastAsia="Arial" w:hAnsi="Arial"/>
          <w:sz w:val="18"/>
          <w:szCs w:val="18"/>
          <w:i w:val="1"/>
          <w:iCs w:val="1"/>
          <w:color w:val="auto"/>
        </w:rPr>
        <w:t>"We rely heavily on technology and automated systems to operate our business, and any failure of these technologies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systems could harm our business, results of operations and financial condition." </w:t>
      </w:r>
      <w:r>
        <w:rPr>
          <w:rFonts w:ascii="Arial" w:cs="Arial" w:eastAsia="Arial" w:hAnsi="Arial"/>
          <w:sz w:val="18"/>
          <w:szCs w:val="18"/>
          <w:color w:val="auto"/>
        </w:rPr>
        <w:t>The FAA also exercises comprehensive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over nearly all technical aspects of our operations. Our failure to comply with such requirements has in the past and may in the future result in fines and other enforcement actions by the FAA or other regulators. The FAA recently issued a final rule implementing flight attendant duty and rest periods, which will impact our scheduling flexibility. In the future, any new regulatory requirements, particularly requirements that limit our ability to operate or price our products, could have a material adverse effect on us and the industry.</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many aspects of our customer's journey, including at the time of ticket purchase, at the airport, and onboard the aircraft. DOT requires multiple disclosures of airline fares, taxes and baggage fees and is further changing these requirements to increase the number of disclosures and the time at which they must be disclosed. DOT also recently issued a proposed rule mandating refunds in certain circumstances, such as a global pandemic. DOT has also proposed rules requiring disclosure of certain ancillary fees by air carriers and travel agents. Finally, DOT will be proposing and implementing a number of new disability regulations that will impact us, including rules for accessible lavatories on single-aisle aircraft, wheelchair damage and prompt wheelchair assistance.</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2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healthcare mandates. These laws could affect our relationship with our workforce and the vendors that serve our airline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brought by flight attendants and certain other work groups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 Additionally, in September 2021, the Biden Administration issued an executive order mandating a COVID-19 vaccination requirement for federal contractors. Due to a number of our agreements, American is classified as a government contractor. Consistent with this executive order and guidance from the Safer Federal Workforce Task Force responsible for implementing the order, we announced that the federal vaccine mandate would require all of American’s U.S.-based team members and certain international crew members to be vaccinated or be exempt due to an accommodation for a medical disability or sincerely held religious belief. Enforcement of the federal contractor vaccine mandate has been on hold amid multiple ongoing legal challenges. Given the uncertainty of its viability in the courts, the timing of implementation and availability of accommodations, we cannot predict the ultimate impact of this federal vaccination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requirement on our business should the federal government move to reinstate and enforce it. Moreover, we may be subject to state and local vaccine mandates and other COVID-19-related requirements governing airports where we operate. While OSHA has withdrawn its overarching COVID-19 Emergency Temporary Standard, the U.S. Supreme Court has acknowledged that OSHA may issue a revised COVID-19 standard targeted to high-risk occupations or workplaces, which could impact our regional carriers and other service providers.</w:t>
      </w:r>
    </w:p>
    <w:p>
      <w:pPr>
        <w:spacing w:after="0" w:line="122"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99" w:lineRule="exact"/>
        <w:rPr>
          <w:sz w:val="20"/>
          <w:szCs w:val="20"/>
          <w:color w:val="auto"/>
        </w:rPr>
      </w:pPr>
    </w:p>
    <w:p>
      <w:pPr>
        <w:ind w:left="1300" w:hanging="644"/>
        <w:spacing w:after="0" w:line="28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8" w:lineRule="exact"/>
        <w:rPr>
          <w:rFonts w:ascii="Arial" w:cs="Arial" w:eastAsia="Arial" w:hAnsi="Arial"/>
          <w:sz w:val="18"/>
          <w:szCs w:val="18"/>
          <w:color w:val="auto"/>
        </w:rPr>
      </w:pPr>
    </w:p>
    <w:p>
      <w:pPr>
        <w:jc w:val="both"/>
        <w:ind w:left="1300" w:right="20" w:hanging="644"/>
        <w:spacing w:after="0" w:line="268"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 (including our arrangements with JetBlue);</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in response to outbreaks of illness, such as occurred during the COVID-19 pandemic, including the imposition of preflight testing regimes or vaccination confirmation requirements which have to date and may in the future have the effect of reducing demand for air travel in the markets where such requirements are imposed.</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adversely impact us and could result in impairments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3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4"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COVID-19 pandemic severely impacted the demand for international travel for a prolonged period, and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While many countries have largely eliminated their pandemic restrictions, or are in the process of doing so, we can provide no assurance as to when demand for international travel will return to pre-COVID-19 pandemic levels, if at all, or whether certain international destinations we previously served will be economical in the future.</w:t>
      </w:r>
    </w:p>
    <w:p>
      <w:pPr>
        <w:spacing w:after="0" w:line="12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subject to varying registration requirements and ongoing reporting obligations in the countries where we operate. Our permission to continue doing business in these countries may depend on our ability to timely fulfil or remedy any noncompliance with these and other governmental requirements. We may also be subject to the risk that relevant government agencies will be delayed in granting or renewing required approvals, including as a result of shutdowns (such as occurred in certain jurisdictions during the COVID-19 pandemic), cybersecurity incidents or other events. Any lapse, revocation, suspension or delay in approval of our authority to do business in a given jurisdiction may prevent us from serving certain destinations and could adversely impact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This could materially adversely affect our business, results of operations and financial condition.</w:t>
      </w:r>
    </w:p>
    <w:p>
      <w:pPr>
        <w:spacing w:after="0" w:line="1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Brexit has also led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the Retained EU Law (Revocation and Reform) Bill which is currently before the UK Parliament would, if enacted in its current form, “sunset” at the end of 2023 a large part of retained EU legislation that has continued in force in the UK post-Brexit, unless specific action is taken to preserve or delay the “sunset” of individual retained EU legislation. The extent of any such specific action, and therefore the specific retained EU legislation that would “sunset” at the end of 2023, is currently unknown.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such as the transatlantic joint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Any of these effects, and others we cannot anticipate, could materially adversely affect our business, results of operations and financial condition.</w:t>
      </w:r>
    </w:p>
    <w:p>
      <w:pPr>
        <w:spacing w:after="0" w:line="136"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3"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39" w:lineRule="exact"/>
        <w:rPr>
          <w:sz w:val="20"/>
          <w:szCs w:val="20"/>
          <w:color w:val="auto"/>
        </w:rPr>
      </w:pPr>
    </w:p>
    <w:p>
      <w:pPr>
        <w:ind w:left="260"/>
        <w:spacing w:after="0" w:line="295"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jc w:val="both"/>
        <w:ind w:firstLine="243"/>
        <w:spacing w:after="0" w:line="230"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GHG emissions, including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In particular, ICAO has adopted rules, including those pertaining to the CORSIA, which will require us to mitigate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associated with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Item 1. Business – Domestic and Global Regulatory Landscape – Environmental Matters.</w:t>
      </w:r>
    </w:p>
    <w:p>
      <w:pPr>
        <w:spacing w:after="0" w:line="140"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due to continued volatility in demand for international air travel during and in the recovery from the COVID-19 pandemic and because there is significant uncertainty with respect to the future supply and price of carbon offset credits and lower-carbon aircraft fuels</w:t>
      </w:r>
      <w:r>
        <w:rPr>
          <w:rFonts w:ascii="Arial" w:cs="Arial" w:eastAsia="Arial" w:hAnsi="Arial"/>
          <w:sz w:val="23"/>
          <w:szCs w:val="23"/>
          <w:color w:val="auto"/>
          <w:vertAlign w:val="subscript"/>
        </w:rPr>
        <w:t>.</w:t>
      </w:r>
      <w:r>
        <w:rPr>
          <w:rFonts w:ascii="Arial" w:cs="Arial" w:eastAsia="Arial" w:hAnsi="Arial"/>
          <w:sz w:val="18"/>
          <w:szCs w:val="18"/>
          <w:color w:val="auto"/>
        </w:rPr>
        <w:t xml:space="preserve"> In addition, we will not directly control our CORSIA compliance costs through 2032 because those obligations are based on the growth in emissions of the global aviation sector and begin to incorporate a factor for individual airline operator emissions growth beginning in 2033.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event that CORSIA does not come into force as expected, we and other airlines could become subject to an unpredictable and inconsistent array of national or regional emissions restrictions, creating a patchwork of complex regulatory requirements that could affect global competitors differently without offering meaningful aviation environmental improvements. For example, EC has committed to undertake a review in 2026 to determine whether CORSIA is sufficiently delivering on the goals of the Paris Agreement and, to the extent it is determined not to be, has noted it may extend the scope of the EU Emissions Trading System to include all departing flights from the EEA (and not just flights within the EEA, which are currently included). These and similar proposals may lead to increased expense related to the emissions of our flights departing from EEA airports.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Concerns over climate change are likely to result in continued attempts by governments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January 2021, the EPA adopted GHG emission standards for new aircraft engines, which are aligned with the 2017 ICAO aircraft engine GHG emission standards. Like the ICAO standards, the final EPA standards for new aircraft engines would not apply retroactively to engines already on in-service aircraft. These final standards have been challenged by several states and environmental groups, and the Biden Administration has issued an executive order requiring a review of these final standards. On November 15, 2021, the EPA announced that it would not rewrite the existing aircraft engine GHG emissions standards but would seek more for ambitious new aircraft GHG emission standards within the ICAO process. The outcome of the legal challenge and whether there will be any development of new aircraft GHG emissions standards cannot be predicted at this time.</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EC’s ReFuelEU Aviation initiative (part of its "Fit for 55" program) included a proposal for the creation of a SAF blending mandate for aviation fuel suppliers set at 2% beginning in 2025 and rising to 63% by 2050, among other requirements. The European Parliament (which has proposed stricter targets in relation to SAF blending percentages for 2050) and the European Council have adopted initial negotiating positions with respect to the ReFuelEU Aviation initiative and are currently in negotiations in relation to the final text of the proposed regulation. Individual EU member states have been developing their own requirements including, for example, a 1% SAF mandate in France that came into force on January 1, 2022. Whether and in what form these regulations will be finalized and the potential effects on our business are uncertain at this time.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before cost-effective emissions reduction technologies are available, for example through requirements to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2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come online in coming years, we anticipate that competition for SAF among industry participants will remain intense. As a result, we may need to pay a significant premium for SAF above the price we would pay for conventional jet fuel. To secure future SAF supply, we have entered into multiple agreements for the purchase of future SAF production, and continue to engage with producers regarding potential future SAF purchases, which may include investments to support these producers. Certain existing or potential future agreements pertain to SAF production from facilities that are planned but not yet operational,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more frequent or widespread flight cancellations,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certain chemicals, most notably per- and polyfluoroalkyl, substances (PFAS). Products containing PFAS have been used in manufacturing, industrial, and consumer applications over many decades, including those related to aviation. Among other things, recent changes to federal requirements for firefighting foams containing PFAS, as well as related state regulations affecting their use, will require operational changes. On August 26, 2022, the EPA published for public comment a new rulemaking that would designate two PFAS substances (perfluorooctanoic acid and perfluorooctanesulfonic acid) as hazardous substances under the Comprehensive Environmental Response,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and Liability Act. This rulemaking would require entities to immediately report current and past releases that meet or exceed the reportable quantity for such substances to EPA’s National Response Center. Depending on the final outcome of this rulemaking and the introduction of any additional state or federal regulations, we may incur costs in connection with reporting obligations and costs related to historic usage of PFAS-containing materials, transitioning away from the usage of PFAS-containing products, disposing of PFAS-containing waste or remediating any residual environmental impacts.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the airspace and airports we utilize.</w:t>
      </w:r>
    </w:p>
    <w:p>
      <w:pPr>
        <w:spacing w:after="0" w:line="21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requirements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Large numbers of pilots in the industry accepted early retirement during the COVID-19 pandemic or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These and other factors have contributed to a shortage of qualified, entry-level pilots, shortages of experienced pilots trained and ready for duty, and increased compensation costs materially for pilots throughout the industry. The foregoing factors have also led to increased competition from large, mainline carriers attempting to meet their hiring needs and significant further proposed increases in mainline pilot compensation. We believe that this industry-wide pilot shortage will remain a significant problem for airlines in the United States for the foreseeable future. Our regional airline subsidiaries and other regional partners have recently been unable to hire adequate numbers of pilots to meet their needs, resulting in a reduction in the number of flights offered, disruptions, increased compensation expense and costs of operations, financial difficulties and other adverse effects, and these circumstances may become more severe in the future and thereby cause a material adverse effect on our business.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as of the end of 2022, all of our mainline aircraft were manufactured by either Airbus or Boeing and all of our regional aircraft were manufactured by either Bombardier or Embraer. Further, our supplier base continues to consolidate as evidenced by recent transactions involving Airbus and Bombardier and Mitsubishi and Bombardier, and the cessation of production of certain Bombardier regional aircraft that we and our regional partners currently operate in large numbers.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certify or operate our aircraft, even temporarily. For instance, in March 2019, the FAA ordered the grounding of all Boeing 737 MAX Family aircraft, which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remained in place for over a year and was not lifted in the United States until November 2020. More recently, regulatory concerns raised by the FAA forced Boeing to temporarily suspend deliveries of certain 787 aircraft, resulting in significant reductions to our planned long-haul flying. The limited number of these suppliers may also result in reduced competition and potentially higher prices than if the supplier base was less concentrated.</w:t>
      </w:r>
    </w:p>
    <w:p>
      <w:pPr>
        <w:spacing w:after="0" w:line="205"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which recently have been relatively commonplace among manufacturers of commercial aircraft,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Family aircraft, including the 24 aircraft in our fleet at the time of the grounding, as a result of which we were unable to take delivery of the Boeing 737 MAX Family aircraft we had on order from Boeing. More recently, regulatory concerns raised by the FAA forced Boeing to temporarily suspend deliveries of 787 aircraft, resulting in significant reductions to our planned long-haul flying. Repeated or prolonged delays in the production, delivery or induction of our new aircraft could require us to scale back our growth plans, reduce frequencies or forgo service entirely to certain markets, which could adversely affect our business, financial condition and results of operations.</w:t>
      </w:r>
    </w:p>
    <w:p>
      <w:pPr>
        <w:spacing w:after="0" w:line="22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and crew scheduling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Furthermore, certain critical aspects of our operation rely on legacy technological systems which may grow more difficult or expensive to support and maintain over time, and such systems may fail to perform as required or become more vulnerable to malfunction or failure over time.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January 18, 2022, major U.S. telecommunications companies agreed to delay the implementation of 5G near airports until July 5, 2022 while working with the FAA to develop long-term mitigations to support safe aviation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the telecommunications industry agreed to delay the activation of 5G transmitters in close proximity to airports, it did move forward with the activation of a vast majority of 5G transmitters away from airports, and we expect that companies will continue expanding their 5G networks over the next several years. As a result, the FAA has taken precautionary steps to mitigate any remaining interference risks, which have resulted in minimal impacts to our operations, particularly in low-visibility conditions at certain airports and with our regional carriers. While we are working closely with the FAA and other aviation industry participants to develop a long-term strategy that permits the full implementation of the 5G spectrum without disruption to safe aviation operations, any new restrictions imposed to mitigate interference risks would require us to adjust our operating procedures and could impact our ability to operate certain aircraft or to serve certain markets. On June 17, 2022, the FAA announced that major U.S. telecommunications companies have agreed to continue to keep 5G mitigations beyond July 5, 2022, but simultaneously announced their expectation that the U.S. mainline commercial fleet to have radio altimeter retrofits or other enhancements in place by July 2023. We have made clear our commitment to updating our aircraft as soon as possible and we have already completed retrofitting our mainline Airbus A320 fleet with updated radio altimeters. We will continue retrofitting aircraft across both our mainline and regional fleets and currently expect completion by July 2023. Our most pressing concern moving forward is ensuring that the FAA, FCC, and telecommunications industry can come to a long-term mitigation agreement without adverse impacts on aviation. For each fleet type, we need the FAA to certify a solution, the aircraft manufacturer to issue a service bulletin, the radio altimeter manufacturer to produce the solution, and for the solution to be delivered to us with enough time to install it on our aircraft in advance of July 2023.</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defects, errors, equipment and software failures, computer viruses or telecommunications failures.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4" w:lineRule="exact"/>
        <w:rPr>
          <w:sz w:val="20"/>
          <w:szCs w:val="20"/>
          <w:color w:val="auto"/>
        </w:rPr>
      </w:pPr>
    </w:p>
    <w:p>
      <w:pPr>
        <w:jc w:val="both"/>
        <w:ind w:left="260"/>
        <w:spacing w:after="0" w:line="265" w:lineRule="auto"/>
        <w:rPr>
          <w:sz w:val="20"/>
          <w:szCs w:val="20"/>
          <w:color w:val="auto"/>
        </w:rPr>
      </w:pPr>
      <w:r>
        <w:rPr>
          <w:rFonts w:ascii="Arial" w:cs="Arial" w:eastAsia="Arial" w:hAnsi="Arial"/>
          <w:sz w:val="18"/>
          <w:szCs w:val="18"/>
          <w:b w:val="1"/>
          <w:bCs w:val="1"/>
          <w:i w:val="1"/>
          <w:iCs w:val="1"/>
          <w:color w:val="auto"/>
        </w:rPr>
        <w:t>Evolving data security and privacy requirements (in particular, compliance with applicable federal, state and 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normal course of our business, we collect, process, use and disclose personal information about individuals and rely on third party service providers to host or otherwise process personal information. Many federal, state and foreign governmental bodies and agencies have adopted, or are considering adopting, laws and regulations that impose limits on the collection, processing, use, disclosure and security of personal information about individuals. In some cases, such laws and regulations can be enforced by private parties in addition to government entities. In addition, privacy advocacy and industry groups may propose new and different self-regulatory standards or guidance that may legally or contractually apply to us and our vendors. These non-uniform laws, regulations, standards and guidance are complex and currently evolving and can be subject to significant change and interpretation, and may be inconsistently applied and enforced from one jurisdiction to another.</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However, like any global enterprise operating in today’s digital business environment, we have experienced cybersecurity incidents and data breaches. The threat of cybersecurity incidents continues to increase as the frequency, intensity and sophistication of attacks and intrusions increase around the world. Despite ongoing efforts to maintain and improve the security of digital information, individuals, including employees or contractors, may be able to circumvent the security measures we put in place, and we may be unable to anticipate new techniques used for these attacks and intrusions and implement adequate preventative measures. We and our business partners have been the target of cybersecurity attacks and data breaches in the past and expect that we will continue to be in the future. For example, in March 2021, a sub-set of AAdvantage members as well as members of several other major airline loyalty programs received a notification about a security incident involving a limited amount of loyalty data held by a service provider. As another example, in July 2022, a minor phishing incident resulted in certain employee email accounts being accessed and acquired without authorization that contained personal information about a very limited number of individuals, including travelers (following which we notified the individuals). We react and respond to these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cybersecurity attacks in accordance with the applicable legal requirements, our own approved cybersecurity protocols, as well as our commercial partners’ standards, but we cannot ensure that our responses will be sufficient to prevent or mitigate the potential adverse impacts of these incidents, which may be material.</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Moreover, the conflict involving Russia and Ukraine has resulted in a heightened risk of cyberattacks against companies like ours that have operations, vendors and/or supply chain providers located in or around the region of conflict or are otherwise related to the conflict.</w:t>
      </w:r>
    </w:p>
    <w:p>
      <w:pPr>
        <w:spacing w:after="0" w:line="9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There has been heightened legislative and regulatory focus on data privacy and cybersecurity in the U.S., the EU, China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General Data Protection Regulation, commonly referred to as GDPR, came into effect, which imposes a host of data privacy and security requirements, imposing significant costs on us and carrying substantial penalties for non-compliance.</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2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Significant cybersecurity incidents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attacks; a diminished ability to retain or attract new customers; a deterioration in our relationships with business partners and other third parties; interruptions or failures in our payment related systems;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interruptions or failures in our payment related systems, could result in potentially material negative consequences for us, including loss of critical data, service interruptions and the potential for fines, restrictions and expulsion from card acceptance programs. In addition, we use third-party service providers to help us deliver services to customers. These service providers may store personal information, credit card information and/or other confidential information. Such information may be the target of unauthorized access or subject to security breaches because of third-party action, employee error, malfeasance or otherwise. Any of these could (a) result in the loss of information, litigation, indemnity obligations, expensive and inconsistent cybersecurity incident and data breach notification requirements, damage to our reputation, regulatory scrutiny, and other liability, or (b) have a material adverse effect on our business, financial condition and results of operations.</w:t>
      </w:r>
    </w:p>
    <w:p>
      <w:pPr>
        <w:spacing w:after="0" w:line="1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data is secured, such as how personal data is collected, used for marketing purposes, and shared with third parties, also may require changes to our processes and increase compliance costs. There is also an increased risk to our business in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event of a significant data privacy violation, including additional compliance costs, reputational harm, disruption to the manner in which we provide our services, including the geographies we service, and being subject to complaints and/or regulatory investigations, significant monetary liability, fines, penalties, regulatory enforcement, individual or class action lawsuits, public criticism, loss of customers, loss of goodwill or other additional liabilities, such as claims by industry groups or other third parties. Accordingly, failure to appropriately address data privacy and cybersecurity issues could result in material financial and other liabilities and cause significant reputational harm to our company.</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litigation, claims and enforcement related to privacy, biometrics and other provisions of state privacy laws may involve new interpretations of privacy laws. Compliance with these laws and regulations may be inconsistent from jurisdiction to jurisdiction, increasing the cost of compliance and our risk of liability from litigation. Any litigation, claims or enforcement actions to which we are or become a party could potentially result in substantial monetary damages or fines.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w:t>
      </w:r>
    </w:p>
    <w:p>
      <w:pPr>
        <w:spacing w:after="0" w:line="5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0"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ORD, Dallas/Fort Worth International Airport, JFK and LAX.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during the COVID-19 pandemic, we relied in many instances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continue to be made available, whether they will be granted on the same or similar terms, or whether we ultimately could be at risk of losing valuable operating rights. If we are forced to surrender slots,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3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(including as a result of social or environmental activism),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industry, our ability to pass along additional insurance costs to passengers is limited. As a result, further increases in insurance costs or reductions in available insurance coverage could have an adverse impact on our financial results.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3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9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macro-economic conditions, including the price of fuel;</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regarding any future capital deployment program, including share repurchase programs and any future dividend payments that may be declared by our Board of Directors, or any subsequent determination to cease repurchasing stock or paying dividends;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CARES Act, the PSP Extension Law and the ARP;</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jc w:val="both"/>
        <w:ind w:left="1300" w:hanging="644"/>
        <w:spacing w:after="0" w:line="259"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2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closing price of our common stock on the Nasdaq Global Select Market varied from $11.86 to $20.22 during 2022 and $ 12.74 to $17.08 during 2023 year-to-date through February 17, 2023. At times, fluctuations in our stock price have been rapid, imposing risks on investors due to the possibility of significant, short-term price volatility. While we believe that in recent years this wide range of trading prices has largely reflected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19"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If we do decide to make repurchases of or pay dividends on our common stock, we cannot guarantee that we will continue to do so or that such a capital deployment program will enhance long-term stockholder value.</w:t>
      </w:r>
    </w:p>
    <w:p>
      <w:pPr>
        <w:spacing w:after="0" w:line="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financial assistance provided under PSP1, PSP2 and PSP3, we agreed not to repurchase shares of AAG common stock through September 30, 2022. Following the expiration of these restrictions, if we determine to make any share repurchases in the future, such repurchases may be made through a variety of methods, which may include open market purchases, privately negotiated transactions, block trades or accelerated share repurchase transactions. Our future repurchases of AAG common stock, if any, may be limited, suspended or discontinued at any time at our discretion and without prior notice.</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financial assistance provided under PSP1, PSP2 and PSP3, we also agreed not to pay dividends on AAG common stock through September 30, 2022. Following the expiration of these restrictions, if we determine to make any dividends in the future, such dividends that may be declared and paid from time to time will be subject to market and economic conditions, applicable legal requirements and other relevant factors. The amount and timing of any future dividends, if any, may vary, and the payment of any dividend does not assure that we will pay dividends in the future.</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future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Under the recently enacted IRA, we may become subject to an excise tax on the fair market value of AAG common stock repurchased after December 31, 2022, which may adversely affect our financial condition. Although our share repurchase programs are intended to enhance long-term stockholder value, there is no assurance that they will do so.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AAG’s Certificate of Incorporation, Bylaws and Tax Benefit Preservation Plan include provisions that limit voting and acquisition and disposition of our equity interests and specify an exclusive forum for certain stockholder disputes.</w:t>
      </w:r>
    </w:p>
    <w:p>
      <w:pPr>
        <w:spacing w:after="0" w:line="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Securities Exchange Act of 1934, which is filed as Exhibit 4.1 hereto. Further restrictions are set forth in our Tax Benefit Preservation Plan.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of 1933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1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1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8"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spacing w:after="0" w:line="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price of our common stock and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Convertible Notes could decline substantially.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no unresolved SEC staff comments that were issued 180 days or more preceding December 31,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Flight Equipment</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2022, American operated a mainline fleet of 925 aircraft. During 2022, American accepted delivery of 33 mainline aircraft including 24 Airbus A321neo and nine Boeing 787-8 aircraft and returned 27 mainline aircraft to service from temporary storage. We are supported by our wholly-owned and third-party regional carriers that fly under capacity purchase agreements operating as American Eagle. As of December 31, 2022, American Eagle operated 536 regional aircraft. During 2022, we decreased our regional fleet by a net of 31 aircraft, including the addition of 38 regional aircraft, temporary parking of 59 regional aircraft and return of 10 regional aircraft.</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Mainline</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American’s mainline fleet consisted of the following aircraft: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20" w:type="dxa"/>
            <w:vAlign w:val="bottom"/>
            <w:gridSpan w:val="2"/>
          </w:tcPr>
          <w:p>
            <w:pPr>
              <w:ind w:left="200"/>
              <w:spacing w:after="0" w:line="145" w:lineRule="exact"/>
              <w:rPr>
                <w:sz w:val="20"/>
                <w:szCs w:val="20"/>
                <w:color w:val="auto"/>
              </w:rPr>
            </w:pPr>
            <w:r>
              <w:rPr>
                <w:rFonts w:ascii="Arial" w:cs="Arial" w:eastAsia="Arial" w:hAnsi="Arial"/>
                <w:sz w:val="14"/>
                <w:szCs w:val="14"/>
                <w:b w:val="1"/>
                <w:bCs w:val="1"/>
                <w:color w:val="auto"/>
              </w:rPr>
              <w:t>Seating</w:t>
            </w:r>
          </w:p>
        </w:tc>
        <w:tc>
          <w:tcPr>
            <w:tcW w:w="10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Age</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Owned</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Leased</w:t>
            </w: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Capacity</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Airbus A319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Airbus A320</w:t>
            </w: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Airbus A321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Airbus A321neo</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Boeing 737-800 </w:t>
            </w:r>
            <w:r>
              <w:rPr>
                <w:rFonts w:ascii="Arial" w:cs="Arial" w:eastAsia="Arial" w:hAnsi="Arial"/>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Boeing 737-8 MAX</w:t>
            </w: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Boeing 777-200ER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Boeing 777-300ER</w:t>
            </w:r>
          </w:p>
        </w:tc>
        <w:tc>
          <w:tcPr>
            <w:tcW w:w="9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Boeing 787-8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Boeing 787-9</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4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 w:hanging="332"/>
        <w:spacing w:after="0" w:line="238"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Excluded from the total operating aircraft count above are nine owned Boeing 737-800 held in temporary storage as of December 31,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Regional</w:t>
      </w:r>
    </w:p>
    <w:p>
      <w:pPr>
        <w:spacing w:after="0" w:line="88" w:lineRule="exact"/>
        <w:rPr>
          <w:sz w:val="20"/>
          <w:szCs w:val="20"/>
          <w:color w:val="auto"/>
        </w:rPr>
      </w:pPr>
    </w:p>
    <w:p>
      <w:pPr>
        <w:ind w:right="340" w:firstLine="243"/>
        <w:spacing w:after="0" w:line="287" w:lineRule="auto"/>
        <w:rPr>
          <w:sz w:val="20"/>
          <w:szCs w:val="20"/>
          <w:color w:val="auto"/>
        </w:rPr>
      </w:pPr>
      <w:r>
        <w:rPr>
          <w:rFonts w:ascii="Arial" w:cs="Arial" w:eastAsia="Arial" w:hAnsi="Arial"/>
          <w:sz w:val="18"/>
          <w:szCs w:val="18"/>
          <w:color w:val="auto"/>
        </w:rPr>
        <w:t>As of December 31, 2022, the fleet of our wholly-owned and third-party regional carriers operating as American Eagle consisted of the following aircraft: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 Seating</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Owned or Leased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Operating Regional</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Owned</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Leased</w:t>
            </w:r>
          </w:p>
        </w:tc>
        <w:tc>
          <w:tcPr>
            <w:tcW w:w="16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by Third Party</w:t>
            </w: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Aircraft</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Regional Carrier</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Carrier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Operated</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Bombardier CRJ 700 </w:t>
            </w:r>
            <w:r>
              <w:rPr>
                <w:rFonts w:ascii="Arial" w:cs="Arial" w:eastAsia="Arial" w:hAnsi="Arial"/>
                <w:sz w:val="23"/>
                <w:szCs w:val="23"/>
                <w:color w:val="auto"/>
                <w:vertAlign w:val="superscript"/>
              </w:rPr>
              <w:t>(1)</w:t>
            </w:r>
          </w:p>
        </w:tc>
        <w:tc>
          <w:tcPr>
            <w:tcW w:w="124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SkyWest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 xml:space="preserve">Bombardier CRJ 900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5"/>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Mesa</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Embraer 170 </w:t>
            </w:r>
            <w:r>
              <w:rPr>
                <w:rFonts w:ascii="Arial" w:cs="Arial" w:eastAsia="Arial" w:hAnsi="Arial"/>
                <w:sz w:val="23"/>
                <w:szCs w:val="23"/>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Republic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Embraer 175</w:t>
            </w: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4"/>
                <w:szCs w:val="2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Republic</w:t>
            </w:r>
          </w:p>
        </w:tc>
        <w:tc>
          <w:tcPr>
            <w:tcW w:w="13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5"/>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SkyWest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Embraer 145 </w:t>
            </w:r>
            <w:r>
              <w:rPr>
                <w:rFonts w:ascii="Arial" w:cs="Arial" w:eastAsia="Arial" w:hAnsi="Arial"/>
                <w:sz w:val="23"/>
                <w:szCs w:val="23"/>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Piedmont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43"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Excluded from the total operating aircraft count above are 69 regional aircraft that are being held in temporary storage as follows: 40 owned Embraer 145, 14 owned and five leased Bombardier CRJ 700, four owned and two leased Embraer 170 and four owned Bombardier CRJ 900.</w:t>
      </w:r>
    </w:p>
    <w:p>
      <w:pPr>
        <w:spacing w:after="0" w:line="13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See Note 11 to AAG’s Consolidated Financial Statements in Part II, Item 8A and Note 10 to American’s Consolidated Financial Statements in Part II, Item 8B for additional information on our capacity purchase agreements with third-party regional carriers.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Aircraft and Engine Purchase Commitments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December 31, 2022, we had definitive purchase agreements for the acquisition of the following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2026</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8"/>
              </w:rPr>
              <w:t>Airbus</w:t>
            </w:r>
          </w:p>
        </w:tc>
        <w:tc>
          <w:tcPr>
            <w:tcW w:w="43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A320neo Family</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496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737 MAX Family</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2"/>
        </w:trPr>
        <w:tc>
          <w:tcPr>
            <w:tcW w:w="20" w:type="dxa"/>
            <w:vAlign w:val="bottom"/>
          </w:tcPr>
          <w:p>
            <w:pPr>
              <w:spacing w:after="0"/>
              <w:rPr>
                <w:sz w:val="20"/>
                <w:szCs w:val="20"/>
                <w:color w:val="auto"/>
              </w:rPr>
            </w:pPr>
          </w:p>
        </w:tc>
        <w:tc>
          <w:tcPr>
            <w:tcW w:w="49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as described in footnote (e)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table in Part II, Item 7. Management’s Discussion and Analysis of Financial Condition and Results of Operations. Actual delivery dates are subject to change, which could be material, based on various potential factors including production delays by the manufacturer and regulatory concerns.</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agreements for 52 spare engines to be delivered in 2023 and beyond.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We currently have financing commitments in place for all aircraft on order and scheduled to be delivered in 2023 except for 10 Boeing 737 MAX Family aircraft. Our ability to draw on the financing commitments we have in place is subject to (1) the satisfaction of various terms and conditions including, in some cases, on our acquisition of the aircraft by a certain date and (2) the performance by the counterparty providing such financing commitments of its obligations thereunder. We do not have financing commitments in place for any of the aircraft scheduled to be delivered in 2024 and beyond, except for five Boeing 787 Family aircraft scheduled to be delivered in 2024. See Part 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12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11 to AAG’s Consolidated Financial Statements in Part II, Item 8A and Note 10 to American’s Consolidated Financial Statements in Part II, Item 8B for additional information on aircraft and engine acquisition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Properties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Additionally, at our hub locations and in certain other cities we serve, we lease administrative offices, catering, cargo, training, maintenance and other facilities.</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We lease or have built on leased property our headquarters and training facilities in Fort Worth, Texas, our principal overhaul and maintenance base in Tulsa, Oklahoma, our regional reservation offices, and administrative offices throughout the U.S. and abroad.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11 to AAG’s Consolidated Financial Statements in Part II, Item 8A and Note 10 to American’s Consolidated Financial Statements in Part II, Item 8B for information on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840" w:right="400" w:hanging="890"/>
        <w:spacing w:after="0" w:line="296" w:lineRule="auto"/>
        <w:tabs>
          <w:tab w:leader="none" w:pos="820" w:val="left"/>
        </w:tabs>
        <w:rPr>
          <w:sz w:val="20"/>
          <w:szCs w:val="20"/>
          <w:color w:val="auto"/>
        </w:rPr>
      </w:pPr>
      <w:r>
        <w:rPr>
          <w:rFonts w:ascii="Arial" w:cs="Arial" w:eastAsia="Arial" w:hAnsi="Arial"/>
          <w:sz w:val="18"/>
          <w:szCs w:val="18"/>
          <w:b w:val="1"/>
          <w:bCs w:val="1"/>
          <w:color w:val="auto"/>
        </w:rPr>
        <w:t>ITEM 5.</w:t>
        <w:tab/>
        <w:t>MARKET FOR AMERICAN AIRLINES GROUP’S COMMON STOCK,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common stock is listed on The Nasdaq Global Select Market under the trading symbol “AAL.” There is no trading market for the common stock of American, which is a wholly-owned subsidiary of AAG.</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February 17, 2023, there were approximately 14,000 holders of record of our common stock. However, because many of the shares of our common stock are held by brokers and other institutions on behalf of stockholders, we believe there are substantially more beneficial holders of our common stock than record holders.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Information on securities authorized for issuance under our equity compensation plans will be set forth in our Proxy Statement for the 2023 Annual Meeting of Stockholders of American Airlines Group Inc. (the Proxy Statement) under the caption “Equity Compensation Plan Information” and is incorporated by reference into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 were no cash dividend payments during the years ended December 31, 2022 and 2021. In connection with our receipt of financial assistance under PSP1, PSP2 and PSP3, we agreed not to pay dividends on AAG common stock through September 30, 2022 when this restriction expired.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2"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“soliciting material” or “filed” with the SEC, nor shall such information be incorporated by reference into any future filings under the Securities Act of 1933 or the Exchange Act, each as amended, except to the extent that we specifically incorporate it by reference into such filing.</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following stock performance graph compares the cumulative total stockholder returns during the period from December 31, 2017 to December 31, 2022 of our common stock to the New York Stock Exchange (NYSE) ARCA Airline Index and the Standard and Poor’s Financial Services, LLC (S&amp;P) 500 Stock Index. The comparison assumes $100 was invested on December 31, 2017 in our common stock and in each of the foregoing indices and assumes that all dividends were reinvested. The stock performance shown on the following graph represents historical stock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91440</wp:posOffset>
            </wp:positionV>
            <wp:extent cx="5846445" cy="2897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644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12/31/2018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12/31/2019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12/31/2020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12/31/2021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12/31/2022</w:t>
            </w: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American Airlines Group Inc. (AAL)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NYSE ARCA Airline Index (XAL)</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 (GSPC)</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remaining authority under our most recent $2.0 billion share repurchase program expired in December 2020, and in connection with our receipt of financial assistance under PSP1, PSP2 and PSP3, we agreed not to repurchase shares of AAG common stock through September 30, 2022 when this restriction expired. No repurchases of AAG common stock were made in 2022 following the lapse of these restrictions. As of December 31, 2022, the Board of Directors of AAG had not authorized another share repurchase program. Any future determination to enter into a share repurchase program will be at the discretion of the Board of Directors, subject to applicable legal limitations, and will depend upon our results of operations, financial condition, contractual restrictions and other factors deemed relevant by the Board of Directors.</w:t>
      </w:r>
    </w:p>
    <w:p>
      <w:pPr>
        <w:spacing w:after="0" w:line="12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Part I, Item 1A. Risk Factors – “</w:t>
      </w:r>
      <w:r>
        <w:rPr>
          <w:rFonts w:ascii="Arial" w:cs="Arial" w:eastAsia="Arial" w:hAnsi="Arial"/>
          <w:sz w:val="18"/>
          <w:szCs w:val="18"/>
          <w:i w:val="1"/>
          <w:iCs w:val="1"/>
          <w:color w:val="auto"/>
        </w:rPr>
        <w:t>If we do decide to make repurchases of or pay dividends on our common stock, we cannot guarantee</w:t>
      </w:r>
      <w:r>
        <w:rPr>
          <w:rFonts w:ascii="Arial" w:cs="Arial" w:eastAsia="Arial" w:hAnsi="Arial"/>
          <w:sz w:val="18"/>
          <w:szCs w:val="18"/>
          <w:color w:val="auto"/>
        </w:rPr>
        <w:t xml:space="preserve"> </w:t>
      </w:r>
      <w:r>
        <w:rPr>
          <w:rFonts w:ascii="Arial" w:cs="Arial" w:eastAsia="Arial" w:hAnsi="Arial"/>
          <w:sz w:val="18"/>
          <w:szCs w:val="18"/>
          <w:i w:val="1"/>
          <w:iCs w:val="1"/>
          <w:color w:val="auto"/>
        </w:rPr>
        <w:t>that we will continue to do so or that our capital deployment program will enhance long-term stockholder value.</w:t>
      </w:r>
      <w:r>
        <w:rPr>
          <w:rFonts w:ascii="Arial" w:cs="Arial" w:eastAsia="Arial" w:hAnsi="Arial"/>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Restrictions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AAG’s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w:t>
      </w:r>
    </w:p>
    <w:p>
      <w:pPr>
        <w:spacing w:after="0" w:line="2" w:lineRule="exact"/>
        <w:rPr>
          <w:sz w:val="20"/>
          <w:szCs w:val="20"/>
          <w:color w:val="auto"/>
        </w:rPr>
      </w:pPr>
    </w:p>
    <w:p>
      <w:pPr>
        <w:jc w:val="both"/>
        <w:ind w:firstLine="8"/>
        <w:spacing w:after="0" w:line="258"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24.9% of the aggregate votes of all of our outstanding equity securities or (b) 49.0% of our outstanding equity securities. Our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w:t>
      </w:r>
    </w:p>
    <w:p>
      <w:pPr>
        <w:spacing w:after="0" w:line="1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to reduce the risk of a potential adverse effect on our ability to use our NOL carryforwards and certain other tax attributes for federal income tax purposes, and in connection with the expiration in December 2021 of certain transfer restrictions applicable to substantial shareholders contained in our Certificate of Incorporation, the Board of Directors of AAG adopted the Tax Benefits Preservation Plan in order to preserve our ability to use our NOLs and certain other tax attributes to reduce potential future income tax obligations. The Tax Benefits Preservation Plan was subsequently ratified by our stockholders at the 2022 Annual Meeting of Stockholders of AAG. The Tax Benefits Preservation Plan is designed to reduce the likelihood that we experience an "ownership change” for purposes of Section 382 by deterring certain acquisitions of AAG common stock. There is no assurance, however, that the deterrent mechanism will be effective, and such acquisitions may still occur. In addition, the Tax Benefits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See Part I, Item 1A. Risk Factors – </w:t>
      </w:r>
      <w:r>
        <w:rPr>
          <w:rFonts w:ascii="Arial" w:cs="Arial" w:eastAsia="Arial" w:hAnsi="Arial"/>
          <w:sz w:val="18"/>
          <w:szCs w:val="18"/>
          <w:i w:val="1"/>
          <w:iCs w:val="1"/>
          <w:color w:val="auto"/>
        </w:rPr>
        <w:t>“AAG’s Certificate of Incorporation, Bylaws and Tax Benefit Preservation Plan include provisions that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limit voting and acquisition and disposition of our equity interests and specify an exclusive forum for certain stockholder disputes” </w:t>
      </w:r>
      <w:r>
        <w:rPr>
          <w:rFonts w:ascii="Arial" w:cs="Arial" w:eastAsia="Arial" w:hAnsi="Arial"/>
          <w:sz w:val="18"/>
          <w:szCs w:val="18"/>
          <w:color w:val="auto"/>
        </w:rPr>
        <w:t>and “</w:t>
      </w:r>
      <w:r>
        <w:rPr>
          <w:rFonts w:ascii="Arial" w:cs="Arial" w:eastAsia="Arial" w:hAnsi="Arial"/>
          <w:sz w:val="18"/>
          <w:szCs w:val="18"/>
          <w:i w:val="1"/>
          <w:iCs w:val="1"/>
          <w:color w:val="auto"/>
        </w:rPr>
        <w:t xml:space="preserve">Our ability to utilize our NOLs and other carryforwards may be limited.” </w:t>
      </w:r>
      <w:r>
        <w:rPr>
          <w:rFonts w:ascii="Arial" w:cs="Arial" w:eastAsia="Arial" w:hAnsi="Arial"/>
          <w:sz w:val="18"/>
          <w:szCs w:val="18"/>
          <w:color w:val="auto"/>
        </w:rPr>
        <w:t>Also see AAG’s Certification of Incorporation and Bylaws, which are filed</w:t>
      </w:r>
      <w:r>
        <w:rPr>
          <w:rFonts w:ascii="Arial" w:cs="Arial" w:eastAsia="Arial" w:hAnsi="Arial"/>
          <w:sz w:val="18"/>
          <w:szCs w:val="18"/>
          <w:i w:val="1"/>
          <w:iCs w:val="1"/>
          <w:color w:val="auto"/>
        </w:rPr>
        <w:t xml:space="preserve"> </w:t>
      </w:r>
      <w:r>
        <w:rPr>
          <w:rFonts w:ascii="Arial" w:cs="Arial" w:eastAsia="Arial" w:hAnsi="Arial"/>
          <w:sz w:val="18"/>
          <w:szCs w:val="18"/>
          <w:color w:val="auto"/>
        </w:rPr>
        <w:t>as Exhibits 3.1, 3.2 and 3.3 hereto, for the full text of the foregoing restrictions and AAG’s Description of the Registrants’ Securities Registered Pursuant to Section 12 of the Securities Exchange Act of 1934, which is filed as Exhibit 4.1 hereto, for a more detailed description.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AAG</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and as of December 31, 2022, 2021 and 2020, are derived from AAG’s audited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gridSpan w:val="5"/>
          </w:tcPr>
          <w:p>
            <w:pPr>
              <w:jc w:val="center"/>
              <w:ind w:right="271"/>
              <w:spacing w:after="0"/>
              <w:rPr>
                <w:sz w:val="20"/>
                <w:szCs w:val="20"/>
                <w:color w:val="auto"/>
              </w:rPr>
            </w:pPr>
            <w:r>
              <w:rPr>
                <w:rFonts w:ascii="Arial" w:cs="Arial" w:eastAsia="Arial" w:hAnsi="Arial"/>
                <w:sz w:val="14"/>
                <w:szCs w:val="14"/>
                <w:b w:val="1"/>
                <w:bCs w:val="1"/>
                <w:color w:val="auto"/>
              </w:rPr>
              <w:t>(In millions, except share and per share amounts)</w:t>
            </w: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48,971</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29,882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17,337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47,364</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30,941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27,758</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1,607</w:t>
            </w:r>
          </w:p>
        </w:tc>
        <w:tc>
          <w:tcPr>
            <w:tcW w:w="48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(1,059)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(1,993)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48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for computation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650,345</w:t>
            </w:r>
          </w:p>
        </w:tc>
        <w:tc>
          <w:tcPr>
            <w:tcW w:w="4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644,015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483,888</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655,122</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644,015</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483,888</w:t>
            </w:r>
          </w:p>
        </w:tc>
      </w:tr>
      <w:tr>
        <w:trPr>
          <w:trHeight w:val="257"/>
        </w:trPr>
        <w:tc>
          <w:tcPr>
            <w:tcW w:w="6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 (at end of period):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64,716</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66,467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62,008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finance leases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35,663</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38,060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32,593</w:t>
            </w:r>
          </w:p>
        </w:tc>
      </w:tr>
      <w:tr>
        <w:trPr>
          <w:trHeight w:val="230"/>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2,926</w:t>
            </w:r>
          </w:p>
        </w:tc>
        <w:tc>
          <w:tcPr>
            <w:tcW w:w="4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5,150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8,117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(5,799)</w:t>
            </w:r>
          </w:p>
        </w:tc>
        <w:tc>
          <w:tcPr>
            <w:tcW w:w="48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(7,340)</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hanging="332"/>
        <w:spacing w:after="0" w:line="231"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Substantially all defined benefit pension plans were frozen effective November 1, 2012. See Note 9 to AAG's Consolidated Financial Statements in Part II, Item 8A for further information on pension and postretirement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 -GAAP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following table presents the components of our total net special items and the reconciliation of pre-tax income (loss) and net income (loss) (GAAP measures) to pre-tax income (loss) excluding net special items and net income (loss) excluding net special items (non-GAAP measures). Management uses these non-GAAP financial measures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6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620" w:type="dxa"/>
            <w:vAlign w:val="bottom"/>
            <w:tcBorders>
              <w:bottom w:val="single" w:sz="8" w:color="auto"/>
            </w:tcBorders>
            <w:shd w:val="clear" w:color="auto" w:fill="CCEEFF"/>
          </w:tcPr>
          <w:p>
            <w:pPr>
              <w:ind w:left="20"/>
              <w:spacing w:after="0" w:line="231" w:lineRule="exact"/>
              <w:rPr>
                <w:sz w:val="20"/>
                <w:szCs w:val="20"/>
                <w:color w:val="auto"/>
              </w:rPr>
            </w:pPr>
            <w:r>
              <w:rPr>
                <w:rFonts w:ascii="Arial" w:cs="Arial" w:eastAsia="Arial" w:hAnsi="Arial"/>
                <w:sz w:val="18"/>
                <w:szCs w:val="18"/>
                <w:b w:val="1"/>
                <w:bCs w:val="1"/>
                <w:color w:val="auto"/>
              </w:rPr>
              <w:t xml:space="preserve">Components of Total Special Items, Net: </w:t>
            </w:r>
            <w:r>
              <w:rPr>
                <w:rFonts w:ascii="Arial" w:cs="Arial" w:eastAsia="Arial" w:hAnsi="Arial"/>
                <w:sz w:val="23"/>
                <w:szCs w:val="23"/>
                <w:b w:val="1"/>
                <w:bCs w:val="1"/>
                <w:color w:val="auto"/>
                <w:vertAlign w:val="superscript"/>
              </w:rPr>
              <w:t>(1)</w:t>
            </w: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(3)</w:t>
            </w:r>
          </w:p>
        </w:tc>
        <w:tc>
          <w:tcPr>
            <w:tcW w:w="12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(4)</w:t>
            </w:r>
          </w:p>
        </w:tc>
        <w:tc>
          <w:tcPr>
            <w:tcW w:w="1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2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62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70"/>
        </w:trPr>
        <w:tc>
          <w:tcPr>
            <w:tcW w:w="7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(3)</w:t>
            </w:r>
          </w:p>
        </w:tc>
        <w:tc>
          <w:tcPr>
            <w:tcW w:w="12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(5)</w:t>
            </w:r>
          </w:p>
        </w:tc>
        <w:tc>
          <w:tcPr>
            <w:tcW w:w="1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762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12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(4)</w:t>
            </w:r>
          </w:p>
        </w:tc>
        <w:tc>
          <w:tcPr>
            <w:tcW w:w="1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operating special items, net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special items, net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50"/>
        </w:trPr>
        <w:tc>
          <w:tcPr>
            <w:tcW w:w="76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(6)</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Nonoperating special items, net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special items, net</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special items, net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special items, net</w:t>
            </w: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Pre-Tax Income (Loss) Excluding Net Special Items: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income (loss) – GAAP</w:t>
            </w: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Adjusted for: Pre-tax special items, net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Net Income (Loss) Excluding Net Special Items: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 GAAP</w:t>
            </w: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Adjusted for: Total special items, net</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for: Net tax effect of net special items</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Net income (loss) excluding net special items</w:t>
            </w: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Note 2 to AAG’s Consolidated Financial Statements in Part II, Item 8A for further information on net special items.</w:t>
      </w:r>
    </w:p>
    <w:p>
      <w:pPr>
        <w:spacing w:after="0" w:line="139" w:lineRule="exact"/>
        <w:rPr>
          <w:rFonts w:ascii="Arial" w:cs="Arial" w:eastAsia="Arial" w:hAnsi="Arial"/>
          <w:sz w:val="23"/>
          <w:szCs w:val="23"/>
          <w:color w:val="auto"/>
          <w:vertAlign w:val="superscript"/>
        </w:rPr>
      </w:pPr>
    </w:p>
    <w:p>
      <w:pPr>
        <w:jc w:val="both"/>
        <w:ind w:left="340" w:right="20" w:hanging="332"/>
        <w:spacing w:after="0" w:line="237"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Fleet impairment for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right="20"/>
        <w:spacing w:after="0" w:line="287" w:lineRule="auto"/>
        <w:rPr>
          <w:sz w:val="20"/>
          <w:szCs w:val="20"/>
          <w:color w:val="auto"/>
        </w:rPr>
      </w:pPr>
      <w:r>
        <w:rPr>
          <w:rFonts w:ascii="Arial" w:cs="Arial" w:eastAsia="Arial" w:hAnsi="Arial"/>
          <w:sz w:val="18"/>
          <w:szCs w:val="18"/>
          <w:color w:val="auto"/>
        </w:rPr>
        <w:t>Fleet impairment for 2021 included a non-cash impairment charge to write down regional aircraft resulting from the retirement of the remaining Embraer 140 fleet earlier than planned.</w:t>
      </w:r>
    </w:p>
    <w:p>
      <w:pPr>
        <w:spacing w:after="0" w:line="99" w:lineRule="exact"/>
        <w:rPr>
          <w:sz w:val="20"/>
          <w:szCs w:val="20"/>
          <w:color w:val="auto"/>
        </w:rPr>
      </w:pPr>
    </w:p>
    <w:p>
      <w:pPr>
        <w:jc w:val="both"/>
        <w:ind w:left="340" w:hanging="332"/>
        <w:spacing w:after="0" w:line="237"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(Treasury) pursuant to the payroll support programs established by the U.S. Government. See Note 1(b) to AAG’s Consolidated Financial Statements in Part II, Item 8A for further information.</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paid in the fourth quarter of 2021 to eligible captains at our wholly-owned regional carriers included on the pilot seniority list as of September 1, 2021.</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certain equity investments. See Note 8 to AAG’s Consolidated Financial Statements in Part II, Item 8A for further information related to our equity investments.</w:t>
      </w:r>
    </w:p>
    <w:p>
      <w:pPr>
        <w:spacing w:after="0" w:line="14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total operating cost per available seat mile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fuel and net special items allows management an additional tool to understand and analyze our non-fuel costs and core operating performance. Amounts may not recalculate due to rounding.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2080" w:type="dxa"/>
            <w:vAlign w:val="bottom"/>
            <w:tcBorders>
              <w:bottom w:val="single" w:sz="8" w:color="CCEEFF"/>
            </w:tcBorders>
          </w:tcPr>
          <w:p>
            <w:pPr>
              <w:spacing w:after="0"/>
              <w:rPr>
                <w:sz w:val="17"/>
                <w:szCs w:val="17"/>
                <w:color w:val="auto"/>
              </w:rPr>
            </w:pPr>
          </w:p>
        </w:tc>
        <w:tc>
          <w:tcPr>
            <w:tcW w:w="5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r>
      <w:tr>
        <w:trPr>
          <w:trHeight w:val="210"/>
        </w:trPr>
        <w:tc>
          <w:tcPr>
            <w:tcW w:w="76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CASM Excluding Net Special Items and Fuel: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30,941</w:t>
            </w:r>
          </w:p>
        </w:tc>
      </w:tr>
      <w:tr>
        <w:trPr>
          <w:trHeight w:val="230"/>
        </w:trPr>
        <w:tc>
          <w:tcPr>
            <w:tcW w:w="7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20" w:type="dxa"/>
            <w:vAlign w:val="bottom"/>
            <w:gridSpan w:val="2"/>
            <w:shd w:val="clear" w:color="auto" w:fill="CCEEFF"/>
          </w:tcPr>
          <w:p>
            <w:pPr>
              <w:jc w:val="center"/>
              <w:ind w:right="3920"/>
              <w:spacing w:after="0"/>
              <w:rPr>
                <w:sz w:val="20"/>
                <w:szCs w:val="20"/>
                <w:color w:val="auto"/>
              </w:rPr>
            </w:pPr>
            <w:r>
              <w:rPr>
                <w:rFonts w:ascii="Arial" w:cs="Arial" w:eastAsia="Arial" w:hAnsi="Arial"/>
                <w:sz w:val="18"/>
                <w:szCs w:val="18"/>
                <w:color w:val="auto"/>
                <w:w w:val="99"/>
              </w:rPr>
              <w:t>Mainline operating special items,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30"/>
        </w:trPr>
        <w:tc>
          <w:tcPr>
            <w:tcW w:w="7620" w:type="dxa"/>
            <w:vAlign w:val="bottom"/>
            <w:gridSpan w:val="2"/>
          </w:tcPr>
          <w:p>
            <w:pPr>
              <w:jc w:val="center"/>
              <w:ind w:right="3880"/>
              <w:spacing w:after="0"/>
              <w:rPr>
                <w:sz w:val="20"/>
                <w:szCs w:val="20"/>
                <w:color w:val="auto"/>
              </w:rPr>
            </w:pPr>
            <w:r>
              <w:rPr>
                <w:rFonts w:ascii="Arial" w:cs="Arial" w:eastAsia="Arial" w:hAnsi="Arial"/>
                <w:sz w:val="18"/>
                <w:szCs w:val="18"/>
                <w:color w:val="auto"/>
                <w:w w:val="99"/>
              </w:rPr>
              <w:t>Regional operating special items,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28,604</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260,226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214,535</w:t>
            </w:r>
          </w:p>
        </w:tc>
      </w:tr>
      <w:tr>
        <w:trPr>
          <w:trHeight w:val="20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29"/>
        </w:trPr>
        <w:tc>
          <w:tcPr>
            <w:tcW w:w="7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7620" w:type="dxa"/>
            <w:vAlign w:val="bottom"/>
            <w:gridSpan w:val="2"/>
            <w:shd w:val="clear" w:color="auto" w:fill="CCEEFF"/>
          </w:tcPr>
          <w:p>
            <w:pPr>
              <w:jc w:val="center"/>
              <w:ind w:right="3960"/>
              <w:spacing w:after="0"/>
              <w:rPr>
                <w:sz w:val="20"/>
                <w:szCs w:val="20"/>
                <w:color w:val="auto"/>
              </w:rPr>
            </w:pPr>
            <w:r>
              <w:rPr>
                <w:rFonts w:ascii="Arial" w:cs="Arial" w:eastAsia="Arial" w:hAnsi="Arial"/>
                <w:sz w:val="18"/>
                <w:szCs w:val="18"/>
                <w:color w:val="auto"/>
                <w:w w:val="99"/>
              </w:rPr>
              <w:t>Regional operating special items, net</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bl>
    <w:p>
      <w:pPr>
        <w:spacing w:after="0" w:line="62" w:lineRule="exact"/>
        <w:rPr>
          <w:sz w:val="20"/>
          <w:szCs w:val="20"/>
          <w:color w:val="auto"/>
        </w:rPr>
      </w:pPr>
    </w:p>
    <w:p>
      <w:pPr>
        <w:ind w:left="5520" w:right="1520" w:hanging="5512"/>
        <w:spacing w:after="0" w:line="721" w:lineRule="auto"/>
        <w:tabs>
          <w:tab w:leader="none" w:pos="322"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Note 2 to AAG’s Consolidated Financial Statements in Part II, Item 8A for further information on net special items.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American</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and as of December 31, 2022, 2021 and 2020, are derived from American’s audited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center"/>
              <w:ind w:right="27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1"/>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48,965</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29,880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17,335</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47,312</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30,841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27,559</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1,653</w:t>
            </w:r>
          </w:p>
        </w:tc>
        <w:tc>
          <w:tcPr>
            <w:tcW w:w="380" w:type="dxa"/>
            <w:vAlign w:val="bottom"/>
          </w:tcPr>
          <w:p>
            <w:pPr>
              <w:spacing w:after="0"/>
              <w:rPr>
                <w:sz w:val="19"/>
                <w:szCs w:val="19"/>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(10,224)</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(1,777)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r>
      <w:tr>
        <w:trPr>
          <w:trHeight w:val="257"/>
        </w:trPr>
        <w:tc>
          <w:tcPr>
            <w:tcW w:w="6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 (at end of period):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70,324</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71,145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69,215</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finance leases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30,422</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32,094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2,900</w:t>
            </w:r>
          </w:p>
        </w:tc>
        <w:tc>
          <w:tcPr>
            <w:tcW w:w="38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5,117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8,074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5,593</w:t>
            </w:r>
          </w:p>
        </w:tc>
        <w:tc>
          <w:tcPr>
            <w:tcW w:w="380" w:type="dxa"/>
            <w:vAlign w:val="bottom"/>
          </w:tcPr>
          <w:p>
            <w:pPr>
              <w:spacing w:after="0"/>
              <w:rPr>
                <w:sz w:val="20"/>
                <w:szCs w:val="20"/>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3,826</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Substantially all defined benefit pension plans were frozen effective November 1, 2012. See Note 8 to American's Consolidated Financial Statements in Part II, Item 8B for further information on pension and postretirement benefits.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40"/>
        <w:spacing w:after="0" w:line="34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2022 Financial Overview</w:t>
      </w:r>
    </w:p>
    <w:p>
      <w:pPr>
        <w:spacing w:after="0" w:line="1"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selected financial data presented below is derived from AAG’s audited consolidated financial statements included in Part II, Item 8A of this report and should be read in conjunction with those financial statements and the related notes thereto.</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3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2"/>
              <w:spacing w:after="0" w:line="122" w:lineRule="exact"/>
              <w:rPr>
                <w:sz w:val="20"/>
                <w:szCs w:val="20"/>
                <w:color w:val="auto"/>
              </w:rPr>
            </w:pPr>
            <w:r>
              <w:rPr>
                <w:rFonts w:ascii="Arial" w:cs="Arial" w:eastAsia="Arial" w:hAnsi="Arial"/>
                <w:sz w:val="14"/>
                <w:szCs w:val="14"/>
                <w:b w:val="1"/>
                <w:bCs w:val="1"/>
                <w:color w:val="auto"/>
              </w:rPr>
              <w:t>Increase</w:t>
            </w:r>
          </w:p>
        </w:tc>
        <w:tc>
          <w:tcPr>
            <w:tcW w:w="1500" w:type="dxa"/>
            <w:vAlign w:val="bottom"/>
          </w:tcPr>
          <w:p>
            <w:pPr>
              <w:jc w:val="center"/>
              <w:ind w:left="36"/>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18,505</w:t>
            </w:r>
          </w:p>
        </w:tc>
        <w:tc>
          <w:tcPr>
            <w:tcW w:w="15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500" w:type="dxa"/>
            <w:vAlign w:val="bottom"/>
          </w:tcPr>
          <w:p>
            <w:pPr>
              <w:jc w:val="center"/>
              <w:ind w:left="16"/>
              <w:spacing w:after="0"/>
              <w:rPr>
                <w:sz w:val="20"/>
                <w:szCs w:val="20"/>
                <w:color w:val="auto"/>
              </w:rPr>
            </w:pPr>
            <w:r>
              <w:rPr>
                <w:rFonts w:ascii="Arial" w:cs="Arial" w:eastAsia="Arial" w:hAnsi="Arial"/>
                <w:sz w:val="18"/>
                <w:szCs w:val="18"/>
                <w:color w:val="auto"/>
                <w:w w:val="97"/>
              </w:rPr>
              <w:t>(6.2)</w:t>
            </w: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5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19,089</w:t>
            </w:r>
          </w:p>
        </w:tc>
        <w:tc>
          <w:tcPr>
            <w:tcW w:w="1500" w:type="dxa"/>
            <w:vAlign w:val="bottom"/>
          </w:tcPr>
          <w:p>
            <w:pPr>
              <w:jc w:val="center"/>
              <w:ind w:left="16"/>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500" w:type="dxa"/>
            <w:vAlign w:val="bottom"/>
            <w:shd w:val="clear" w:color="auto" w:fill="CCEEFF"/>
          </w:tcPr>
          <w:p>
            <w:pPr>
              <w:jc w:val="center"/>
              <w:ind w:left="36"/>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1,155</w:t>
            </w:r>
          </w:p>
        </w:tc>
        <w:tc>
          <w:tcPr>
            <w:tcW w:w="1500" w:type="dxa"/>
            <w:vAlign w:val="bottom"/>
          </w:tcPr>
          <w:p>
            <w:pPr>
              <w:jc w:val="center"/>
              <w:ind w:left="16"/>
              <w:spacing w:after="0"/>
              <w:rPr>
                <w:sz w:val="20"/>
                <w:szCs w:val="20"/>
                <w:color w:val="auto"/>
              </w:rPr>
            </w:pPr>
            <w:r>
              <w:rPr>
                <w:rFonts w:ascii="Arial" w:cs="Arial" w:eastAsia="Arial" w:hAnsi="Arial"/>
                <w:sz w:val="18"/>
                <w:szCs w:val="18"/>
                <w:color w:val="auto"/>
                <w:w w:val="95"/>
              </w:rPr>
              <w:t>9.8</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15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2,666</w:t>
            </w:r>
          </w:p>
        </w:tc>
        <w:tc>
          <w:tcPr>
            <w:tcW w:w="1500" w:type="dxa"/>
            <w:vAlign w:val="bottom"/>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614</w:t>
            </w:r>
          </w:p>
        </w:tc>
        <w:tc>
          <w:tcPr>
            <w:tcW w:w="1500" w:type="dxa"/>
            <w:vAlign w:val="bottom"/>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 GAAP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500" w:type="dxa"/>
            <w:vAlign w:val="bottom"/>
            <w:tcBorders>
              <w:bottom w:val="single" w:sz="8" w:color="CCEEFF"/>
            </w:tcBorders>
          </w:tcPr>
          <w:p>
            <w:pPr>
              <w:jc w:val="center"/>
              <w:ind w:left="16"/>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1500" w:type="dxa"/>
            <w:vAlign w:val="bottom"/>
            <w:tcBorders>
              <w:bottom w:val="single" w:sz="8" w:color="CCEEFF"/>
            </w:tcBorders>
            <w:shd w:val="clear" w:color="auto" w:fill="CCEEFF"/>
          </w:tcPr>
          <w:p>
            <w:pPr>
              <w:jc w:val="center"/>
              <w:ind w:left="16"/>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 xml:space="preserve">See Part II, Item 6. Selected Consolidated Financial Data –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Consolidated Financial Statements in Part II, Item 8A for details on the components of pre-tax net special items.</w:t>
      </w:r>
    </w:p>
    <w:p>
      <w:pPr>
        <w:spacing w:after="0" w:line="3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(Loss) and Net Income (Loss)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Pre-tax income and net income were $186 million and $127 million, respectively, in 2022. This compares to 2021 pre-tax loss and net loss of $2.5 billion and $2.0 billion, respectively.</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year-over-year improvement in our pre-tax income, on a GAAP basis, was driven by the continued strength in demand for air travel and a 21.3% increase in capacity as compared to 2021. This resulted in record passenger revenue for 2022 which was offset in part by higher aircraft fuel and related taxes, due to a 73.0% increase in the average price per gallon of aircraft fuel as well as increases in other operating expenses from increased capacity. The 2021 period also included the recognition of $4.4 billion of net pre-tax special credits, principally related to PSP Financial Assistance. See Note 2 to AAG’s Consolidated Financial Statements in Part II, Item 8A for details on the components of pre-tax net special items.</w:t>
      </w:r>
    </w:p>
    <w:p>
      <w:pPr>
        <w:spacing w:after="0" w:line="128"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Excluding the effects of pre-tax net special items, pre-tax income was $458 million in 2022 and pre-tax loss was $ 6.9 billion in 2021. The year-over-year improvement in our pre-tax income excluding pre-tax net special items was primarily due to record passenger revenue in 2022, offset in part by higher aircraft fuel and related taxes and increases in other operating expenses, as described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2022, we reported total operating revenues of $49.0 billion, an increase of $19.1 billion, or 63.9%, as compared to 2021. Passenger revenue was $44.6 billion, an increase of $18.5 billion, or 71.0%, as compared to 2021. The increase in passenger revenue in 2022 was primarily due to a 33.5% increase in revenue passenger miles (RPMs), driven by the continued strength in demand for air travel domestically and in the Atlantic and Latin America regions, resulting in a 7.6 point increase in passenger load factor to 82.9% in 2022, and a 28.1% increase in passenger yield.</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2022, cargo revenue was $1.2 billion, a decrease of $81 million, or 6.2%, as compared to 2021, primarily due to a 5.3% decrease in cargo ton miles driven by the discontinuation of our cargo-only flying and lower demand.</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$665 million, or 26.5%, in 2022 as compared to 2021, driven primarily by higher revenue associated with our loyalty program. During 2022 and 2021, cash payments from co-branded credit card and other partners were $4.5 billion and $3.4 billion, respectively.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total revenue per available seat mile (TRASM) was 18.82 cents in 2022, a 35.1% increase as compared to 13.93 cents in 2021, driven principally by the increase in passenger revenue as described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 aircraft fuel expense totaled $13.8 billion, an increase of $7.0 billion as compared to 2021. This increase was primarily driven by a 73.0% increase in the average price per gallon of aircraft fuel including related taxes to $3.54 in 2022 from $2.04 in 2021 and a 17.4% increase in gallons of fuel consumed due to increased capacity.</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2022 CASM was 18.20 cents, an increase of 26.2%, from 14.42 cents in 2021. This increase in CASM was primarily driven by higher aircraft fuel and related taxes in 2022, as described above, and the recognition of $4.5 billion of operating net special credits in 2021 principally related to PSP Financial Assistance.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2022 CASM excluding net special items and fuel was 12.83 cents, a decrease of 3.8%, from 13.33 cents in 2021.</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a reconciliation of total operating CASM to total operating CASM excluding net special items and fuel, see Part II, Item 6. Selected Consolidated Financial Data – </w:t>
      </w:r>
      <w:r>
        <w:rPr>
          <w:rFonts w:ascii="Arial" w:cs="Arial" w:eastAsia="Arial" w:hAnsi="Arial"/>
          <w:sz w:val="18"/>
          <w:szCs w:val="18"/>
          <w:i w:val="1"/>
          <w:iCs w:val="1"/>
          <w:color w:val="auto"/>
        </w:rPr>
        <w:t>“Reconciliation of GAAP to Non-GAAP Financial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2022, we had $12.0 billion in total available liquidity, consisting of $9.0 billion in unrestricted cash and short-term investments, $2.8 billion in undrawn capacity under revolving credit facilities and a total of $220 million in undrawn short-term revolving and other facilities.</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During 2022, we completed the following financing transactions (see Note 4 to AAG’s Consolidated Financial Statements in Part II, Item 8A for further information):</w:t>
      </w:r>
    </w:p>
    <w:p>
      <w:pPr>
        <w:spacing w:after="0" w:line="99" w:lineRule="exact"/>
        <w:rPr>
          <w:sz w:val="20"/>
          <w:szCs w:val="20"/>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repaid in full approximately $1.2 billion outstanding balance under, and terminated, the December 2016 Term Loan Facility;</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received $866 million in proceeds from enhanced equipment trust certificates (EETCs);</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repurchased $349 million of unsecured notes in the open market;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$205 million of equipment loans and other notes payable in connection with the financing of certain aircraft.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covenants requiring us to meet certain loan to value, collateral coverage and/or peak debt service coverage ratios.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4 to AAG’s Consolidated Financial Statements in Part II, Item 8A for additional information on our debt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a comparison of the 2021 to 2020 reporting periods, see Part II, Item 7.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xml:space="preserve"> of our 2021 Form 10-K.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years ended December 31,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Increase</w:t>
            </w:r>
          </w:p>
        </w:tc>
      </w:tr>
      <w:tr>
        <w:trPr>
          <w:trHeight w:val="224"/>
        </w:trPr>
        <w:tc>
          <w:tcPr>
            <w:tcW w:w="686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161,538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33.5%</w:t>
            </w: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380" w:type="dxa"/>
            <w:vAlign w:val="bottom"/>
          </w:tcPr>
          <w:p>
            <w:pPr>
              <w:jc w:val="right"/>
              <w:spacing w:after="0"/>
              <w:rPr>
                <w:sz w:val="20"/>
                <w:szCs w:val="20"/>
                <w:color w:val="auto"/>
              </w:rPr>
            </w:pPr>
            <w:r>
              <w:rPr>
                <w:rFonts w:ascii="Arial" w:cs="Arial" w:eastAsia="Arial" w:hAnsi="Arial"/>
                <w:sz w:val="18"/>
                <w:szCs w:val="18"/>
                <w:color w:val="auto"/>
              </w:rPr>
              <w:t>260,226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214,535</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rPr>
              <w:t>21.3%</w:t>
            </w:r>
          </w:p>
        </w:tc>
      </w:tr>
      <w:tr>
        <w:trPr>
          <w:trHeight w:val="230"/>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7.6pts</w:t>
            </w: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380" w:type="dxa"/>
            <w:vAlign w:val="bottom"/>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16.13</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rPr>
              <w:t>28.1%</w:t>
            </w:r>
          </w:p>
        </w:tc>
      </w:tr>
      <w:tr>
        <w:trPr>
          <w:trHeight w:val="229"/>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41.0%</w:t>
            </w:r>
          </w:p>
        </w:tc>
      </w:tr>
      <w:tr>
        <w:trPr>
          <w:trHeight w:val="230"/>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38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13.93</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rPr>
              <w:t>35.1%</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consumption (gallons in millions)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17.4%</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38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rPr>
              <w:t>73.0%</w:t>
            </w:r>
          </w:p>
        </w:tc>
      </w:tr>
      <w:tr>
        <w:trPr>
          <w:trHeight w:val="230"/>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26.2%</w:t>
            </w:r>
          </w:p>
        </w:tc>
      </w:tr>
      <w:tr>
        <w:trPr>
          <w:trHeight w:val="230"/>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380" w:type="dxa"/>
            <w:vAlign w:val="bottom"/>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1,432</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2.0%</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Full-time equivalent employees at end of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123,400</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-1610995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-1610995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(b)</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(c)</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(e)</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(f)</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(g)</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(h)</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Passenger revenue per available seat mile (PRASM) – Passenger revenue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ASMs.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operating cost per available seat mile (CASM) – Total operating expenses divided by ASMs.</w:t>
      </w:r>
    </w:p>
    <w:p>
      <w:pPr>
        <w:spacing w:after="0" w:line="171" w:lineRule="exact"/>
        <w:rPr>
          <w:sz w:val="20"/>
          <w:szCs w:val="20"/>
          <w:color w:val="auto"/>
        </w:rPr>
      </w:pPr>
    </w:p>
    <w:p>
      <w:pPr>
        <w:jc w:val="both"/>
        <w:ind w:left="20" w:hanging="5"/>
        <w:spacing w:after="0" w:line="268" w:lineRule="auto"/>
        <w:rPr>
          <w:sz w:val="20"/>
          <w:szCs w:val="20"/>
          <w:color w:val="auto"/>
        </w:rPr>
      </w:pPr>
      <w:r>
        <w:rPr>
          <w:rFonts w:ascii="Arial" w:cs="Arial" w:eastAsia="Arial" w:hAnsi="Arial"/>
          <w:sz w:val="18"/>
          <w:szCs w:val="18"/>
          <w:color w:val="auto"/>
        </w:rPr>
        <w:t>Includes aircraft owned and leased by American as well as aircraft operated by third-party regional carriers under capacity purchase agreements. Excludes nine mainline and 69 regional aircraft in temporary storage as of December 31, 2022 as follows: nine Boeing 737-800, 40 Embraer 145, 19 Bombardier CRJ 700, six Embraer 170 and four Bombardier CRJ 900.</w:t>
      </w:r>
    </w:p>
    <w:p>
      <w:pPr>
        <w:spacing w:after="0" w:line="200" w:lineRule="exact"/>
        <w:rPr>
          <w:sz w:val="20"/>
          <w:szCs w:val="20"/>
          <w:color w:val="auto"/>
        </w:rPr>
      </w:pPr>
    </w:p>
    <w:p>
      <w:pPr>
        <w:sectPr>
          <w:pgSz w:w="11900" w:h="16838" w:orient="portrait"/>
          <w:cols w:equalWidth="0" w:num="2">
            <w:col w:w="160" w:space="480"/>
            <w:col w:w="10600"/>
          </w:cols>
          <w:pgMar w:left="320" w:top="364" w:right="339"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8"/>
            <w:vMerge w:val="restart"/>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1"/>
        </w:trPr>
        <w:tc>
          <w:tcPr>
            <w:tcW w:w="3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tcBorders>
              <w:bottom w:val="single" w:sz="8" w:color="auto"/>
            </w:tcBorders>
            <w:gridSpan w:val="8"/>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gridSpan w:val="5"/>
            <w:vMerge w:val="restart"/>
          </w:tcPr>
          <w:p>
            <w:pPr>
              <w:jc w:val="right"/>
              <w:ind w:right="920"/>
              <w:spacing w:after="0" w:line="149" w:lineRule="exact"/>
              <w:rPr>
                <w:sz w:val="20"/>
                <w:szCs w:val="20"/>
                <w:color w:val="auto"/>
              </w:rPr>
            </w:pPr>
            <w:r>
              <w:rPr>
                <w:rFonts w:ascii="Arial" w:cs="Arial" w:eastAsia="Arial" w:hAnsi="Arial"/>
                <w:sz w:val="14"/>
                <w:szCs w:val="14"/>
                <w:b w:val="1"/>
                <w:bCs w:val="1"/>
                <w:color w:val="auto"/>
              </w:rPr>
              <w:t>Increase</w:t>
            </w:r>
          </w:p>
        </w:tc>
        <w:tc>
          <w:tcPr>
            <w:tcW w:w="1100" w:type="dxa"/>
            <w:vAlign w:val="bottom"/>
            <w:gridSpan w:val="2"/>
            <w:vMerge w:val="restart"/>
          </w:tcPr>
          <w:p>
            <w:pPr>
              <w:jc w:val="center"/>
              <w:ind w:right="28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4"/>
            <w:vMerge w:val="restart"/>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5"/>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(Decrease)</w:t>
            </w:r>
          </w:p>
        </w:tc>
        <w:tc>
          <w:tcPr>
            <w:tcW w:w="110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gridSpan w:val="12"/>
          </w:tcPr>
          <w:p>
            <w:pPr>
              <w:jc w:val="right"/>
              <w:ind w:right="620"/>
              <w:spacing w:after="0"/>
              <w:rPr>
                <w:sz w:val="20"/>
                <w:szCs w:val="20"/>
                <w:color w:val="auto"/>
              </w:rPr>
            </w:pPr>
            <w:r>
              <w:rPr>
                <w:rFonts w:ascii="Arial" w:cs="Arial" w:eastAsia="Arial" w:hAnsi="Arial"/>
                <w:sz w:val="14"/>
                <w:szCs w:val="14"/>
                <w:b w:val="1"/>
                <w:bCs w:val="1"/>
                <w:color w:val="auto"/>
              </w:rPr>
              <w:t>(In millions, except percentage changes)</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44,568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26,063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4"/>
              </w:rPr>
              <w:t>18,505</w:t>
            </w: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308"/>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9"/>
                <w:szCs w:val="19"/>
                <w:color w:val="auto"/>
              </w:rPr>
            </w:pPr>
          </w:p>
        </w:tc>
        <w:tc>
          <w:tcPr>
            <w:tcW w:w="1100" w:type="dxa"/>
            <w:vAlign w:val="bottom"/>
            <w:gridSpan w:val="2"/>
          </w:tcPr>
          <w:p>
            <w:pPr>
              <w:jc w:val="center"/>
              <w:ind w:right="308"/>
              <w:spacing w:after="0"/>
              <w:rPr>
                <w:sz w:val="20"/>
                <w:szCs w:val="20"/>
                <w:color w:val="auto"/>
              </w:rPr>
            </w:pPr>
            <w:r>
              <w:rPr>
                <w:rFonts w:ascii="Arial" w:cs="Arial" w:eastAsia="Arial" w:hAnsi="Arial"/>
                <w:sz w:val="18"/>
                <w:szCs w:val="18"/>
                <w:color w:val="auto"/>
                <w:w w:val="97"/>
              </w:rPr>
              <w:t>(6.2)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665</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308"/>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3080" w:type="dxa"/>
            <w:vAlign w:val="bottom"/>
          </w:tcPr>
          <w:p>
            <w:pPr>
              <w:ind w:left="220"/>
              <w:spacing w:after="0"/>
              <w:rPr>
                <w:sz w:val="20"/>
                <w:szCs w:val="20"/>
                <w:color w:val="auto"/>
              </w:rPr>
            </w:pPr>
            <w:r>
              <w:rPr>
                <w:rFonts w:ascii="Arial" w:cs="Arial" w:eastAsia="Arial" w:hAnsi="Arial"/>
                <w:sz w:val="18"/>
                <w:szCs w:val="18"/>
                <w:color w:val="auto"/>
              </w:rPr>
              <w:t>Total operating revenues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48,971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29,882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w w:val="94"/>
              </w:rPr>
              <w:t>19,089</w:t>
            </w:r>
          </w:p>
        </w:tc>
        <w:tc>
          <w:tcPr>
            <w:tcW w:w="480" w:type="dxa"/>
            <w:vAlign w:val="bottom"/>
          </w:tcPr>
          <w:p>
            <w:pPr>
              <w:spacing w:after="0"/>
              <w:rPr>
                <w:sz w:val="19"/>
                <w:szCs w:val="19"/>
                <w:color w:val="auto"/>
              </w:rPr>
            </w:pPr>
          </w:p>
        </w:tc>
        <w:tc>
          <w:tcPr>
            <w:tcW w:w="1100" w:type="dxa"/>
            <w:vAlign w:val="bottom"/>
            <w:gridSpan w:val="2"/>
          </w:tcPr>
          <w:p>
            <w:pPr>
              <w:jc w:val="center"/>
              <w:ind w:right="308"/>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
        </w:trPr>
        <w:tc>
          <w:tcPr>
            <w:tcW w:w="4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9040" w:type="dxa"/>
            <w:vAlign w:val="bottom"/>
            <w:gridSpan w:val="17"/>
          </w:tcPr>
          <w:p>
            <w:pPr>
              <w:ind w:left="260"/>
              <w:spacing w:after="0"/>
              <w:rPr>
                <w:sz w:val="20"/>
                <w:szCs w:val="20"/>
                <w:color w:val="auto"/>
              </w:rPr>
            </w:pPr>
            <w:r>
              <w:rPr>
                <w:rFonts w:ascii="Arial" w:cs="Arial" w:eastAsia="Arial" w:hAnsi="Arial"/>
                <w:sz w:val="18"/>
                <w:szCs w:val="18"/>
                <w:color w:val="auto"/>
              </w:rPr>
              <w:t>This table presents our passenger revenue and the year-over-year change in certain operating statistics: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Increase</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2"/>
          </w:tcPr>
          <w:p>
            <w:pPr>
              <w:jc w:val="right"/>
              <w:ind w:right="940"/>
              <w:spacing w:after="0"/>
              <w:rPr>
                <w:sz w:val="20"/>
                <w:szCs w:val="20"/>
                <w:color w:val="auto"/>
              </w:rPr>
            </w:pPr>
            <w:r>
              <w:rPr>
                <w:rFonts w:ascii="Arial" w:cs="Arial" w:eastAsia="Arial" w:hAnsi="Arial"/>
                <w:sz w:val="14"/>
                <w:szCs w:val="14"/>
                <w:b w:val="1"/>
                <w:bCs w:val="1"/>
                <w:color w:val="auto"/>
              </w:rPr>
              <w:t>vs. Year Ended December 31,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Year Ended</w:t>
            </w:r>
          </w:p>
        </w:tc>
        <w:tc>
          <w:tcPr>
            <w:tcW w:w="980" w:type="dxa"/>
            <w:vAlign w:val="bottom"/>
            <w:gridSpan w:val="2"/>
          </w:tcPr>
          <w:p>
            <w:pPr>
              <w:jc w:val="right"/>
              <w:ind w:right="39"/>
              <w:spacing w:after="0" w:line="147" w:lineRule="exact"/>
              <w:rPr>
                <w:sz w:val="20"/>
                <w:szCs w:val="20"/>
                <w:color w:val="auto"/>
              </w:rPr>
            </w:pPr>
            <w:r>
              <w:rPr>
                <w:rFonts w:ascii="Arial" w:cs="Arial" w:eastAsia="Arial" w:hAnsi="Arial"/>
                <w:sz w:val="14"/>
                <w:szCs w:val="14"/>
                <w:b w:val="1"/>
                <w:bCs w:val="1"/>
                <w:color w:val="auto"/>
              </w:rPr>
              <w:t>Passenger</w:t>
            </w:r>
          </w:p>
        </w:tc>
        <w:tc>
          <w:tcPr>
            <w:tcW w:w="100" w:type="dxa"/>
            <w:vAlign w:val="bottom"/>
          </w:tcPr>
          <w:p>
            <w:pPr>
              <w:spacing w:after="0"/>
              <w:rPr>
                <w:sz w:val="12"/>
                <w:szCs w:val="12"/>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97"/>
              </w:rPr>
              <w:t>RPMs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ASMs</w:t>
            </w:r>
          </w:p>
        </w:tc>
        <w:tc>
          <w:tcPr>
            <w:tcW w:w="100" w:type="dxa"/>
            <w:vAlign w:val="bottom"/>
            <w:gridSpan w:val="2"/>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64"/>
              <w:spacing w:after="0" w:line="147" w:lineRule="exact"/>
              <w:rPr>
                <w:sz w:val="20"/>
                <w:szCs w:val="20"/>
                <w:color w:val="auto"/>
              </w:rPr>
            </w:pPr>
            <w:r>
              <w:rPr>
                <w:rFonts w:ascii="Arial" w:cs="Arial" w:eastAsia="Arial" w:hAnsi="Arial"/>
                <w:sz w:val="14"/>
                <w:szCs w:val="14"/>
                <w:b w:val="1"/>
                <w:bCs w:val="1"/>
                <w:color w:val="auto"/>
              </w:rPr>
              <w:t>Load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Passenger</w:t>
            </w:r>
          </w:p>
        </w:tc>
        <w:tc>
          <w:tcPr>
            <w:tcW w:w="120" w:type="dxa"/>
            <w:vAlign w:val="bottom"/>
          </w:tcPr>
          <w:p>
            <w:pPr>
              <w:spacing w:after="0"/>
              <w:rPr>
                <w:sz w:val="12"/>
                <w:szCs w:val="12"/>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Factor</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44,568</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7.6pts</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$18.5 billion, or 71.0%, in 2022 from 2021 primarily due to a 33.5% increase in RPMs, driven by the continued strength in demand for air travel domestically and in the Atlantic and Latin America regions, resulting in a 7.6 point increase in passenger load factor to 82.9% in 2022, and a 28.1% increase in passenger yield.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decreased $81 million, or 6.2%, in 2022 from 2021 primarily due to a 5.3% decrease in cargo ton miles driven by the discontinuation of our cargo-only flying and lower demand.</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$ 665 million, or 26.5%, in 2022 from 2021 driven primarily by higher revenue associated with our loyalty program. During 2022 and 2021, cash payments from co-branded credit card and other partners were $4.5 billion and $3.4 billion, respectively.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Total operating revenues in 2022 increased $19.1 billion, or 63.9%, from 2021 and our TRASM increased 35.1% to 18.82 cents in 2022 from 13.93 cents in 2021, driven principally by the increase in passenger revenue as described above.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3"/>
        </w:trPr>
        <w:tc>
          <w:tcPr>
            <w:tcW w:w="5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74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restart"/>
          </w:tcPr>
          <w:p>
            <w:pPr>
              <w:jc w:val="right"/>
              <w:ind w:right="333"/>
              <w:spacing w:after="0" w:line="149" w:lineRule="exact"/>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center"/>
              <w:ind w:left="14"/>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w w:val="95"/>
              </w:rPr>
              <w:t>9.8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56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156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Total operating expenses increased $16.4 billion, or 53.1%, in 2022 from 2021 driven by higher aircraft fuel and related taxes and other expenses as a result of an increase in the average price per gallon of aircraft fuel and increased capacity. In 2021, total operating expenses also included $4.5 billion of net operating special credits principally related to PSP Financial Assistance. See further discussion of operating special items, net below.</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$7.0 billion in 2022 from 2021 primarily driven by a 73.0% increase in the average price per gallon of aircraft fuel including related taxes to $3.54 in 2022 from $2.04 in 2021 and a 17.4% increase in gallons of fuel consumed due to increased capacity.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Salaries, wages and benefits increased $1.2 billion, or 9.8%, in 2022 from 2021 primarily due to an increase in average mainline full-time equivalent employees in 2022 as compared to 2021.</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increased $1.2 billion, or 36.9%, in 2022 from 2021 primarily due to pay rate increases and retention bonuses offered at our wholly-owned regional carriers, as well as contractual rate increases with our third-party regional carriers. The 2021 period also included the recognition of $539 million of PSP Financial Assistance as a regional operating special credit. See further discussion of operating special items, net below.</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Maintenance, materials and repairs increased $705 million, or 35.6%, in 2022 from 2021 primarily due to increased capacity and an increase in the volume of engine overhauls where expense is incurred as maintenance is performed.</w:t>
      </w:r>
    </w:p>
    <w:p>
      <w:pPr>
        <w:spacing w:after="0" w:line="9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Selling expenses increased $717 million, or 65.3%, in 2022 from 2021 primarily due to higher credit card fees and commission expense driven by the overall increase in passenger revenues.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expenses increased $1.4 billion, or 35.8%, in 2022 from 2021 primarily as a result of increased aircraft food and catering, crew travel, passenger accommodation and ground and cargo handling expenses driven by the increase in flight operations as well as certain general and administrative expenses.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Special Items,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r>
      <w:tr>
        <w:trPr>
          <w:trHeight w:val="230"/>
        </w:trPr>
        <w:tc>
          <w:tcPr>
            <w:tcW w:w="756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Litigation reserve adjustments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30"/>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4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70"/>
        </w:trPr>
        <w:tc>
          <w:tcPr>
            <w:tcW w:w="208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(4)</w:t>
            </w:r>
          </w:p>
        </w:tc>
        <w:tc>
          <w:tcPr>
            <w:tcW w:w="4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4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Regional operating special items, net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48"/>
        </w:trPr>
        <w:tc>
          <w:tcPr>
            <w:tcW w:w="7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76" w:lineRule="exact"/>
        <w:rPr>
          <w:sz w:val="20"/>
          <w:szCs w:val="20"/>
          <w:color w:val="auto"/>
        </w:rPr>
      </w:pPr>
    </w:p>
    <w:p>
      <w:pPr>
        <w:jc w:val="both"/>
        <w:ind w:left="340" w:right="20" w:hanging="332"/>
        <w:spacing w:after="0" w:line="237"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Fleet impairment for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programs established by the U.S. Government. See Note 1(b) to AAG’s Consolidated Financial Statements in Part II, Item 8A for further information.</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hanging="332"/>
        <w:spacing w:after="0" w:line="231" w:lineRule="auto"/>
        <w:tabs>
          <w:tab w:leader="none" w:pos="33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paid in the fourth quarter of 2021 to eligible captains at our wholly-owned regional carriers included on the pilot seniority list as of September 1, 2021.</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Nonoperating Results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6"/>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58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1580" w:type="dxa"/>
            <w:vAlign w:val="bottom"/>
          </w:tcPr>
          <w:p>
            <w:pPr>
              <w:jc w:val="center"/>
              <w:ind w:left="18"/>
              <w:spacing w:after="0"/>
              <w:rPr>
                <w:sz w:val="20"/>
                <w:szCs w:val="20"/>
                <w:color w:val="auto"/>
              </w:rPr>
            </w:pPr>
            <w:r>
              <w:rPr>
                <w:rFonts w:ascii="Arial" w:cs="Arial" w:eastAsia="Arial" w:hAnsi="Arial"/>
                <w:sz w:val="18"/>
                <w:szCs w:val="18"/>
                <w:color w:val="auto"/>
                <w:w w:val="95"/>
              </w:rPr>
              <w:t>9.0</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5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580" w:type="dxa"/>
            <w:vAlign w:val="bottom"/>
          </w:tcPr>
          <w:p>
            <w:pPr>
              <w:jc w:val="center"/>
              <w:ind w:left="18"/>
              <w:spacing w:after="0"/>
              <w:rPr>
                <w:sz w:val="20"/>
                <w:szCs w:val="20"/>
                <w:color w:val="auto"/>
              </w:rPr>
            </w:pPr>
            <w:r>
              <w:rPr>
                <w:rFonts w:ascii="Arial" w:cs="Arial" w:eastAsia="Arial" w:hAnsi="Arial"/>
                <w:sz w:val="18"/>
                <w:szCs w:val="18"/>
                <w:color w:val="auto"/>
                <w:w w:val="97"/>
              </w:rPr>
              <w:t>(4.6)</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Interest income increased in 2022 compared to 2021 primarily as a result of higher returns on our short-term investments. Interest expense, net increased in 2022 compared to 2021 primarily due to the impact of the AAdvantage Financing issued at the end of the first quarter of 2021 and higher interest expense on our variable-rate debt instruments as a result of increased interest rates, offset in part by debt repayments.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 other nonoperating income, net primarily included $ 424 million of non-service related pension and other postretirement benefit plan income, offset in part by $74 million of net special charges principally for mark-to-market net unrealized losses associated with certain equity investments.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2021, other nonoperating income, net included $337 million of non-service related pension and other postretirement benefit plan income, offset in part by $60 million of net special charges principally for mark-to-market net unrealized losses associated with certain equity investments and non-cash charges associated with debt refinancings and extinguishments.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2022, we recorded an income tax provision of $59 million with an effective rate of approximately 32%, which was substantially non-cash. Substantially all of our income before income taxes is attributable to the United States. At December 31, 2022, we had approximately $16.2 billion of gross federal NOLs and $4.3 billion of other carryforwards available to reduce future federal taxable income, of which $5.9 billion will expire beginning in 2024 if unused and $14.6 billion can be carried forward indefinitely. We also had approximately $6.0 billion of NOL carryforwards to reduce future state taxable income at December 31, 2022, which will expire in taxable years 2022 through 2042 if unused.</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2021, we recorded an income tax benefit of $555 million at an effective rate of approximately 22%, which was substantially non-cash.</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Consolidated Financial Statements in Part II, Item 8A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a comparison of the 2021 to 2020 reporting periods, see Part II, Item 7. Management’s Discussion and Analysis of Financial Condition and Results of Operations – “</w:t>
      </w:r>
      <w:r>
        <w:rPr>
          <w:rFonts w:ascii="Arial" w:cs="Arial" w:eastAsia="Arial" w:hAnsi="Arial"/>
          <w:sz w:val="18"/>
          <w:szCs w:val="18"/>
          <w:i w:val="1"/>
          <w:iCs w:val="1"/>
          <w:color w:val="auto"/>
        </w:rPr>
        <w:t>American’s Results of Operations”</w:t>
      </w:r>
      <w:r>
        <w:rPr>
          <w:rFonts w:ascii="Arial" w:cs="Arial" w:eastAsia="Arial" w:hAnsi="Arial"/>
          <w:sz w:val="18"/>
          <w:szCs w:val="18"/>
          <w:color w:val="auto"/>
        </w:rPr>
        <w:t xml:space="preserve"> of American’s 2021 Form 10-K.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
                <w:szCs w:val="2"/>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Increase (Decrease)</w:t>
            </w: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18,505</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580" w:type="dxa"/>
            <w:vAlign w:val="bottom"/>
          </w:tcPr>
          <w:p>
            <w:pPr>
              <w:jc w:val="center"/>
              <w:ind w:left="16"/>
              <w:spacing w:after="0"/>
              <w:rPr>
                <w:sz w:val="20"/>
                <w:szCs w:val="20"/>
                <w:color w:val="auto"/>
              </w:rPr>
            </w:pPr>
            <w:r>
              <w:rPr>
                <w:rFonts w:ascii="Arial" w:cs="Arial" w:eastAsia="Arial" w:hAnsi="Arial"/>
                <w:sz w:val="18"/>
                <w:szCs w:val="18"/>
                <w:color w:val="auto"/>
                <w:w w:val="97"/>
              </w:rPr>
              <w:t>(6.2)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19,085</w:t>
            </w:r>
          </w:p>
        </w:tc>
        <w:tc>
          <w:tcPr>
            <w:tcW w:w="1580" w:type="dxa"/>
            <w:vAlign w:val="bottom"/>
          </w:tcPr>
          <w:p>
            <w:pPr>
              <w:jc w:val="center"/>
              <w:ind w:left="16"/>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75"/>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$18.5 billion, or 71.0%, in 2022 from 2021 primarily due to an increase in RPMs, driven by the continued strength in demand for air travel domestically and in the Atlantic and Latin America regions, resulting in an increase in passenger load factor in 2022, and an increase in passenger yield.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decreased $81 million, or 6.2%, in 2022 from 2021 primarily due to a decrease in cargo ton miles driven by the discontinuation of American’s cargo-only flying and lower demand.</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$ 661 million, or 26.4%, in 2022 from 2021 driven primarily by higher revenue associated with American’s loyalty program. During 2022 and 2021, cash payments from co-branded credit card and other partners were $4.5 billion and $3.4 billion, respectively.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Total operating revenues in 2022 increased $19.1 billion, or 63.9%, from 2021 driven principally by the increase in passenger revenue as described above.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3"/>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5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1,154</w:t>
            </w:r>
          </w:p>
        </w:tc>
        <w:tc>
          <w:tcPr>
            <w:tcW w:w="1580" w:type="dxa"/>
            <w:vAlign w:val="bottom"/>
          </w:tcPr>
          <w:p>
            <w:pPr>
              <w:jc w:val="center"/>
              <w:ind w:left="14"/>
              <w:spacing w:after="0"/>
              <w:rPr>
                <w:sz w:val="20"/>
                <w:szCs w:val="20"/>
                <w:color w:val="auto"/>
              </w:rPr>
            </w:pPr>
            <w:r>
              <w:rPr>
                <w:rFonts w:ascii="Arial" w:cs="Arial" w:eastAsia="Arial" w:hAnsi="Arial"/>
                <w:sz w:val="18"/>
                <w:szCs w:val="18"/>
                <w:color w:val="auto"/>
                <w:w w:val="95"/>
              </w:rPr>
              <w:t>9.8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5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705</w:t>
            </w:r>
          </w:p>
        </w:tc>
        <w:tc>
          <w:tcPr>
            <w:tcW w:w="1580" w:type="dxa"/>
            <w:vAlign w:val="bottom"/>
          </w:tcPr>
          <w:p>
            <w:pPr>
              <w:jc w:val="center"/>
              <w:ind w:left="14"/>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5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580" w:type="dxa"/>
            <w:vAlign w:val="bottom"/>
          </w:tcPr>
          <w:p>
            <w:pPr>
              <w:jc w:val="center"/>
              <w:ind w:left="14"/>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5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580" w:type="dxa"/>
            <w:vAlign w:val="bottom"/>
          </w:tcPr>
          <w:p>
            <w:pPr>
              <w:jc w:val="center"/>
              <w:ind w:left="14"/>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5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5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15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Total operating expenses increased $16.5 billion, or 53.4%, in 2022 from 2021 driven by higher aircraft fuel and related taxes and other expenses as a result of an increase in the average price per gallon of aircraft fuel and increased capacity. In 2021, total operating expenses also included $4.5 billion of net operating special credits principally related to PSP Financial Assistance. See further discussion of operating special items, net below.</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$7.0 billion in 2022 from 2021 primarily driven by a 73.0% increase in the average price per gallon of aircraft fuel including related taxes to $3.54 in 2022 from $2.04 in 2021 and a 17.4% increase in gallons of fuel consumed due to increased capacity.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Salaries, wages and benefits increased $1.2 billion, or 9.8%, in 2022 from 2021 primarily due to an increase in average mainline full-time equivalent employees in 2022 as compared to 2021.</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increased $1.2 billion, or 39.7%, in 2022 from 2021 primarily due to contractual rate increases with American's third-party regional carriers. The 2021 period also included the recognition of $539 million of PSP Financial Assistance as a regional operating special credit. See further discussion of operating special items, net below.</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Maintenance, materials and repairs increased $705 million, or 35.6%, in 2022 from 2021 primarily due to increased capacity and an increase in the volume of engine overhauls where expense is incurred as maintenance is performed.</w:t>
      </w:r>
    </w:p>
    <w:p>
      <w:pPr>
        <w:spacing w:after="0" w:line="99"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Selling expenses increased $717 million, or 65.3%, in 2022 from 2021 primarily due to higher credit card fees and commission expense driven by the overall increase in passenger revenues.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Other operating expenses increased $1.4 billion, or 35.8%, in 2022 from 2021 primarily as a result of increased aircraft food and catering, crew travel, passenger accommodation and ground and cargo handling expenses driven by the increase in flight operations as well as certain general and administrative expenses.</w:t>
      </w:r>
    </w:p>
    <w:p>
      <w:pPr>
        <w:sectPr>
          <w:pgSz w:w="11900" w:h="16838" w:orient="portrait"/>
          <w:cols w:equalWidth="0" w:num="1">
            <w:col w:w="11240"/>
          </w:cols>
          <w:pgMar w:left="320" w:top="364"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Special Items,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8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7"/>
                <w:szCs w:val="17"/>
                <w:color w:val="auto"/>
              </w:rPr>
            </w:pPr>
          </w:p>
        </w:tc>
      </w:tr>
      <w:tr>
        <w:trPr>
          <w:trHeight w:val="230"/>
        </w:trPr>
        <w:tc>
          <w:tcPr>
            <w:tcW w:w="756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Litigation reserve adjustments</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29"/>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57"/>
        </w:trPr>
        <w:tc>
          <w:tcPr>
            <w:tcW w:w="208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5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Operating special items, net</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r>
      <w:tr>
        <w:trPr>
          <w:trHeight w:val="21"/>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76" w:lineRule="exact"/>
        <w:rPr>
          <w:sz w:val="20"/>
          <w:szCs w:val="20"/>
          <w:color w:val="auto"/>
        </w:rPr>
      </w:pPr>
    </w:p>
    <w:p>
      <w:pPr>
        <w:jc w:val="both"/>
        <w:ind w:left="340" w:hanging="332"/>
        <w:spacing w:after="0" w:line="237"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Fleet impairment for 2022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programs established by the U.S. Government. See Note 1(b) to American’s Consolidated Financial Statements in Part II, Item 8B for further information.</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Nonoperating Results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6"/>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5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w:t>
            </w:r>
          </w:p>
        </w:tc>
        <w:tc>
          <w:tcPr>
            <w:tcW w:w="1580" w:type="dxa"/>
            <w:vAlign w:val="bottom"/>
          </w:tcPr>
          <w:p>
            <w:pPr>
              <w:jc w:val="center"/>
              <w:ind w:left="18"/>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w w:val="96"/>
              </w:rPr>
              <w:t>11.3</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580" w:type="dxa"/>
            <w:vAlign w:val="bottom"/>
          </w:tcPr>
          <w:p>
            <w:pPr>
              <w:jc w:val="center"/>
              <w:ind w:left="18"/>
              <w:spacing w:after="0"/>
              <w:rPr>
                <w:sz w:val="20"/>
                <w:szCs w:val="20"/>
                <w:color w:val="auto"/>
              </w:rPr>
            </w:pPr>
            <w:r>
              <w:rPr>
                <w:rFonts w:ascii="Arial" w:cs="Arial" w:eastAsia="Arial" w:hAnsi="Arial"/>
                <w:sz w:val="18"/>
                <w:szCs w:val="18"/>
                <w:color w:val="auto"/>
                <w:w w:val="97"/>
              </w:rPr>
              <w:t>(8.9)</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Interest income increased in 2022 compared to 2021 primarily as a result of higher returns on American’s short-term investments and related party receivables from AAG. Interest expense, net increased in 2022 compared to 2021 primarily due to the impact of the AAdvantage Financing issued at the end of the first quarter of 2021 and higher interest expense on American’s variable-rate debt instruments as a result of increased interest rates, offset in part by debt repayments.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 other nonoperating income, net primarily included $ 423 million of non-service related pension and other postretirement benefit plan income, offset in part by $72 million of net special charges principally for mark-to-market net unrealized losses associated with certain equity investments.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2021, other nonoperating income, net included $335 million of non-service related pension and other postretirement benefit plan income, offset in part by $60 million of net special charges principally for mark-to-market net unrealized losses associated with certain equity investments and non-cash charges associated with debt refinancings and extinguishments.</w:t>
      </w:r>
    </w:p>
    <w:p>
      <w:pPr>
        <w:sectPr>
          <w:pgSz w:w="11900" w:h="16838" w:orient="portrait"/>
          <w:cols w:equalWidth="0" w:num="1">
            <w:col w:w="11240"/>
          </w:cols>
          <w:pgMar w:left="320" w:top="364"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2022, American recorded an income tax provision of $116 million with an effective rate of approximately 26%, which was substantially non-cash. Substantially all of American’s income before income taxes is attributable to the United States. At December 31, 2022, American had approximately $16.1 billion of gross federal NOLs and $3.5 billion of other carryforwards available to reduce future federal taxable income, of which $6.2 billion will expire beginning in 2024 if unused and $13.4 billion can be carried forward indefinitely. American also had approximately $5.9 billion of NOL carryforwards to reduce future state taxable income at December 31, 2022, which will expire in taxable years 2022 through 2042 if unused.</w:t>
      </w:r>
    </w:p>
    <w:p>
      <w:pPr>
        <w:spacing w:after="0" w:line="12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2021, American recorded an income tax benefit of $500 million at an effective rate of approximately 22%, which was substantially non-cash.</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Consolidated Financial Statements in Part II, Item 8B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December 31, 2022, AAG had $12.0 billion in total available liquidity and $995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136" w:lineRule="exact"/>
        <w:rPr>
          <w:sz w:val="20"/>
          <w:szCs w:val="20"/>
          <w:color w:val="auto"/>
        </w:rPr>
      </w:pPr>
    </w:p>
    <w:p>
      <w:pPr>
        <w:ind w:left="6800"/>
        <w:spacing w:after="0"/>
        <w:tabs>
          <w:tab w:leader="none" w:pos="9480" w:val="left"/>
        </w:tabs>
        <w:rPr>
          <w:sz w:val="20"/>
          <w:szCs w:val="20"/>
          <w:color w:val="auto"/>
        </w:rPr>
      </w:pPr>
      <w:r>
        <w:rPr>
          <w:rFonts w:ascii="Arial" w:cs="Arial" w:eastAsia="Arial" w:hAnsi="Arial"/>
          <w:sz w:val="14"/>
          <w:szCs w:val="14"/>
          <w:b w:val="1"/>
          <w:bCs w:val="1"/>
          <w:color w:val="auto"/>
        </w:rPr>
        <w:t>AAG</w:t>
      </w:r>
      <w:r>
        <w:rPr>
          <w:sz w:val="20"/>
          <w:szCs w:val="20"/>
          <w:color w:val="auto"/>
        </w:rPr>
        <w:tab/>
      </w:r>
      <w:r>
        <w:rPr>
          <w:rFonts w:ascii="Arial" w:cs="Arial" w:eastAsia="Arial" w:hAnsi="Arial"/>
          <w:sz w:val="14"/>
          <w:szCs w:val="14"/>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23495</wp:posOffset>
            </wp:positionV>
            <wp:extent cx="3566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55"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23495</wp:posOffset>
            </wp:positionV>
            <wp:extent cx="17487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p>
      <w:pPr>
        <w:ind w:left="6100"/>
        <w:spacing w:after="0"/>
        <w:tabs>
          <w:tab w:leader="none" w:pos="75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17487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35" w:lineRule="exact"/>
        <w:rPr>
          <w:sz w:val="20"/>
          <w:szCs w:val="20"/>
          <w:color w:val="auto"/>
        </w:rPr>
      </w:pPr>
    </w:p>
    <w:p>
      <w:pPr>
        <w:sectPr>
          <w:pgSz w:w="11900" w:h="16838" w:orient="portrait"/>
          <w:cols w:equalWidth="0" w:num="2">
            <w:col w:w="8220" w:space="720"/>
            <w:col w:w="230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Total available liquidity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w:t>
            </w:r>
          </w:p>
        </w:tc>
      </w:tr>
      <w:tr>
        <w:trPr>
          <w:trHeight w:val="21"/>
        </w:trPr>
        <w:tc>
          <w:tcPr>
            <w:tcW w:w="5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 For further information regarding our debt repurchases for the year ended 2022, see Note 4 to AAG's Condensed Consolidated Financial Statements in Part II, Item 8A.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As of the most recent applicable measurement dates, we were in compliance with each of the foregoing LTV, collateral coverage and peak debt service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 early repayment, in whole or in part, of the AAdvantage Financing. For further information regarding our debt covenants, see Note 4 to AAG’s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 Part II, Item 8A and Note 3 to American’s Consolidated Financial Statements in Part II, Item 8B.</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a comparison of the 2021 and 2020 reporting periods, see Part II, Item 7. Management’s Discussion and Analysis of Financial Condition and Results of Operations – “</w:t>
      </w:r>
      <w:r>
        <w:rPr>
          <w:rFonts w:ascii="Arial" w:cs="Arial" w:eastAsia="Arial" w:hAnsi="Arial"/>
          <w:sz w:val="18"/>
          <w:szCs w:val="18"/>
          <w:i w:val="1"/>
          <w:iCs w:val="1"/>
          <w:color w:val="auto"/>
        </w:rPr>
        <w:t>Sources and Uses of Cash”</w:t>
      </w:r>
      <w:r>
        <w:rPr>
          <w:rFonts w:ascii="Arial" w:cs="Arial" w:eastAsia="Arial" w:hAnsi="Arial"/>
          <w:sz w:val="18"/>
          <w:szCs w:val="18"/>
          <w:color w:val="auto"/>
        </w:rPr>
        <w:t xml:space="preserve"> of our 2021 Form 10-K.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net cash provided by operating activities was $2.2 billion and $704 million in 2022 and 2021, respectively, a $1.5 billion year-over-year increase. In 2021, we received cash proceeds of approximately $4.7 billion associated with the PSP Financial Assistance. Excluding the PSP Financial Assistance, our operating cash flows increased $6.2 billion compared to 2021 primarily due to a return to profitability.</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net cash provided by investing activities was $636 million in 2022 as compared to net cash used in investing activities of $6.0 billion in 2021.</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investing activities in 2022 included $ 3.7 billion in net sales of short-term investments. These cash inflows were offset in part by $2.5 billion of capital expenditures, which primarily related to the purchase of 24 Airbus A321neo aircraft and 12 spare engines, and $321 million of equity investments, principally related to GOL. Additionally, we incurred $360 million related to airport construction projects, net of reimbursements, principally in connection with the renovation and expansion of Terminal 8 at JFK and the modernization of Terminals 4 and 5 at LAX.</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principal investing activities in 2021 included $ 5.5 billion in net purchases of short-term investments as well as a $401 million increase in restricted short-term investments primarily related to collateral associated with the AAdvantage Financing and collateral held to support workers’ compensation obligations. We had capital expenditures of $208 million, net of aircraft purchase deposit returns of $996 million, which expenditures principally related to the harmonization of interior configurations across the mainline fleet and the purchase of two Airbus A321neo aircraft. Additionally, we incurred $204 million related to airport construction projects, net of reimbursements, principally in connection with the renovation and expansion of Terminal 8 at JFK and the modernization of Terminals 4 and 5 at LAX. These cash outflows were offset in part by $193 million of proceeds from the sale of property and equipment principally related to the disposition of retired aircraft and $181 million of proceeds primarily from aircraft sale-leaseback transactions.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net cash used in financing activities was $2.6 billion in 2022 as compared to net cash provided by financing activities of $5.3 billion in 2021.</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financing activities in 2022 included $3.8 billion in repayments of debt and finance lease obligations, consisting of $2.2 billion of scheduled debt repayments including the repayment of $401 million in connection with the maturity of our 5.000% unsecured notes, the $1.2 billion prepayment of the December 2016 Term Loan Facility and the repurchase of $349 million of unsecured notes in the open market. These cash outflows were offset in part by $1.1 billion of long-term debt proceeds, consisting of $866 million from the issuance of equipment notes related to the 2021-1 Aircraft EETCs and $205 million in connection with the financing of certain aircraft.</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principal financing activities in 2021 included $12.2 billion in proceeds from the issuance of debt, including approximately $10.0 billion associated with the AAdvantage Financing, $1.0 billion in aggregate principal amount under the PSP2 Promissory Note, $946 million in aggregate principal amount under the PSP3 Promissory Note and the $150 million issuance of special facility revenue bonds related to JFK. We also received $460 million in net proceeds from the issuance of equity pursuant to an at-the-market offering. These cash inflows were offset in part by $7.3 billion in debt repayments, including prepayments totaling $2.8 billion for our revolving credit facilities, $950 million for the April 2016 Spare Parts Term Loan Facility and $550 million of outstanding loans under the Treasury Loan Agreement as well as $2.9 billion in scheduled debt repayments. In addition, we had $209 million of deferred financing cost cash outflows.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net cash provided by operating activities was $ 1.3 billion and $3.2 billion in 2022 and 2021, respectively, a $1.9 billion year-over-year decrease. American had a $2.9 billion net decrease year-over-year in intercompany cash receipts principally from AAG's financing transactions. Additionally, in 2021, American received cash proceeds of approximately $4.2 billion associated with the PSP Financial Assistance. Excluding the PSP Financial Assistance and the net decrease in AAG's financing transactions, American's operating cash flows increased $5.2 billion compared to 2021 primarily due to a return to profitability.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American’s net cash provided by investing activities was $693 million in 2022 as compared to net cash used in investing activities of $5.9 billion in 2021.</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investing activities in 2022 included $3.7 billion in net sales of short-term investments. These cash inflows were offset in part by $2.5 billion of capital expenditures, which primarily related to the purchase of 24 Airbus A321neo aircraft and 12 spare engines, and $321 million of equity investments, principally related to GOL. Additionally, American incurred $360 million related to airport construction projects, net of reimbursements, principally in connection with the renovation and expansion of Terminal 8 at JFK and the modernization of Terminals 4 and 5 at LAX.</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principal investing activities in 2021 included $5.5 billion in net purchases of short-term investments as well as a $401 million increase in restricted short-term investments primarily related to collateral associated with the AAdvantage Financing and collateral held to support workers’ compensation obligations. American had capital expenditures of $169 million, net of aircraft purchase deposit returns of $996 million, which expenditures principally related to the harmonization of interior configurations across the mainline fleet and the purchase of two Airbus A321neo aircraft. Additionally, American incurred $204 million related to airport construction projects, net of reimbursements, principally in connection with the renovation and expansion of Terminal 8 at JFK and the modernization of Terminals 4 and 5 at LAX. These cash outflows were offset in part by $192 million of proceeds from the sale of property and equipment principally related to American's disposition of retired aircraft and $181 million of proceeds primarily from aircraft sale-leaseback transactions.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American’s net cash used in financing activities was $1.8 billion in 2022 as compared to net cash provided by financing activities of $2.8 billion in 2021.</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principal financing activities in 2022 included $3.0 billion in repayments of debt and finance lease obligations, consisting of $1.8 billion of scheduled debt repayments and the $1.2 billion prepayment of the December 2016 Term Loan Facility. These cash outflows were offset in part by $1.1 billion of long-term debt proceeds, consisting of $866 million from the issuance of equipment notes related to the 2021-1 Aircraft EETCs and $205 million in connection with the financing of certain aircraft.</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financing activities in 2021 included $10.2 billion in proceeds from the issuance of debt, including approximately $10.0 billion associated with the AAdvantage Financing and the $150 million issuance of special facility revenue bonds related to JFK. These cash inflows were offset in part by $7.3 billion in debt repayments, including prepayments totaling $2.8 billion for American’s revolving credit facilities, $950 million for the April 2016 Spare Parts Term Loan Facility and $550 million of outstanding loans under the Treasury Loan Agreement and $2.9 billion in scheduled debt repayments. In addition, American had $207 million of deferred financing cost cash outflows.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further information regarding our commitments, see the Notes to AAG’s Consolidated Financial Statements in Part II, Item 8A and the Notes to American’s Consolidated Financial Statements in Part II, Item 8B at the referenced footnotes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AAG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American</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Note 4</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Note 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Leases</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Note 5</w:t>
            </w: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Note 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Plans</w:t>
            </w: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7"/>
              </w:rPr>
              <w:t>Note 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8</w:t>
            </w: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Contingencies and Guarantees</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Note 11</w:t>
            </w:r>
          </w:p>
        </w:tc>
        <w:tc>
          <w:tcPr>
            <w:tcW w:w="1560" w:type="dxa"/>
            <w:vAlign w:val="bottom"/>
          </w:tcPr>
          <w:p>
            <w:pPr>
              <w:jc w:val="center"/>
              <w:spacing w:after="0"/>
              <w:rPr>
                <w:sz w:val="20"/>
                <w:szCs w:val="20"/>
                <w:color w:val="auto"/>
              </w:rPr>
            </w:pPr>
            <w:r>
              <w:rPr>
                <w:rFonts w:ascii="Arial" w:cs="Arial" w:eastAsia="Arial" w:hAnsi="Arial"/>
                <w:sz w:val="18"/>
                <w:szCs w:val="18"/>
                <w:color w:val="auto"/>
              </w:rPr>
              <w:t>Note 10</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We have no off-balance sheet arrangements of the types described in the first three categories above that we believe may have a material current or future effect on financial condition, liquidity or results of operations.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Pass-Through Trusts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currently has 352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2022, $9.2 billion associated with these mortgage financings is reflected as debt in the accompanying consolidated balance sheet.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provide financial assurance, such as letters of credit and surety bonds, primarily to support airport commitments. As of December 31, 2022, we had $ 218 million of letters of credit and surety bonds securing various obligations, of which $100 million is collateralized with our restricted cash. The letters of credit and surety bonds that are subject to expiration will expire on various dates through 2026.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December 31, 2022 (in millions). The table does not include commitments that are contingent on events or other factors that are uncertain or unknown at this time and is subject to other conventions as set forth in the applicable accompanying footnotes.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2028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i w:val="1"/>
                <w:iCs w:val="1"/>
                <w:color w:val="auto"/>
              </w:rPr>
              <w:t xml:space="preserve">American </w:t>
            </w:r>
            <w:r>
              <w:rPr>
                <w:rFonts w:ascii="Arial" w:cs="Arial" w:eastAsia="Arial" w:hAnsi="Arial"/>
                <w:sz w:val="23"/>
                <w:szCs w:val="23"/>
                <w:i w:val="1"/>
                <w:iCs w:val="1"/>
                <w:color w:val="auto"/>
                <w:vertAlign w:val="superscript"/>
              </w:rPr>
              <w:t>(a)</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(b), (d)</w:t>
            </w:r>
            <w:r>
              <w:rPr>
                <w:rFonts w:ascii="Arial" w:cs="Arial" w:eastAsia="Arial" w:hAnsi="Arial"/>
                <w:sz w:val="18"/>
                <w:szCs w:val="18"/>
                <w:color w:val="auto"/>
              </w:rPr>
              <w:t xml:space="preserve"> (See Note 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30,043</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(c), (d)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 (See Note 4)</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line="176" w:lineRule="exact"/>
              <w:rPr>
                <w:sz w:val="20"/>
                <w:szCs w:val="20"/>
                <w:color w:val="auto"/>
              </w:rPr>
            </w:pPr>
            <w:r>
              <w:rPr>
                <w:rFonts w:ascii="Arial" w:cs="Arial" w:eastAsia="Arial" w:hAnsi="Arial"/>
                <w:sz w:val="16"/>
                <w:szCs w:val="16"/>
                <w:color w:val="auto"/>
              </w:rPr>
              <w:t xml:space="preserve">Aircraft and engine purchase commitments </w:t>
            </w:r>
            <w:r>
              <w:rPr>
                <w:rFonts w:ascii="Arial" w:cs="Arial" w:eastAsia="Arial" w:hAnsi="Arial"/>
                <w:sz w:val="20"/>
                <w:szCs w:val="20"/>
                <w:color w:val="auto"/>
                <w:vertAlign w:val="superscript"/>
              </w:rPr>
              <w:t>(e)</w:t>
            </w:r>
            <w:r>
              <w:rPr>
                <w:rFonts w:ascii="Arial" w:cs="Arial" w:eastAsia="Arial" w:hAnsi="Arial"/>
                <w:sz w:val="16"/>
                <w:szCs w:val="16"/>
                <w:color w:val="auto"/>
              </w:rPr>
              <w:t xml:space="preserve"> (See</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12,326</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Note 10(a))</w:t>
            </w: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 (See Note 4)</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line="176" w:lineRule="exact"/>
              <w:rPr>
                <w:sz w:val="20"/>
                <w:szCs w:val="20"/>
                <w:color w:val="auto"/>
              </w:rPr>
            </w:pPr>
            <w:r>
              <w:rPr>
                <w:rFonts w:ascii="Arial" w:cs="Arial" w:eastAsia="Arial" w:hAnsi="Arial"/>
                <w:sz w:val="16"/>
                <w:szCs w:val="16"/>
                <w:color w:val="auto"/>
              </w:rPr>
              <w:t xml:space="preserve">Regional capacity purchase agreements </w:t>
            </w:r>
            <w:r>
              <w:rPr>
                <w:rFonts w:ascii="Arial" w:cs="Arial" w:eastAsia="Arial" w:hAnsi="Arial"/>
                <w:sz w:val="20"/>
                <w:szCs w:val="20"/>
                <w:color w:val="auto"/>
                <w:vertAlign w:val="superscript"/>
              </w:rPr>
              <w:t>(f)</w:t>
            </w:r>
            <w:r>
              <w:rPr>
                <w:rFonts w:ascii="Arial" w:cs="Arial" w:eastAsia="Arial" w:hAnsi="Arial"/>
                <w:sz w:val="16"/>
                <w:szCs w:val="16"/>
                <w:color w:val="auto"/>
              </w:rPr>
              <w:t xml:space="preserve"> (See</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Note 10(b))</w:t>
            </w: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(g)</w:t>
            </w:r>
            <w:r>
              <w:rPr>
                <w:rFonts w:ascii="Arial" w:cs="Arial" w:eastAsia="Arial" w:hAnsi="Arial"/>
                <w:sz w:val="18"/>
                <w:szCs w:val="18"/>
                <w:color w:val="auto"/>
              </w:rPr>
              <w:t xml:space="preserve"> (See Note 8)</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line="176" w:lineRule="exact"/>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(See Note 8)</w:t>
            </w: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(h)</w:t>
            </w:r>
            <w:r>
              <w:rPr>
                <w:rFonts w:ascii="Arial" w:cs="Arial" w:eastAsia="Arial" w:hAnsi="Arial"/>
                <w:sz w:val="18"/>
                <w:szCs w:val="18"/>
                <w:color w:val="auto"/>
              </w:rPr>
              <w:t xml:space="preserve"> (See Note 10(a))</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0" w:type="dxa"/>
            <w:vAlign w:val="bottom"/>
          </w:tcPr>
          <w:p>
            <w:pPr>
              <w:spacing w:after="0"/>
              <w:rPr>
                <w:sz w:val="1"/>
                <w:szCs w:val="1"/>
                <w:color w:val="auto"/>
              </w:rPr>
            </w:pPr>
          </w:p>
        </w:tc>
      </w:tr>
      <w:tr>
        <w:trPr>
          <w:trHeight w:val="223"/>
        </w:trPr>
        <w:tc>
          <w:tcPr>
            <w:tcW w:w="4220" w:type="dxa"/>
            <w:vAlign w:val="bottom"/>
          </w:tcPr>
          <w:p>
            <w:pPr>
              <w:ind w:left="360"/>
              <w:spacing w:after="0"/>
              <w:rPr>
                <w:sz w:val="20"/>
                <w:szCs w:val="20"/>
                <w:color w:val="auto"/>
              </w:rPr>
            </w:pPr>
            <w:r>
              <w:rPr>
                <w:rFonts w:ascii="Arial" w:cs="Arial" w:eastAsia="Arial" w:hAnsi="Arial"/>
                <w:sz w:val="18"/>
                <w:szCs w:val="18"/>
                <w:color w:val="auto"/>
              </w:rPr>
              <w:t>Total American Contractual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18,532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11,666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85,201</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AAG Parent and Other AAG Subsidiaries </w:t>
            </w:r>
            <w:r>
              <w:rPr>
                <w:rFonts w:ascii="Arial" w:cs="Arial" w:eastAsia="Arial" w:hAnsi="Arial"/>
                <w:sz w:val="23"/>
                <w:szCs w:val="23"/>
                <w:i w:val="1"/>
                <w:iCs w:val="1"/>
                <w:color w:val="auto"/>
                <w:vertAlign w:val="superscript"/>
              </w:rPr>
              <w:t>(a)</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(See Note 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Finance lease obligations (See Note 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 (See Note 5)</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(g)</w:t>
            </w:r>
            <w:r>
              <w:rPr>
                <w:rFonts w:ascii="Arial" w:cs="Arial" w:eastAsia="Arial" w:hAnsi="Arial"/>
                <w:sz w:val="18"/>
                <w:szCs w:val="18"/>
                <w:color w:val="auto"/>
              </w:rPr>
              <w:t xml:space="preserve"> (See Note 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AAG Contractual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For additional information, see the Notes to AAG’s and American’s Consolidated Financial Statements in Part II, Items 8A and 8B, respectively, referenced in the table above.</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$364 million and $22 million of unamortized debt discount, premium and issuance costs as of December 31, 2022 for American and AAG Parent, respectively.</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December 31, 2022.</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$9.2 billion of future principal payments and $1.4 billion of future interest payments as of December 31, 2022, related to EETCs associated with mortgage financings of certain aircraft and spare engines.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40" w:hanging="332"/>
        <w:spacing w:after="0" w:line="245"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 xml:space="preserve">See Part I, Item 2. Properties –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for additional information about the firm commitment aircraft delivery schedule, in particular the footnote to the table thereunder as to potential changes to such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 Additionally, the amounts in the table exclude four Boeing 787-8 aircraft scheduled to be delivered in 2023 and five Boeing 787-9 aircraft scheduled to be delivered in 2024, for which we have obtained committed lease financing. This financing is reflected in the operating lease commitments line above.</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29"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based on actuarially determined estimates as of December 31, 2022 and is based on estimated payments through 2032. In January 2023, we made $67 million of required pension contributions.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information technology support and construction projects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(such as occurred during the COVID-19 pandemic), natural disasters or other causes could reduce the demand for air travel, which would reduce the amount of cash generated by operations. See Part 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for additional discussion.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4 to AAG’s Consolidated Financial Statements in Part II, Item 8A and Note 3 to American’s Consolidated Financial Statements in Part II, Item 8B for information regarding our financing arrangements.</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 to each of AAG’s and American’s Consolidated Financial Statements in Part II, Items 8A and 8B, respectively, for information regarding the basis of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 Critical accounting policies are defined as those that are reflective of significant judgments and uncertainties and could potentially result in materially different results under different assumptions and conditions. We have identified the following critical accounting policies that impact the preparation of our consolidated financial statements. See the “</w:t>
      </w:r>
      <w:r>
        <w:rPr>
          <w:rFonts w:ascii="Arial" w:cs="Arial" w:eastAsia="Arial" w:hAnsi="Arial"/>
          <w:sz w:val="18"/>
          <w:szCs w:val="18"/>
          <w:i w:val="1"/>
          <w:iCs w:val="1"/>
          <w:color w:val="auto"/>
        </w:rPr>
        <w:t>Basis of Presentation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Note 1 to each of AAG’s and American’s Consolidated Financial Statements in Part II, Item 8A and 8B, respectively,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the application of these estimates and other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Revenue</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w:t>
      </w:r>
    </w:p>
    <w:p>
      <w:pPr>
        <w:spacing w:after="0" w:line="12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The estimate for tickets expected to expire unused is generally based on an analysis of our historical data. We have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 While the contract duration of passenger tickets is generally one year, in response to the COVID-19 pandemic, we extended the contract duration for certain tickets to September 30, 2022, principally those tickets which were issued in 2020 and 2021. Additionally, we extended the contract duration to December 31, 2022 for tickets to certain international destinations. Tickets issued in 2022 and thereafter are no longer subject to change fees which provides more flexibility for customers to change travel plans. Given this new flexibility offered to our customers, our estimate of revenue that will be recognized from the air traffic liability for future flown or unused tickets may be subject to variability and differ from historical experience.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Revenue</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our co-branded credit cards,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Mileage credits earned through travel</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 For the year ended December 31, 2022, a hypothetical 10% increase in the estimated selling price of mileage credits would have decreased revenues by approximately $105 million as a result of additional amounts deferred from passenger ticket sales to be recognized in future periods.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Mileage credits sold to co-branded credit cards and other partners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remaining terms generally from one to seven years as of December 31, 2022.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most significant mileage credit partner agreements are our co-branded credit card agreements with Citi and Barclaycard US. We identified two revenue elements in these co-branded credit card agreements: the transportation component and the marketing component.</w:t>
      </w:r>
    </w:p>
    <w:p>
      <w:pPr>
        <w:spacing w:after="0" w:line="99"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We recognize the marketing component in other revenue in the period of the mileage credit sale following the sales-based royalty method.</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use a statistical model based on historical redemption patterns to develop an estimate of the likelihood of future redemption. For the year ended December 31, 2022, a hypothetical 10% increase in our estimate of mileage credits not expected to be redeemed would have increased revenues by approximately $100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Retiree Medical and Other Postretirement Benefits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recognize the funded status (i.e., the difference between the fair value of plan assets and the projected benefit obligations) of our pension and retiree medical and other postretirement benefits plans on the consolidated balance sheets with a corresponding adjustment to accumulated other comprehensive income (loss).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pension and retiree medical and other postretirement benefits costs and liabilities are calculated using various actuarial assumptions and methodologies. We use certain assumptions including, but not limited to, the selection of the: (1) discount rate and (2) expected return on plan assets (as discussed below). These assumptions as of December 31 were: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224"/>
        </w:trPr>
        <w:tc>
          <w:tcPr>
            <w:tcW w:w="75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Pension weighted average discount rate </w:t>
            </w:r>
            <w:r>
              <w:rPr>
                <w:rFonts w:ascii="Arial" w:cs="Arial" w:eastAsia="Arial" w:hAnsi="Arial"/>
                <w:sz w:val="23"/>
                <w:szCs w:val="23"/>
                <w:color w:val="auto"/>
                <w:vertAlign w:val="superscript"/>
              </w:rPr>
              <w:t>(1)</w:t>
            </w:r>
          </w:p>
        </w:tc>
        <w:tc>
          <w:tcPr>
            <w:tcW w:w="1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87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Retiree medical and other postretirement benefits weighted average discount rate </w:t>
            </w:r>
            <w:r>
              <w:rPr>
                <w:rFonts w:ascii="Arial" w:cs="Arial" w:eastAsia="Arial" w:hAnsi="Arial"/>
                <w:sz w:val="23"/>
                <w:szCs w:val="23"/>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8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rate of return on plan assets </w:t>
            </w:r>
            <w:r>
              <w:rPr>
                <w:rFonts w:ascii="Arial" w:cs="Arial" w:eastAsia="Arial" w:hAnsi="Arial"/>
                <w:sz w:val="23"/>
                <w:szCs w:val="23"/>
                <w:color w:val="auto"/>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42"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When establishing our discount rate to measure our obligations, we match high quality corporate bonds available in the marketplace whose cash flows approximate our projected benefit disbursements. Lowering the discount rate by 50 basis points as of December 31, 2022 would increase our pension and retiree medical and other postretirement benefits obligations by approximately $725 million and $30 million, respectively, and decrease estimated 2023 pension and retiree medical and other postretirement benefits expense by approximately $5 million and $1 million, respectively.</w:t>
      </w:r>
    </w:p>
    <w:p>
      <w:pPr>
        <w:spacing w:after="0" w:line="140" w:lineRule="exact"/>
        <w:rPr>
          <w:rFonts w:ascii="Arial" w:cs="Arial" w:eastAsia="Arial" w:hAnsi="Arial"/>
          <w:sz w:val="23"/>
          <w:szCs w:val="23"/>
          <w:color w:val="auto"/>
          <w:vertAlign w:val="superscript"/>
        </w:rPr>
      </w:pPr>
    </w:p>
    <w:p>
      <w:pPr>
        <w:jc w:val="both"/>
        <w:ind w:left="340" w:hanging="332"/>
        <w:spacing w:after="0" w:line="260" w:lineRule="auto"/>
        <w:tabs>
          <w:tab w:leader="none" w:pos="334"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The expected rate of return on plan assets is based upon an evaluation of our historical trends and experience, taking into account current and expected market conditions and our target asset allocation of 30% fixed income securities, 24% U.S. stocks, 22% private investments, 16% developed international stocks and 8% emerging market stocks. The expected rate of return on plan assets component of our net periodic benefit cost is calculated based on the fair value of plan assets and our target asset allocation. Lowering the expected long-term rate of return on plan assets by 50 basis points as of December 31, 2022 would increase estimated 2023 pension expense and retiree medical and other postretirement benefits expense by approximately $60 million and $1 million,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Annually, we review and revise certain economic and demographic assumptions including the pension and retiree medical and other postretirement benefits discount rates. The net effect of changing this assumption for the pension plans resulted in a decrease of $4.6 billion in the projected benefit obligation at December 31, 2022. The net effect of changing this assumption for retiree medical and other postretirement benefits plans resulted in a decrease of $183 million in the accumulated postretirement benefit obligation at December 31, 2022.</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9 to AAG’s Consolidated Financial Statements in Part II, Item 8A and Note 8 to American’s Consolidated Financial Statements in Part II, Item 8B for additional information regarding our employee benefit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2020-04: Reference Rate Reform (Topic 848) Facilitation of the Effects of Reference Rate Reform</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Financial Reporting and ASU 2022-06: Deferral of the Sunset Date of Topic 848</w:t>
      </w:r>
    </w:p>
    <w:p>
      <w:pPr>
        <w:spacing w:after="0" w:line="7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ASU 2020-04 provides optional temporary guidance for applying GAAP to contracts, hedging relationships, and other transactions that reference the London Interbank Offered Rate (LIBOR) or another reference rate expected to be discontinued because of reference rate reform. Topic 848 is effective as of March 12, 2020 through December 31, 2022; however, because the intended cessation date of LIBOR was deferred to June 30, 2023, ASU 2022-06 was issued in December 2022 to extend the current relief in Topic 848 through December 31, 2024. We will adopt Topic 848 when our relevant contracts are modified upon transition to alternative reference rates and we do not expect the application of Topic 848 to have a material impact on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risk inherent in our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we may take to mitigate our exposure to such changes. Therefore, actual results may differ.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Because of the amount of fuel needed to operate our business, even a relatively small increase or decrease in the price of aircraft fuel can have a material effect on our operating results and liquidity. Market prices for aircraft fuel have fluctuated substantially over the past several years and prices continue to be highly volatile, with market spot prices ranging from a low of approximately $0.37 per gallon to a high of approximately $4.40 per gallon during the period from January 1, 2020 to December 31, 2022.</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2023 forecasted fuel consumption, we estimate that a one cent per gallon increase in the price of aircraft fuel would increase our 2023 annual fuel expense by approximately $40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British pound sterling, Canadian dollar and various Latin American currencies (primarily the Brazilian real). We do not currently have a foreign currency hedge program. We estimate a uniform 10% strengthening in the value of the U.S. dollar from 2022 levels relative to each of the currencies in which we have foreign currency exposure would have resulted in a decrease in pre-tax income of approximately $175 million for the year ended December 31, 2022.</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w:t>
      </w:r>
    </w:p>
    <w:p>
      <w:pPr>
        <w:spacing w:after="0" w:line="9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largest exposure with respect to variable-rate debt comes from changes in the relevant benchmark rate underlying such debt financings, principally LIBOR and SOFR. We had variable-rate debt instruments representing 27% of our total long-term debt at December 31, 2022. We currently do not have an interest rate hedge program to hedge our exposure to floating interest rates on our variable-rate debt obligations. If annual interest rates increase 100 basis points, based on our December 31, 2022 variable-rate debt and short-term investments balances, annual interest expense on variable-rate debt would increase by approximately $95 million and annual interest income on short-term investments would increase by approximately $90 million. Additionally, the fair value of fixed-rate debt would have decreased by approximately $670 million for AAG and $480 million for American.</w:t>
      </w:r>
    </w:p>
    <w:p>
      <w:pPr>
        <w:spacing w:after="0" w:line="1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not possible to predict what rate or rates may become the predominant alternative to LIBOR, or what effect these changes in views or alternatives may have on financial markets for LIBOR-linked financial instruments. While the U.S. Federal Reserve, in conjunction with the Alternative Reference Rates Committee, has chosen SOFR, and specifically Term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2022, we had $9.2 billion of borrowings with interest rates linked to LIBOR. We have commenced the process of amending our LIBOR-based financing agreements to transition them to successor reference rates in anticipation of LIBOR’s discontinuation, but we may not be able to reach agreements with all affected lenders, or to do so on favorable terms. Additionally, the replacement of LIBOR with a comparable or successor rate could cause the amount of interest payable on our long-term debt to be different or higher than expected.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right="800" w:hanging="3131"/>
        <w:spacing w:after="0" w:line="438" w:lineRule="auto"/>
        <w:rPr>
          <w:sz w:val="20"/>
          <w:szCs w:val="20"/>
          <w:color w:val="auto"/>
        </w:rPr>
      </w:pPr>
      <w:r>
        <w:rPr>
          <w:rFonts w:ascii="Arial" w:cs="Arial" w:eastAsia="Arial" w:hAnsi="Arial"/>
          <w:sz w:val="18"/>
          <w:szCs w:val="18"/>
          <w:b w:val="1"/>
          <w:bCs w:val="1"/>
          <w:color w:val="auto"/>
        </w:rPr>
        <w:t>ITEM 8A. CONSOLIDATED FINANCIAL STATEMENTS AND SUPPLEMENTARY DATA OF AMERICAN AIRLINES GROUP INC.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American Airlines Group Inc. and subsidiaries (the Company) as of December 31, 2022 and 2021, the related consolidated statements of operations, comprehensive income (loss), cash flows, and stockholders’ equity (deficit),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22,</w:t>
      </w:r>
      <w:r>
        <w:rPr>
          <w:rFonts w:ascii="Arial" w:cs="Arial" w:eastAsia="Arial" w:hAnsi="Arial"/>
          <w:sz w:val="18"/>
          <w:szCs w:val="18"/>
          <w:i w:val="1"/>
          <w:iCs w:val="1"/>
          <w:color w:val="auto"/>
        </w:rPr>
        <w:t xml:space="preserve"> </w:t>
      </w:r>
      <w:r>
        <w:rPr>
          <w:rFonts w:ascii="Arial" w:cs="Arial" w:eastAsia="Arial" w:hAnsi="Arial"/>
          <w:sz w:val="18"/>
          <w:szCs w:val="18"/>
          <w:color w:val="auto"/>
        </w:rPr>
        <w:t>2023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Sufficiency of audit evidence over realizability of tax operating loss and other carryforwards</w:t>
      </w:r>
    </w:p>
    <w:p>
      <w:pPr>
        <w:spacing w:after="0" w:line="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discussed in Notes 1(j) and 6 to the consolidated financial statements, the Company had $4.7 billion of tax operating loss and other carryforwards, which are recorded as deferred tax assets at December 31, 2022. Deferred tax assets are recognized related to tax operating loss and other carryforwards that will reduce future taxable income. The Company provides a valuation allowance for deferred tax assets when it is more likely than not that some portion, or all of the deferred tax assets, will not be realized. In evaluating the need for a valuation allowance, management considers all available positive and negative evidence.</w:t>
      </w:r>
    </w:p>
    <w:p>
      <w:pPr>
        <w:spacing w:after="0" w:line="1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We identified the evaluation of the sufficiency of audit evidence over the realizability of tax operating loss and other carryforwards as a critical audit matter. Evaluating the sufficiency of audit evidence required subjective auditor judgment in order to assess the extent of procedures performed in assessing the realizability of the tax operating loss and other carryforwards.</w:t>
      </w:r>
    </w:p>
    <w:p>
      <w:pPr>
        <w:spacing w:after="0" w:line="11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deferred tax asset valuation allowance process, including controls related to the realizability of tax operating loss and other carryforwards. We evaluated positive and negative evidence used in assessing whether the tax operating loss and other carryforwards were more likely than not to be realized in the future. We evaluated the reasonableness of management’s projections of future profitability considering historical profitability of the Company, and consistency with industry data. We involved tax professionals with specialized skills and knowledge, who assisted in evaluating the application of tax law. We assessed the sufficiency of audit evidence obtained over the realizability of the tax operating loss and other carryforwards by evaluating the cumulative results of the audit procedures.</w:t>
      </w:r>
    </w:p>
    <w:p>
      <w:pPr>
        <w:spacing w:after="0" w:line="131"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1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44,568</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14,518</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29"/>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11,229</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2,040</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27,758</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r>
      <w:tr>
        <w:trPr>
          <w:trHeight w:val="230"/>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(11,453)</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(18.36)</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644,015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483,888</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644,015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483,888</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retiree medical and other postretirement benefits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Short-term investments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12,158</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 and short-term investments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2,138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Aircraft fuel, spare parts and supplies, net</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current assets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17,336</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Operating property and equipment</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Flight equipment</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37,856</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Ground property and equipment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9,913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9,335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Equipment purchase deposits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92"/>
        </w:trPr>
        <w:tc>
          <w:tcPr>
            <w:tcW w:w="8020" w:type="dxa"/>
            <w:vAlign w:val="bottom"/>
          </w:tcPr>
          <w:p>
            <w:pPr>
              <w:ind w:left="480"/>
              <w:spacing w:after="0"/>
              <w:rPr>
                <w:sz w:val="20"/>
                <w:szCs w:val="20"/>
                <w:color w:val="auto"/>
              </w:rPr>
            </w:pPr>
            <w:r>
              <w:rPr>
                <w:rFonts w:ascii="Arial" w:cs="Arial" w:eastAsia="Arial" w:hAnsi="Arial"/>
                <w:sz w:val="14"/>
                <w:szCs w:val="14"/>
                <w:color w:val="auto"/>
              </w:rPr>
              <w:t>Total property and equipment, at cost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50,229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47,708</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(18,171)</w:t>
            </w:r>
          </w:p>
        </w:tc>
        <w:tc>
          <w:tcPr>
            <w:tcW w:w="0" w:type="dxa"/>
            <w:vAlign w:val="bottom"/>
          </w:tcPr>
          <w:p>
            <w:pPr>
              <w:spacing w:after="0"/>
              <w:rPr>
                <w:sz w:val="1"/>
                <w:szCs w:val="1"/>
                <w:color w:val="auto"/>
              </w:rPr>
            </w:pPr>
          </w:p>
        </w:tc>
      </w:tr>
      <w:tr>
        <w:trPr>
          <w:trHeight w:val="192"/>
        </w:trPr>
        <w:tc>
          <w:tcPr>
            <w:tcW w:w="8020" w:type="dxa"/>
            <w:vAlign w:val="bottom"/>
          </w:tcPr>
          <w:p>
            <w:pPr>
              <w:ind w:left="480"/>
              <w:spacing w:after="0"/>
              <w:rPr>
                <w:sz w:val="20"/>
                <w:szCs w:val="20"/>
                <w:color w:val="auto"/>
              </w:rPr>
            </w:pPr>
            <w:r>
              <w:rPr>
                <w:rFonts w:ascii="Arial" w:cs="Arial" w:eastAsia="Arial" w:hAnsi="Arial"/>
                <w:sz w:val="14"/>
                <w:szCs w:val="14"/>
                <w:color w:val="auto"/>
              </w:rPr>
              <w:t>Total property and equipment, net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30,200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29,537</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 right-of-use assets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7,850</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Other assets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Goodwill</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Intangibles, net of accumulated amortization of $827 and $786, respectively</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1,988</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assets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2,109</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other assets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11,744</w:t>
            </w:r>
          </w:p>
        </w:tc>
        <w:tc>
          <w:tcPr>
            <w:tcW w:w="0" w:type="dxa"/>
            <w:vAlign w:val="bottom"/>
          </w:tcPr>
          <w:p>
            <w:pPr>
              <w:spacing w:after="0"/>
              <w:rPr>
                <w:sz w:val="1"/>
                <w:szCs w:val="1"/>
                <w:color w:val="auto"/>
              </w:rPr>
            </w:pPr>
          </w:p>
        </w:tc>
      </w:tr>
      <w:tr>
        <w:trPr>
          <w:trHeight w:val="200"/>
        </w:trPr>
        <w:tc>
          <w:tcPr>
            <w:tcW w:w="8020" w:type="dxa"/>
            <w:vAlign w:val="bottom"/>
          </w:tcPr>
          <w:p>
            <w:pPr>
              <w:ind w:left="680"/>
              <w:spacing w:after="0"/>
              <w:rPr>
                <w:sz w:val="20"/>
                <w:szCs w:val="20"/>
                <w:color w:val="auto"/>
              </w:rPr>
            </w:pPr>
            <w:r>
              <w:rPr>
                <w:rFonts w:ascii="Arial" w:cs="Arial" w:eastAsia="Arial" w:hAnsi="Arial"/>
                <w:sz w:val="14"/>
                <w:szCs w:val="14"/>
                <w:b w:val="1"/>
                <w:bCs w:val="1"/>
                <w:color w:val="auto"/>
              </w:rPr>
              <w:t>Total assets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64,716</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66,467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maturities of long-term debt and finance leases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salaries and wages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Air traffic liability</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6,745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6,087</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Loyalty program liability</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accrued liabilities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0" w:type="dxa"/>
            <w:vAlign w:val="bottom"/>
          </w:tcPr>
          <w:p>
            <w:pPr>
              <w:spacing w:after="0"/>
              <w:rPr>
                <w:sz w:val="1"/>
                <w:szCs w:val="1"/>
                <w:color w:val="auto"/>
              </w:rPr>
            </w:pPr>
          </w:p>
        </w:tc>
      </w:tr>
      <w:tr>
        <w:trPr>
          <w:trHeight w:val="192"/>
        </w:trPr>
        <w:tc>
          <w:tcPr>
            <w:tcW w:w="8020" w:type="dxa"/>
            <w:vAlign w:val="bottom"/>
          </w:tcPr>
          <w:p>
            <w:pPr>
              <w:ind w:left="480"/>
              <w:spacing w:after="0"/>
              <w:rPr>
                <w:sz w:val="20"/>
                <w:szCs w:val="20"/>
                <w:color w:val="auto"/>
              </w:rPr>
            </w:pPr>
            <w:r>
              <w:rPr>
                <w:rFonts w:ascii="Arial" w:cs="Arial" w:eastAsia="Arial" w:hAnsi="Arial"/>
                <w:sz w:val="14"/>
                <w:szCs w:val="14"/>
                <w:color w:val="auto"/>
              </w:rPr>
              <w:t>Total current liabilities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21,496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19,006</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Long-term debt and finance leases, net of current maturities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32,389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35,571</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and postretirement benefits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Loyalty program liability</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5,976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6,610</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noncurrent liabilities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49,019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54,801</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11)</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220"/>
              <w:spacing w:after="0" w:line="149" w:lineRule="exact"/>
              <w:rPr>
                <w:sz w:val="20"/>
                <w:szCs w:val="20"/>
                <w:color w:val="auto"/>
              </w:rPr>
            </w:pPr>
            <w:r>
              <w:rPr>
                <w:rFonts w:ascii="Arial" w:cs="Arial" w:eastAsia="Arial" w:hAnsi="Arial"/>
                <w:sz w:val="14"/>
                <w:szCs w:val="14"/>
                <w:color w:val="auto"/>
              </w:rPr>
              <w:t>Common stock, $0.01 par value; 1,750,000,000 shares authorized, 650,642,461 shares issued and outstanding at</w:t>
            </w:r>
          </w:p>
        </w:tc>
        <w:tc>
          <w:tcPr>
            <w:tcW w:w="9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8020" w:type="dxa"/>
            <w:vAlign w:val="bottom"/>
          </w:tcPr>
          <w:p>
            <w:pPr>
              <w:ind w:left="220"/>
              <w:spacing w:after="0"/>
              <w:rPr>
                <w:sz w:val="20"/>
                <w:szCs w:val="20"/>
                <w:color w:val="auto"/>
              </w:rPr>
            </w:pPr>
            <w:r>
              <w:rPr>
                <w:rFonts w:ascii="Arial" w:cs="Arial" w:eastAsia="Arial" w:hAnsi="Arial"/>
                <w:sz w:val="14"/>
                <w:szCs w:val="14"/>
                <w:color w:val="auto"/>
              </w:rPr>
              <w:t>December 31, 2022; 647,727,595 shares issued and outstanding at December 31, 2021</w:t>
            </w:r>
          </w:p>
        </w:tc>
        <w:tc>
          <w:tcPr>
            <w:tcW w:w="9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7,234</w:t>
            </w:r>
          </w:p>
        </w:tc>
        <w:tc>
          <w:tcPr>
            <w:tcW w:w="0" w:type="dxa"/>
            <w:vAlign w:val="bottom"/>
          </w:tcPr>
          <w:p>
            <w:pPr>
              <w:spacing w:after="0"/>
              <w:rPr>
                <w:sz w:val="1"/>
                <w:szCs w:val="1"/>
                <w:color w:val="auto"/>
              </w:rPr>
            </w:pPr>
          </w:p>
        </w:tc>
      </w:tr>
      <w:tr>
        <w:trPr>
          <w:trHeight w:val="198"/>
        </w:trPr>
        <w:tc>
          <w:tcPr>
            <w:tcW w:w="802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(4,585)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deficit</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(8,638)</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stockholders' deficit</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64,716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364" w:right="3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46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(8,885)</w:t>
            </w:r>
          </w:p>
        </w:tc>
      </w:tr>
      <w:tr>
        <w:trPr>
          <w:trHeight w:val="207"/>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2,370</w:t>
            </w:r>
          </w:p>
        </w:tc>
      </w:tr>
      <w:tr>
        <w:trPr>
          <w:trHeight w:val="207"/>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Special items, net non-cash</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r>
      <w:tr>
        <w:trPr>
          <w:trHeight w:val="198"/>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Pension and postretirement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07"/>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Deferred income tax provision (benefit)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r>
      <w:tr>
        <w:trPr>
          <w:trHeight w:val="198"/>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Share-based compensation</w:t>
            </w: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7"/>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gains from sale of property and equipment and sale-leaseback transactions</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98"/>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Other,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7"/>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Changes in operating assets and liabilities: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60" w:type="dxa"/>
            <w:vAlign w:val="bottom"/>
            <w:gridSpan w:val="2"/>
          </w:tcPr>
          <w:p>
            <w:pPr>
              <w:ind w:left="360"/>
              <w:spacing w:after="0"/>
              <w:rPr>
                <w:sz w:val="20"/>
                <w:szCs w:val="20"/>
                <w:color w:val="auto"/>
              </w:rPr>
            </w:pPr>
            <w:r>
              <w:rPr>
                <w:rFonts w:ascii="Arial" w:cs="Arial" w:eastAsia="Arial" w:hAnsi="Arial"/>
                <w:sz w:val="14"/>
                <w:szCs w:val="14"/>
                <w:color w:val="auto"/>
              </w:rPr>
              <w:t>Decrease (increase) in accounts receivable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207"/>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Increase in other assets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98"/>
        </w:trPr>
        <w:tc>
          <w:tcPr>
            <w:tcW w:w="6760" w:type="dxa"/>
            <w:vAlign w:val="bottom"/>
            <w:gridSpan w:val="2"/>
          </w:tcPr>
          <w:p>
            <w:pPr>
              <w:ind w:left="360"/>
              <w:spacing w:after="0"/>
              <w:rPr>
                <w:sz w:val="20"/>
                <w:szCs w:val="20"/>
                <w:color w:val="auto"/>
              </w:rPr>
            </w:pPr>
            <w:r>
              <w:rPr>
                <w:rFonts w:ascii="Arial" w:cs="Arial" w:eastAsia="Arial" w:hAnsi="Arial"/>
                <w:sz w:val="14"/>
                <w:szCs w:val="14"/>
                <w:color w:val="auto"/>
              </w:rPr>
              <w:t>Increase (decrease) in accounts payable and accrued liabilities</w:t>
            </w: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(626)</w:t>
            </w:r>
          </w:p>
        </w:tc>
      </w:tr>
      <w:tr>
        <w:trPr>
          <w:trHeight w:val="207"/>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Increase (decrease) in air traffic liability</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8"/>
        </w:trPr>
        <w:tc>
          <w:tcPr>
            <w:tcW w:w="6760" w:type="dxa"/>
            <w:vAlign w:val="bottom"/>
            <w:gridSpan w:val="2"/>
          </w:tcPr>
          <w:p>
            <w:pPr>
              <w:ind w:left="360"/>
              <w:spacing w:after="0"/>
              <w:rPr>
                <w:sz w:val="20"/>
                <w:szCs w:val="20"/>
                <w:color w:val="auto"/>
              </w:rPr>
            </w:pPr>
            <w:r>
              <w:rPr>
                <w:rFonts w:ascii="Arial" w:cs="Arial" w:eastAsia="Arial" w:hAnsi="Arial"/>
                <w:sz w:val="14"/>
                <w:szCs w:val="14"/>
                <w:color w:val="auto"/>
              </w:rPr>
              <w:t>Increase (decrease) in loyalty program liability</w:t>
            </w: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580</w:t>
            </w:r>
          </w:p>
        </w:tc>
      </w:tr>
      <w:tr>
        <w:trPr>
          <w:trHeight w:val="207"/>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Contributions to pension plans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Increase (decrease) in other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w:t>
            </w:r>
          </w:p>
        </w:tc>
      </w:tr>
      <w:tr>
        <w:trPr>
          <w:trHeight w:val="200"/>
        </w:trPr>
        <w:tc>
          <w:tcPr>
            <w:tcW w:w="6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(6,543)</w:t>
            </w:r>
          </w:p>
        </w:tc>
      </w:tr>
      <w:tr>
        <w:trPr>
          <w:trHeight w:val="201"/>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4"/>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Capital expenditures, net of aircraft purchase deposit returns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r>
      <w:tr>
        <w:trPr>
          <w:trHeight w:val="198"/>
        </w:trPr>
        <w:tc>
          <w:tcPr>
            <w:tcW w:w="6760" w:type="dxa"/>
            <w:vAlign w:val="bottom"/>
            <w:gridSpan w:val="2"/>
          </w:tcPr>
          <w:p>
            <w:pPr>
              <w:ind w:left="240"/>
              <w:spacing w:after="0"/>
              <w:rPr>
                <w:sz w:val="20"/>
                <w:szCs w:val="20"/>
                <w:color w:val="auto"/>
              </w:rPr>
            </w:pPr>
            <w:r>
              <w:rPr>
                <w:rFonts w:ascii="Arial" w:cs="Arial" w:eastAsia="Arial" w:hAnsi="Arial"/>
                <w:sz w:val="14"/>
                <w:szCs w:val="14"/>
                <w:color w:val="auto"/>
              </w:rPr>
              <w:t>Airport construction projects, net of reimbursements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7"/>
        </w:trPr>
        <w:tc>
          <w:tcPr>
            <w:tcW w:w="67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Proceeds from sale-leaseback transactions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r>
      <w:tr>
        <w:trPr>
          <w:trHeight w:val="198"/>
        </w:trPr>
        <w:tc>
          <w:tcPr>
            <w:tcW w:w="6760" w:type="dxa"/>
            <w:vAlign w:val="bottom"/>
            <w:gridSpan w:val="2"/>
          </w:tcPr>
          <w:p>
            <w:pPr>
              <w:ind w:left="24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351</w:t>
            </w:r>
          </w:p>
        </w:tc>
      </w:tr>
      <w:tr>
        <w:trPr>
          <w:trHeight w:val="207"/>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Sales of short-term investments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w:t>
            </w:r>
          </w:p>
        </w:tc>
      </w:tr>
      <w:tr>
        <w:trPr>
          <w:trHeight w:val="198"/>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Purchases of short-term investments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(5,873)</w:t>
            </w:r>
          </w:p>
        </w:tc>
      </w:tr>
      <w:tr>
        <w:trPr>
          <w:trHeight w:val="20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Decrease (increase) in restricted short-term investments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199"/>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Purchase of equity investments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investing activities</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6760" w:type="dxa"/>
            <w:vAlign w:val="bottom"/>
            <w:gridSpan w:val="2"/>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(5,983)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(4,342)</w:t>
            </w:r>
          </w:p>
        </w:tc>
      </w:tr>
      <w:tr>
        <w:trPr>
          <w:trHeight w:val="207"/>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Payments on long-term debt and finance leases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(3,535)</w:t>
            </w:r>
          </w:p>
        </w:tc>
      </w:tr>
      <w:tr>
        <w:trPr>
          <w:trHeight w:val="207"/>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11,780</w:t>
            </w:r>
          </w:p>
        </w:tc>
      </w:tr>
      <w:tr>
        <w:trPr>
          <w:trHeight w:val="198"/>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Deferred financing costs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7"/>
        </w:trPr>
        <w:tc>
          <w:tcPr>
            <w:tcW w:w="67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Shares withheld for taxes pursuant to employee stock plans and treasury stock repurchases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98"/>
        </w:trPr>
        <w:tc>
          <w:tcPr>
            <w:tcW w:w="67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equity</w:t>
            </w: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2,970</w:t>
            </w:r>
          </w:p>
        </w:tc>
      </w:tr>
      <w:tr>
        <w:trPr>
          <w:trHeight w:val="20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Dividend payments</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99"/>
        </w:trPr>
        <w:tc>
          <w:tcPr>
            <w:tcW w:w="6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00"/>
        </w:trPr>
        <w:tc>
          <w:tcPr>
            <w:tcW w:w="6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10,994</w:t>
            </w:r>
          </w:p>
        </w:tc>
      </w:tr>
      <w:tr>
        <w:trPr>
          <w:trHeight w:val="192"/>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Net increase in cash and restricted cash</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0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restricted cash at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r>
      <w:tr>
        <w:trPr>
          <w:trHeight w:val="200"/>
        </w:trPr>
        <w:tc>
          <w:tcPr>
            <w:tcW w:w="6760" w:type="dxa"/>
            <w:vAlign w:val="bottom"/>
            <w:gridSpan w:val="2"/>
          </w:tcPr>
          <w:p>
            <w:pPr>
              <w:ind w:left="20"/>
              <w:spacing w:after="0" w:line="200" w:lineRule="exact"/>
              <w:rPr>
                <w:sz w:val="20"/>
                <w:szCs w:val="20"/>
                <w:color w:val="auto"/>
              </w:rPr>
            </w:pPr>
            <w:r>
              <w:rPr>
                <w:rFonts w:ascii="Arial" w:cs="Arial" w:eastAsia="Arial" w:hAnsi="Arial"/>
                <w:sz w:val="14"/>
                <w:szCs w:val="14"/>
                <w:color w:val="auto"/>
              </w:rPr>
              <w:t xml:space="preserve">Cash and restricted cash at end of year </w:t>
            </w:r>
            <w:r>
              <w:rPr>
                <w:rFonts w:ascii="Arial" w:cs="Arial" w:eastAsia="Arial" w:hAnsi="Arial"/>
                <w:sz w:val="18"/>
                <w:szCs w:val="18"/>
                <w:color w:val="auto"/>
                <w:vertAlign w:val="superscript"/>
              </w:rPr>
              <w:t>(a)</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r>
      <w:tr>
        <w:trPr>
          <w:trHeight w:val="21"/>
        </w:trPr>
        <w:tc>
          <w:tcPr>
            <w:tcW w:w="2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4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85"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The following table provides a reconciliation of cash and restricted cash to amounts reported within the 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included in restricted cash and short-term investments</w:t>
            </w: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225"/>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cash and restricted cash</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6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(8,885)</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Issuance of PSP1 Warrants (see Note 1(b))</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Issuance of Treasury Loan Warrants (see Note 1(b))</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Issuance of 1,603,554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Issuance of 129,490,000 shares of AAG common stock pursuant to public</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offerings, net of offering costs</w:t>
            </w: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Issuance of 68,561,487 shares of AAG common stock pursuant to an at-the-</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Equity component of convertible debt issued, net of tax and offering costs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Purchase and retirement of 6,378,025 shares of AAG common stock</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(DCR)</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6,894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Issuance of 24,150,764 shares of AAG common stock pursuant to an at-the-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Impact of adoption of Accounting Standards Update (ASU) 2020-06 related to</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convertible instruments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Issuance of PSP2 and PSP3 Warrants (see Note 1(b))</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Issuance of 2,357,187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Settlement of single-dip unsecured claims held in DCR and retirement of</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259,878 shares of AAG common stock</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Issuance of 2,914,866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b w:val="1"/>
                <w:bCs w:val="1"/>
                <w:color w:val="auto"/>
              </w:rPr>
              <w:t>Balance at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7,291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52"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2" w:lineRule="exact"/>
        <w:rPr>
          <w:rFonts w:ascii="Arial" w:cs="Arial" w:eastAsia="Arial" w:hAnsi="Arial"/>
          <w:sz w:val="18"/>
          <w:szCs w:val="18"/>
          <w:b w:val="1"/>
          <w:bCs w:val="1"/>
          <w:color w:val="auto"/>
        </w:rPr>
      </w:pPr>
    </w:p>
    <w:p>
      <w:pPr>
        <w:ind w:left="520" w:hanging="269"/>
        <w:spacing w:after="0"/>
        <w:tabs>
          <w:tab w:leader="none" w:pos="520" w:val="left"/>
        </w:tabs>
        <w:numPr>
          <w:ilvl w:val="1"/>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Airlines Group Inc. (we, us, our and similar terms, or AAG), a Delaware corporation, is a holding company whose primary business activity is the operation of a major network air carrier, providing scheduled air transportation for passengers and cargo through its mainline operating subsidiary, American Airlines, Inc. (American) and its wholly-owned regional airline subsidiaries, Envoy Aviation Group Inc., PSA Airlines, Inc. (PSA) and Piedmont Airlines, Inc. (Piedmont), that operate under the brand American Eagle. All significant intercompany transactions have been eliminated.</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08" w:lineRule="exact"/>
        <w:rPr>
          <w:sz w:val="20"/>
          <w:szCs w:val="20"/>
          <w:color w:val="auto"/>
        </w:rPr>
      </w:pPr>
    </w:p>
    <w:p>
      <w:pPr>
        <w:ind w:left="260" w:right="8640" w:hanging="9"/>
        <w:spacing w:after="0" w:line="363" w:lineRule="auto"/>
        <w:tabs>
          <w:tab w:leader="none" w:pos="540" w:val="left"/>
        </w:tabs>
        <w:numPr>
          <w:ilvl w:val="0"/>
          <w:numId w:val="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Government Assistance </w:t>
      </w:r>
      <w:r>
        <w:rPr>
          <w:rFonts w:ascii="Arial" w:cs="Arial" w:eastAsia="Arial" w:hAnsi="Arial"/>
          <w:sz w:val="17"/>
          <w:szCs w:val="17"/>
          <w:i w:val="1"/>
          <w:iCs w:val="1"/>
          <w:u w:val="single" w:color="auto"/>
          <w:color w:val="auto"/>
        </w:rPr>
        <w:t>Payroll Support Programs</w:t>
      </w:r>
    </w:p>
    <w:p>
      <w:pPr>
        <w:spacing w:after="0" w:line="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During 2020 and 2021, American, Envoy Air Inc. (Envoy), Piedmont and PSA (together with American, Envoy and Piedmont, the Subsidiaries) entered into payroll support program agreements (PSP Agreements) with the U.S. Department of Treasury (Treasury) pursuant to the payroll support program established under the Coronavirus Aid, Relief, and Economic Security Act (CARES Act) (PSP1), the payroll support program established under the Subtitle A of Title IV of Division N of the Consolidated Appropriations Act, 2021 (PSP Extension Law) (PSP2) and the payroll support program established under the American Rescue Plan Act of 2021 (ARP) (PSP3). The aggregate amount of financial assistance received was approximately $12.8 billion, and as partial compensation to the U.S. Government for the provision of financial assistance provided under each of these programs, AAG issued promissory notes and warrants to Treasury.</w:t>
      </w:r>
    </w:p>
    <w:p>
      <w:pPr>
        <w:spacing w:after="0" w:line="12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table below provides a summary of the financial assistance received and the promissory notes and the warrants issued under each program (in millions, except exercise price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PSP Financial</w:t>
            </w:r>
          </w:p>
        </w:tc>
        <w:tc>
          <w:tcPr>
            <w:tcW w:w="140" w:type="dxa"/>
            <w:vAlign w:val="bottom"/>
          </w:tcPr>
          <w:p>
            <w:pPr>
              <w:spacing w:after="0"/>
              <w:rPr>
                <w:sz w:val="18"/>
                <w:szCs w:val="18"/>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Promissory</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7"/>
              </w:rPr>
              <w:t>Warrants</w:t>
            </w:r>
          </w:p>
        </w:tc>
        <w:tc>
          <w:tcPr>
            <w:tcW w:w="100" w:type="dxa"/>
            <w:vAlign w:val="bottom"/>
          </w:tcPr>
          <w:p>
            <w:pPr>
              <w:spacing w:after="0"/>
              <w:rPr>
                <w:sz w:val="18"/>
                <w:szCs w:val="18"/>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17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Program</w:t>
            </w:r>
          </w:p>
        </w:tc>
        <w:tc>
          <w:tcPr>
            <w:tcW w:w="17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Closing Date</w:t>
            </w:r>
          </w:p>
        </w:tc>
        <w:tc>
          <w:tcPr>
            <w:tcW w:w="13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PSP Warrants</w:t>
            </w:r>
          </w:p>
        </w:tc>
        <w:tc>
          <w:tcPr>
            <w:tcW w:w="28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Issued</w:t>
            </w: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40" w:type="dxa"/>
            <w:vAlign w:val="bottom"/>
            <w:gridSpan w:val="2"/>
            <w:vMerge w:val="continue"/>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Assistance</w:t>
            </w:r>
          </w:p>
        </w:tc>
        <w:tc>
          <w:tcPr>
            <w:tcW w:w="140" w:type="dxa"/>
            <w:vAlign w:val="bottom"/>
          </w:tcPr>
          <w:p>
            <w:pPr>
              <w:spacing w:after="0"/>
              <w:rPr>
                <w:sz w:val="21"/>
                <w:szCs w:val="21"/>
                <w:color w:val="auto"/>
              </w:rPr>
            </w:pPr>
          </w:p>
        </w:tc>
        <w:tc>
          <w:tcPr>
            <w:tcW w:w="1260" w:type="dxa"/>
            <w:vAlign w:val="bottom"/>
            <w:gridSpan w:val="2"/>
          </w:tcPr>
          <w:p>
            <w:pPr>
              <w:jc w:val="center"/>
              <w:ind w:right="200"/>
              <w:spacing w:after="0" w:line="243" w:lineRule="exact"/>
              <w:rPr>
                <w:sz w:val="20"/>
                <w:szCs w:val="20"/>
                <w:color w:val="auto"/>
              </w:rPr>
            </w:pPr>
            <w:r>
              <w:rPr>
                <w:rFonts w:ascii="Arial" w:cs="Arial" w:eastAsia="Arial" w:hAnsi="Arial"/>
                <w:sz w:val="18"/>
                <w:szCs w:val="18"/>
                <w:b w:val="1"/>
                <w:bCs w:val="1"/>
                <w:color w:val="auto"/>
                <w:w w:val="94"/>
              </w:rPr>
              <w:t xml:space="preserve">Notes </w:t>
            </w:r>
            <w:r>
              <w:rPr>
                <w:rFonts w:ascii="Arial" w:cs="Arial" w:eastAsia="Arial" w:hAnsi="Arial"/>
                <w:sz w:val="23"/>
                <w:szCs w:val="23"/>
                <w:b w:val="1"/>
                <w:bCs w:val="1"/>
                <w:color w:val="auto"/>
                <w:w w:val="94"/>
                <w:vertAlign w:val="superscript"/>
              </w:rPr>
              <w:t>(1)</w:t>
            </w:r>
          </w:p>
        </w:tc>
        <w:tc>
          <w:tcPr>
            <w:tcW w:w="138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6"/>
              </w:rPr>
              <w:t xml:space="preserve">(Shares) </w:t>
            </w:r>
            <w:r>
              <w:rPr>
                <w:rFonts w:ascii="Arial" w:cs="Arial" w:eastAsia="Arial" w:hAnsi="Arial"/>
                <w:sz w:val="23"/>
                <w:szCs w:val="23"/>
                <w:b w:val="1"/>
                <w:bCs w:val="1"/>
                <w:color w:val="auto"/>
                <w:w w:val="96"/>
                <w:vertAlign w:val="superscript"/>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of Warrants</w:t>
            </w: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PSP1</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April 20, 2020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PSP2</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January 15, 2021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PSP3</w:t>
            </w:r>
          </w:p>
        </w:tc>
        <w:tc>
          <w:tcPr>
            <w:tcW w:w="1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April 23, 2021</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32"/>
        </w:trPr>
        <w:tc>
          <w:tcPr>
            <w:tcW w:w="12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8,855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3,746</w:t>
            </w:r>
          </w:p>
        </w:tc>
        <w:tc>
          <w:tcPr>
            <w:tcW w:w="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12,786</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83"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See Note 4 for further information on the promissory notes issued.</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The payroll support program warrants (PSP Warrants) are subject to certain anti-dilution provisions, do not have any voting rights and are freely transferable, with registration rights. Each warrant expires on the fifth anniversary of the date of issuance, with expiration dates ranging from April 2025 to June 2026, and will be exercisable either through net share settlement or cash, at our option. The warrants were issued solely as compensation to the U.S. Government related to entry into the PSP Agreements. No separate proceeds (apart from the financial assistance described below) were received upon issuance of the warrants or will be received upon exercise thereof.</w:t>
      </w:r>
    </w:p>
    <w:p>
      <w:pPr>
        <w:spacing w:after="0" w:line="14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the PSP Agreements entered into with Treasury, we were required to comply with the relevant provisions of the CARES Act, the PSP Extension Law, and the ARP, which included the requirement that funds provided pursuant to these programs be used exclusively for the continuation of payment of eligible employee wages, salaries and benefits, the prohibition against involuntary furloughs and reductions in employee pay rates and benefits, the requirement that certain levels of commercial air service be maintained, provisions that prohibited the repurchase of AAG common stock and the payment of common stock dividends as well as provisions that restrict the payment of certain executive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As of December 31, 2022, all of these provisions have expired except for those related to the payment of certain executive compensation, which expire on April 1, 2023.</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accounting purposes, the $12.8 billion of aggregate financial assistance received pursuant to the PSP Agreements was allocated to the promissory notes, warrants and other financial assistance (PSP Financial Assistance). The aggregate principal amount of the promissory notes was recorded as unsecured long-term debt and the total fair value of the warrants, estimated using a Black-Scholes option pricing model, was recorded in stockholders’ deficit in the consolidated balance sheets. The remaining amounts were recognized in 2020 and 2021 as a credit to special items, net in the consolidated statements of operations over the period which the continuation of payment of eligible employee wages, salaries and benefits was required.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Treasury Loan Agreement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September 25, 2020 (the Treasury Loan Closing Date), AAG and American entered into a Loan and Guarantee Agreement (the Treasury Loan Agreement) with Treasury, which provided for a secured term loan facility (the Treasury Term Loan Facility) that permitted American to borrow up to $5.5 billion. Subsequently, on October 21, 2020, AAG and American entered into an amendment to the Treasury Loan Agreement which increased the borrowing amount to up to $7.5 billion. In connection with entry into the Treasury Loan Agreement, on the Treasury Loan Closing Date, AAG also entered into a warrant agreement (the Treasury Loan Warrant Agreement) with Treasury.</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September 2020, American borrowed $ 550 million under the Treasury Term Loan Facility and on March 24, 2021, used a portion of the proceeds from the AAdvantage Financing to prepay in full the $550 million of outstanding loans under the Treasury Term Loan Facility and terminated the Treasury Loan Agreement. Pursuant to the Treasury Loan Agreement, AAG issued to Treasury warrants (Treasury Loan Warrants) to purchase up to an aggregate of approximately 4.4 million shares of AAG common stock (the Treasury Loan Warrant Shares), which expire in September 2025. The exercise price of the Treasury Loan Warrant Shares is $ 12.51 per share, subject to certain anti-dilution provisions provided for in the Treasury Loan Warrant Agreement. For accounting purposes, the fair value for the Treasury Loan Warrant Shares, estimated using a Black-Scholes option pricing model, was recorded in stockholders' deficit with an offsetting debt discount to the Treasury Term Loan Facility in the consolidated balance sheet. The provisions of the Treasury Loan Warrants are substantially similar to the PSP Warrants.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2020-04: Reference Rate Reform (Topic 848) Facilitation of the Effects of Reference Rate Reform on Financial Reporting and ASU</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2022-06: Deferral of the Sunset Date of Topic 848</w:t>
      </w:r>
    </w:p>
    <w:p>
      <w:pPr>
        <w:spacing w:after="0" w:line="7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ASU 2020-04 provides optional temporary guidance for applying GAAP to contracts, hedging relationships, and other transactions that reference the London Interbank Offered Rate (LIBOR) or another reference rate expected to be discontinued because of reference rate reform. Topic 848 is effective as of March 12, 2020 through December 31, 2022; however, because the intended cessation date of LIBOR was deferred to June 30, 2023, ASU 2022-06 was issued in December 2022 to extend the current relief in Topic 848 through December 31, 2024. We will adopt Topic 848 when our relevant contracts are modified upon transition to alternative reference rates and we do not expect the application of Topic 848 to have a material impact on our consolidated financial statements.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Investments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Short-term investments primarily include debt securities and are classified as available-for-sale and stated at fair value. Realized gains and losses are recorded in nonoperating other income, net on our consolidated statements of operations. Unrealized gains and losses are recorded as a component of accumulated other comprehensive loss on our consolidated balance sheets. For investments in an unrealized loss position, we determine whether a credit loss exists by considering information about the collectability of the instrument, current market conditions and reasonable and supportable forecasts of economic conditions. There have been no credit losses.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Equity investments are accounted for under the equity method if we are able to exercise significant influence over an investee. Equity investments for which we do not have significant influence are recorded at fair value or at cost, if fair value is not readily determinable, with adjustments for observable changes in price or impairments (referred to as the measurement alternative). Our share of equity method investees’ financial results and changes in fair value are recorded in nonoperating other income, net on the consolidated statements of operations. See Note 8 for additional information related to our equity investments.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Restricted Cash and Short-term Investments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have restricted cash and short-term investments related primarily to collateral held to support workers’ compensation obligations, collateral associated with the AAdvantage Financing and money market funds to be used to finance a substantial portion of the cost of the renovation and expansion of Terminal 8 at John F. Kennedy International Airport (JFK).</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Accounts Receivable, Net</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Accounts receivable primarily consist of amounts due from credit card processing companies for tickets sold to individual passengers, amounts due from airline and non-airline business partners, including our co-branded credit card partners and cargo customers. Receivables from ticket sales are short-term, mostly settled within seven days after sale. Receivables from our business partners are typically settled within 30 days. All accounts receivable are reported net of an allowance for credit losses, which was not material as of December 31, 2022 and 2021. We consider past and future financial and qualitative factors, including aging, payment history and other credit monitoring indicators, when establishing the allowance for credit losses.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Aircraft Fuel, Spare Parts and Supplies, Net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which is recognized over the weighted average remaining useful life of the related fleet. We also provide an allowance for spare parts and supplies identified as excess or obsolete to reduce the carrying cost to the lower of cost or net realizable value. Aircraft fuel, spare parts and supplies are expensed when used.</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Operating Property and Equipment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other equipment</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10 years</w:t>
            </w:r>
          </w:p>
        </w:tc>
      </w:tr>
      <w:tr>
        <w:trPr>
          <w:trHeight w:val="239"/>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10 years</w:t>
            </w:r>
          </w:p>
        </w:tc>
      </w:tr>
    </w:tbl>
    <w:p>
      <w:pPr>
        <w:spacing w:after="0" w:line="215"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Total depreciation and amortization expense was $2.3 billion for each of the years ended December 31, 2022 and 2021 and $2.4 billion for the year ended December 31, 2020.</w:t>
      </w:r>
    </w:p>
    <w:p>
      <w:pPr>
        <w:spacing w:after="0" w:line="9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assess impairment of operating property and equipment when events and circumstances indicate that the assets may be impaired. An impairment of an asset or group of assets exists only when the sum of the estimated undiscounted cash flows expected to be generated directly by the assets are less than the carrying value of the assets. We group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our current fleet plan. If such assets are impaired, the impairment charge recognized is the amount by which the carrying value of the assets exceed their fair value. Fair value reflects management’s best estimate including inputs from published pricing guides and bids from third parties as well as contracted sales agreements when applicable. In 2022, we recorded $149 million in non-cash special impairment charges to write down the carrying value of our retired Airbus A330 fleet to the estimated fair value due to the market conditions for certain used aircraft.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 Leases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current operating lease liabilities and noncurrent operating lease liabilities on our consolidated balance sheets. Finance leases are included in property and equipment, current maturities of long-term debt and finance leases and long-term debt and finance leases, net of current maturities, on our consolidated balance sheets.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liabilities are recognized at the lease commencement date based on the estimated present value of lease payments over the lease term.</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determining the present value of lease payments. We give consideration to our recent debt issuances as well as publicly available data for instruments with similar characteristics when calculating our incremental borrowing rates.</w:t>
      </w:r>
    </w:p>
    <w:p>
      <w:pPr>
        <w:spacing w:after="0" w:line="116"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lease term includes options to extend the lease when it is reasonably certain that we will exercise that option. Leases with a term of 12 months or less are not recorded on our consolidated balance sheets.</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certain of our capacity purchase agreements with third-party regional carriers, we do not own the underlying aircraft. However, since we control the marketing, scheduling, ticketing, pricing and seat inventories of these aircraft and therefore control the asset, the aircraft is deemed to be leased for accounting purposes. For these capacity purchase agreements, we account for the lease and non-lease components separately. The lease component consists of the aircraft and the non-lease components consist of services, such as the crew and maintenance. We allocate the consideration in the capacity purchase agreements to the lease and non-lease components using their estimated relative standalone prices. See Note 11(b) for additional information on our capacity purchase agreements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real estate, we account for the lease and non-lease components as a single lease component.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 Income Taxes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provide a valuation allowance for our deferred tax assets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 Goodwill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represents the purchase price in excess of the fair value of the net assets acquired and liabilities assumed in connection with the 2013 merger with US Airways Group, Inc. (US Airways Group). We have one reporting unit. We assess goodwill for impairment annually or more frequently if events or circumstances indicate that the fair value of goodwill may be lower than the carrying value. Our annual assessment date is October 1.</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is assessed for impairment by initially performing a qualitative assessment. If we determine that it is more likely than not that our goodwill may be impaired, we use a quantitative approach to assess the asset’s fair value and the amount of the impairment, if any. Based upon our annual assessment, there was no goodwill impairment in 2022. The carrying value of our goodwill on our consolidated balance sheets was $4.1 billion as of December 31, 2022 and 2021.</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 Other Intangibles, Net</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Intangible assets consist primarily of certain domestic airport slots and gate leasehold rights, customer relationships, marketing agreements, commercial agreements, international slots and route authorities and tradenames.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Definite-lived intangible assets are originally recorded at their acquired fair values, subsequently amortized over their respective estimated useful lives and are assessed for impairment whenever events and circumstances indicate that the assets may be impaired.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relating to our amortizable intangible assets as of December 31, 2022 and 2021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airport slots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agreements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Airport gate leasehold rights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Certain marketing agreements were identified as intangible assets subject to amortization and are amortized on a straight-line basis over approximately 30 years. Customer relationships and tradenames are fully amortized.</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We recorded amortization expense related to these intangible assets of $41 million for each of the years ended December 31, 2022, 2021 and 2020. We expect to record annual amortization expense for these intangible assets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Indefinite-lived intangible assets include certain domestic airport slots, international slots and route authorities and in 2022, our commercial agreement with GOL Linhas Aéreas Inteligentes S.A. (GOL). We assess indefinite-lived intangible assets for impairment annually or more frequently if events or circumstances indicate that the fair values of indefinite-lived intangible assets may be lower than their carrying values. Our annual assessment date is October 1.</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If we determine that it is more likely than not that our indefinite-lived intangible assets may be impaired, we use a quantitative approach to assess the asset’s fair value and the amount of the impairment, if any. Based upon our annual assessment, there were no material indefinite-lived intangible asset impairments in 2022. We had $1.9 billion and $1.8 billion of indefinite-lived intangible assets on our consolidated balance sheets as of December 31, 2022 and 2021,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right="8820" w:hanging="9"/>
        <w:spacing w:after="0" w:line="343" w:lineRule="auto"/>
        <w:tabs>
          <w:tab w:leader="none" w:pos="59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are the significant categories comprising our operating revenues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1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41,425</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13,456</w:t>
            </w:r>
          </w:p>
        </w:tc>
      </w:tr>
      <w:tr>
        <w:trPr>
          <w:trHeight w:val="230"/>
        </w:trPr>
        <w:tc>
          <w:tcPr>
            <w:tcW w:w="6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223"/>
        </w:trPr>
        <w:tc>
          <w:tcPr>
            <w:tcW w:w="646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14,518</w:t>
            </w:r>
          </w:p>
        </w:tc>
      </w:tr>
      <w:tr>
        <w:trPr>
          <w:trHeight w:val="23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29"/>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30"/>
        </w:trPr>
        <w:tc>
          <w:tcPr>
            <w:tcW w:w="6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23"/>
        </w:trPr>
        <w:tc>
          <w:tcPr>
            <w:tcW w:w="6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23"/>
        </w:trPr>
        <w:tc>
          <w:tcPr>
            <w:tcW w:w="646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17,337</w:t>
            </w:r>
          </w:p>
        </w:tc>
      </w:tr>
      <w:tr>
        <w:trPr>
          <w:trHeight w:val="20"/>
        </w:trPr>
        <w:tc>
          <w:tcPr>
            <w:tcW w:w="2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below for further discussion on these mileage credits.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8"/>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Passenger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The estimate for tickets expected to expire unused is generally based on an analysis of our historical data. We have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Loyalty Revenue</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our co-branded credit cards,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remaining terms generally from one to seven years as of December 31, 2022.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most significant mileage credit partner agreements are our co-branded credit card agreements with Citi and Barclaycard US. We identified two revenue elements in these co-branded credit card agreements: the transportation component and the marketing component.</w:t>
      </w:r>
    </w:p>
    <w:p>
      <w:pPr>
        <w:spacing w:after="0" w:line="99"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We recognize the marketing component in other revenue in the period of the mileage credit sale following the sales-based royalty method.</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use a statistical model based on historical redemption patterns to develop an estimate of the likelihood of future redemption.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Cargo Revenue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credit sales to co-branded credit card and other partners and other marketing related payments.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other commission revenue, advertising and vacation-related services.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our consolidated balance sheets and (2) ticket sales for transportation that has not yet been provided, reported as air traffic liability on our 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196"/>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7"/>
                <w:szCs w:val="17"/>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-616585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ectPr>
          <w:pgSz w:w="11900" w:h="16838" w:orient="portrait"/>
          <w:cols w:equalWidth="0" w:num="1">
            <w:col w:w="11240"/>
          </w:cols>
          <w:pgMar w:left="320" w:top="121"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Balance at December 31, 2022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244" w:hanging="1244"/>
        <w:spacing w:after="0"/>
        <w:tabs>
          <w:tab w:leader="none" w:pos="12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9,135</w:t>
      </w:r>
    </w:p>
    <w:p>
      <w:pPr>
        <w:spacing w:after="0" w:line="31" w:lineRule="exact"/>
        <w:rPr>
          <w:rFonts w:ascii="Arial" w:cs="Arial" w:eastAsia="Arial" w:hAnsi="Arial"/>
          <w:sz w:val="18"/>
          <w:szCs w:val="18"/>
          <w:color w:val="auto"/>
        </w:rPr>
      </w:pPr>
    </w:p>
    <w:p>
      <w:pPr>
        <w:ind w:left="1244"/>
        <w:spacing w:after="0"/>
        <w:rPr>
          <w:rFonts w:ascii="Arial" w:cs="Arial" w:eastAsia="Arial" w:hAnsi="Arial"/>
          <w:sz w:val="18"/>
          <w:szCs w:val="18"/>
          <w:color w:val="auto"/>
        </w:rPr>
      </w:pPr>
      <w:r>
        <w:rPr>
          <w:rFonts w:ascii="Arial" w:cs="Arial" w:eastAsia="Arial" w:hAnsi="Arial"/>
          <w:sz w:val="18"/>
          <w:szCs w:val="18"/>
          <w:color w:val="auto"/>
        </w:rPr>
        <w:t>3,221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11315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7" w:lineRule="exact"/>
        <w:rPr>
          <w:sz w:val="20"/>
          <w:szCs w:val="20"/>
          <w:color w:val="auto"/>
        </w:rPr>
      </w:pPr>
    </w:p>
    <w:p>
      <w:pPr>
        <w:ind w:left="1244" w:hanging="1244"/>
        <w:spacing w:after="0"/>
        <w:tabs>
          <w:tab w:leader="none" w:pos="12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9,145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11315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315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756" w:space="720"/>
            <w:col w:w="1764"/>
          </w:cols>
          <w:pgMar w:left="320" w:top="121" w:right="339" w:bottom="1440" w:gutter="0" w:footer="0" w:header="0"/>
          <w:type w:val="continuous"/>
        </w:sectPr>
      </w:pPr>
    </w:p>
    <w:p>
      <w:pPr>
        <w:spacing w:after="0" w:line="56" w:lineRule="exact"/>
        <w:rPr>
          <w:sz w:val="20"/>
          <w:szCs w:val="20"/>
          <w:color w:val="auto"/>
        </w:rPr>
      </w:pPr>
    </w:p>
    <w:p>
      <w:pPr>
        <w:jc w:val="both"/>
        <w:ind w:left="340" w:hanging="332"/>
        <w:spacing w:after="0"/>
        <w:tabs>
          <w:tab w:leader="none" w:pos="33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December 31, 2022, our current loyalty program liability was $3.2 billion and represents our current estimate of revenue expected to be recognized in the next 12 months based on historical as well as projected trends, with the balance reflected in long-term loyalty program liability expected to be recognized as revenue in periods thereafter.</w:t>
      </w:r>
    </w:p>
    <w:p>
      <w:pPr>
        <w:spacing w:after="0" w:line="14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In response to the COVID-19 pandemic, we extended the contract duration for certain tickets to September 30, 2022, principally those tickets which were issued in 2020 and 2021. Additionally, we extended the contract duration to December 31, 2022 for tickets to certain international destinations. For 2022, $ 4.8 billion of revenue was recognized in passenger revenue that was included in our air traffic liability at December 31, 2021. Tickets issued in 2022 and thereafter are no longer subject to change fees which provides more flexibility for customers to change travel plans. Given this new flexibility offered to our customers, our estimate of revenue that will be recognized from the air traffic liability for future flown or unused tickets may be subject to variability and differ from historical experience.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 Maintenance, Materials and Repairs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certain flight hour maintenance contract agreements, which are accrued based on contractual terms when an obligation exists.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 Selling Expenses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Selling expenses include credit card fees, commissions, third party distribution channel fees and advertising. Selling expenses associated with passenger revenue are expensed when the transportation or service is provided. Advertising costs are expensed as incurred. Advertising expense was $105 million for each of the years ended December 31, 2022 and 2021 and $57 million for the year ended December 31, 2020.</w:t>
      </w:r>
    </w:p>
    <w:p>
      <w:pPr>
        <w:sectPr>
          <w:pgSz w:w="11900" w:h="16838" w:orient="portrait"/>
          <w:cols w:equalWidth="0" w:num="1">
            <w:col w:w="11240"/>
          </w:cols>
          <w:pgMar w:left="320" w:top="121" w:right="339"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 Share-based Compensation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account for our share-based compensation expense based on the fair value of the stock award at the time of grant, which is recognized ratably over the vesting period of the stock award. The majority of our stock awards are time vested restricted stock units, and the fair value of such awards is based on the market price of the underlying shares of AAG common stock on the date of grant. See Note 14 for further discussion of share-based compensation.</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 Foreign Currency Gains and Losses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Foreign currency gains and losses are recorded as part of other income, net within total nonoperating expense, net on our consolidated statements of operations. For the years ended December 31, 2022, 2021 and 2020, respectively, foreign currency losses were $38 million, $4 million and $24 million.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 Other Operating Expenses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Other operating expenses includes costs associated with aircraft food and catering, crew travel, ground and cargo handling, passenger accommodation, international navigation fees, aircraft cleaning and certain general and administrative expenses.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 Regional Expenses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in the form of capacity purchase agreements. Expenses associated with American Eagle operations are classified as regional expenses on the consolidated statements of operations.</w:t>
      </w:r>
    </w:p>
    <w:p>
      <w:pPr>
        <w:spacing w:after="0" w:line="12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Regional expenses for the years ended December 31,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2021, and 2020 include $321 million, $316 million and $325 million of depreciation and amortization, respectively, and $5 million, $6 million and $13 million of aircraft rent, respectively.</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2021, and 2020, we recognized $592 million, $495 million and $438 million, respectively, of expense under our capacity purchase agreement with Republic Airways Inc. (Republic). We hold a 25% equity interest in Republic Airways Holdings Inc. (Republic Holdings), the parent company of Republic.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on our consolidated statements of operations consisted of the following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24"/>
        </w:trPr>
        <w:tc>
          <w:tcPr>
            <w:tcW w:w="64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30"/>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(4)</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4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0"/>
        </w:trPr>
        <w:tc>
          <w:tcPr>
            <w:tcW w:w="6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(5)</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0"/>
        </w:trPr>
        <w:tc>
          <w:tcPr>
            <w:tcW w:w="6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(6)</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Nonoperating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6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3112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Fleet impairment for 2022 included a non-cash impairment charge to write down the carrying value of our retired Airbus A330 fleet to the estimated fair value due to the market conditions for certain used aircraft.</w:t>
      </w:r>
    </w:p>
    <w:p>
      <w:pPr>
        <w:spacing w:after="0" w:line="140" w:lineRule="exact"/>
        <w:rPr>
          <w:rFonts w:ascii="Arial" w:cs="Arial" w:eastAsia="Arial" w:hAnsi="Arial"/>
          <w:sz w:val="23"/>
          <w:szCs w:val="23"/>
          <w:color w:val="auto"/>
          <w:vertAlign w:val="superscript"/>
        </w:rPr>
      </w:pPr>
    </w:p>
    <w:p>
      <w:pPr>
        <w:jc w:val="both"/>
        <w:ind w:left="34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2021 and 2020 included charges resulting from the retirement of certain aircraft earlier than planned driven by the severe decline in air travel due to the COVID-19 pandemic. In 2021, we retired our remaining Embraer 140 fleet resulting in a non-cash write down of these regional aircraft. In 2020, we retired our entire Airbus A330-200, Boeing 757, Boeing 767, Airbus A330-300 and Embraer 190 fleets as well as certain Embraer 140 and Bombardier CRJ200 aircraft resulting in a $1.5 billion non-cash write down of mainline and regional aircraft and associated spare parts and $109 million in cash charges primarily for impairment of ROU assets and lease return costs.</w:t>
      </w:r>
    </w:p>
    <w:p>
      <w:pPr>
        <w:spacing w:after="0" w:line="12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programs established by the U.S. Government. See Note 1(b) for further information.</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due to the ratification of a new contract with the Transport Workers Union and International Association of Machinists &amp; Aerospace Workers (TWU-IAM Association) for our maintenance and fleet service team members, including signing bonuses and adjustments to vacation accruals resulting from pay rate increases.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paid in the fourth quarter of 2021 to eligible captains at our wholly-owned regional carriers included on the pilot seniority list as of September 1,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2"/>
        <w:spacing w:after="0" w:line="231" w:lineRule="auto"/>
        <w:tabs>
          <w:tab w:leader="none" w:pos="334"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certain equity investments and certain other investments. See Note 8 for further information related to our equity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following table provides the computation of basic and diluted earnings (loss) per common share (EPS) (in millions,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(8,885)</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650,345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483,888</w:t>
            </w:r>
          </w:p>
        </w:tc>
      </w:tr>
      <w:tr>
        <w:trPr>
          <w:trHeight w:val="223"/>
        </w:trPr>
        <w:tc>
          <w:tcPr>
            <w:tcW w:w="6440" w:type="dxa"/>
            <w:vAlign w:val="bottom"/>
          </w:tcPr>
          <w:p>
            <w:pPr>
              <w:ind w:left="220"/>
              <w:spacing w:after="0"/>
              <w:rPr>
                <w:sz w:val="20"/>
                <w:szCs w:val="20"/>
                <w:color w:val="auto"/>
              </w:rPr>
            </w:pPr>
            <w:r>
              <w:rPr>
                <w:rFonts w:ascii="Arial" w:cs="Arial" w:eastAsia="Arial" w:hAnsi="Arial"/>
                <w:sz w:val="18"/>
                <w:szCs w:val="18"/>
                <w:color w:val="auto"/>
              </w:rPr>
              <w:t>Basic EPS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483,888</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Dilutive effect of restricted stock unit awards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certain PSP Warrants and Treasury Loan Warrants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655,122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644,015</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483,888</w:t>
            </w:r>
          </w:p>
        </w:tc>
      </w:tr>
      <w:tr>
        <w:trPr>
          <w:trHeight w:val="248"/>
        </w:trPr>
        <w:tc>
          <w:tcPr>
            <w:tcW w:w="6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14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66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31,882</w:t>
            </w: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color w:val="auto"/>
              </w:rPr>
              <w:t>Restricted stock unit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3,987</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4,584</w:t>
            </w:r>
          </w:p>
        </w:tc>
      </w:tr>
    </w:tbl>
    <w:p>
      <w:pPr>
        <w:spacing w:after="0" w:line="22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 addition, certain shares underlying our PSP Warrants and Treasury Loan Warrants for the years ended December 31, 2022, 2021 and 2020, were excluded from the calculation of diluted EPS because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on our consolidated balance sheets consisted of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2013 Term Loan Facility, variable interest rate of 6.14%, installments through 2025 </w:t>
            </w:r>
            <w:r>
              <w:rPr>
                <w:rFonts w:ascii="Arial" w:cs="Arial" w:eastAsia="Arial" w:hAnsi="Arial"/>
                <w:sz w:val="23"/>
                <w:szCs w:val="23"/>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2014 Term Loan Facility, variable interest rate of 6.14%, installments through 2027 </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December 2016 Term Loan Facility </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11.75% senior secured notes, interest only payments until due in July 2025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10.75% senior secured IP notes, interest only payments until due in February 2026 </w:t>
            </w:r>
            <w:r>
              <w:rPr>
                <w:rFonts w:ascii="Arial" w:cs="Arial" w:eastAsia="Arial" w:hAnsi="Arial"/>
                <w:sz w:val="23"/>
                <w:szCs w:val="23"/>
                <w:color w:val="auto"/>
                <w:vertAlign w:val="superscript"/>
              </w:rPr>
              <w:t>(b)</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10.75% senior secured LGA/DCA notes, interest only payments until due in February 2026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8260" w:type="dxa"/>
            <w:vAlign w:val="bottom"/>
          </w:tcPr>
          <w:p>
            <w:pPr>
              <w:ind w:left="240"/>
              <w:spacing w:after="0" w:line="176" w:lineRule="exact"/>
              <w:rPr>
                <w:sz w:val="20"/>
                <w:szCs w:val="20"/>
                <w:color w:val="auto"/>
              </w:rPr>
            </w:pPr>
            <w:r>
              <w:rPr>
                <w:rFonts w:ascii="Arial" w:cs="Arial" w:eastAsia="Arial" w:hAnsi="Arial"/>
                <w:sz w:val="18"/>
                <w:szCs w:val="18"/>
                <w:color w:val="auto"/>
              </w:rPr>
              <w:t>AAdvantage Term Loan Facility, variable interest rate of 8.99%, installments beginning in July 2023</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through April 2028 </w:t>
            </w:r>
            <w:r>
              <w:rPr>
                <w:rFonts w:ascii="Arial" w:cs="Arial" w:eastAsia="Arial" w:hAnsi="Arial"/>
                <w:sz w:val="23"/>
                <w:szCs w:val="23"/>
                <w:color w:val="auto"/>
                <w:vertAlign w:val="superscript"/>
              </w:rPr>
              <w:t>(c)</w:t>
            </w:r>
          </w:p>
        </w:tc>
        <w:tc>
          <w:tcPr>
            <w:tcW w:w="3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 7.13%,</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line="243" w:lineRule="exact"/>
              <w:rPr>
                <w:sz w:val="20"/>
                <w:szCs w:val="20"/>
                <w:color w:val="auto"/>
              </w:rPr>
            </w:pPr>
            <w:r>
              <w:rPr>
                <w:rFonts w:ascii="Arial" w:cs="Arial" w:eastAsia="Arial" w:hAnsi="Arial"/>
                <w:sz w:val="18"/>
                <w:szCs w:val="18"/>
                <w:color w:val="auto"/>
              </w:rPr>
              <w:t xml:space="preserve">averaging 3.74%, maturing from 2023 to 2034 </w:t>
            </w:r>
            <w:r>
              <w:rPr>
                <w:rFonts w:ascii="Arial" w:cs="Arial" w:eastAsia="Arial" w:hAnsi="Arial"/>
                <w:sz w:val="23"/>
                <w:szCs w:val="23"/>
                <w:color w:val="auto"/>
                <w:vertAlign w:val="superscript"/>
              </w:rPr>
              <w:t>(d)</w:t>
            </w:r>
          </w:p>
        </w:tc>
        <w:tc>
          <w:tcPr>
            <w:tcW w:w="3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 3.33% to</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8.01%, averaging 5.95%, maturing from 2023 to 2034 </w:t>
            </w:r>
            <w:r>
              <w:rPr>
                <w:rFonts w:ascii="Arial" w:cs="Arial" w:eastAsia="Arial" w:hAnsi="Arial"/>
                <w:sz w:val="23"/>
                <w:szCs w:val="23"/>
                <w:color w:val="auto"/>
                <w:vertAlign w:val="superscript"/>
              </w:rPr>
              <w:t>(e)</w:t>
            </w:r>
          </w:p>
        </w:tc>
        <w:tc>
          <w:tcPr>
            <w:tcW w:w="3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 from 2026</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line="243" w:lineRule="exact"/>
              <w:rPr>
                <w:sz w:val="20"/>
                <w:szCs w:val="20"/>
                <w:color w:val="auto"/>
              </w:rPr>
            </w:pPr>
            <w:r>
              <w:rPr>
                <w:rFonts w:ascii="Arial" w:cs="Arial" w:eastAsia="Arial" w:hAnsi="Arial"/>
                <w:sz w:val="18"/>
                <w:szCs w:val="18"/>
                <w:color w:val="auto"/>
              </w:rPr>
              <w:t xml:space="preserve">to 2036 </w:t>
            </w:r>
            <w:r>
              <w:rPr>
                <w:rFonts w:ascii="Arial" w:cs="Arial" w:eastAsia="Arial" w:hAnsi="Arial"/>
                <w:sz w:val="23"/>
                <w:szCs w:val="23"/>
                <w:color w:val="auto"/>
                <w:vertAlign w:val="superscript"/>
              </w:rPr>
              <w:t>(f)</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PSP1 Promissory Note, interest only payments until due in April 2030 </w:t>
            </w:r>
            <w:r>
              <w:rPr>
                <w:rFonts w:ascii="Arial" w:cs="Arial" w:eastAsia="Arial" w:hAnsi="Arial"/>
                <w:sz w:val="23"/>
                <w:szCs w:val="23"/>
                <w:color w:val="auto"/>
                <w:vertAlign w:val="superscript"/>
              </w:rPr>
              <w:t>(g)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PSP2 Promissory Note, interest only payments until due in January 2031 </w:t>
            </w:r>
            <w:r>
              <w:rPr>
                <w:rFonts w:ascii="Arial" w:cs="Arial" w:eastAsia="Arial" w:hAnsi="Arial"/>
                <w:sz w:val="23"/>
                <w:szCs w:val="23"/>
                <w:color w:val="auto"/>
                <w:vertAlign w:val="superscript"/>
              </w:rPr>
              <w:t>(g)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PSP3 Promissory Note, interest only payments until due in April 2031 </w:t>
            </w:r>
            <w:r>
              <w:rPr>
                <w:rFonts w:ascii="Arial" w:cs="Arial" w:eastAsia="Arial" w:hAnsi="Arial"/>
                <w:sz w:val="23"/>
                <w:szCs w:val="23"/>
                <w:color w:val="auto"/>
                <w:vertAlign w:val="superscript"/>
              </w:rPr>
              <w:t>(g)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6.50% convertible senior notes, interest only payments until due in July 2025 </w:t>
            </w:r>
            <w:r>
              <w:rPr>
                <w:rFonts w:ascii="Arial" w:cs="Arial" w:eastAsia="Arial" w:hAnsi="Arial"/>
                <w:sz w:val="23"/>
                <w:szCs w:val="23"/>
                <w:color w:val="auto"/>
                <w:vertAlign w:val="superscript"/>
              </w:rPr>
              <w:t>(h)</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3.75% senior notes, interest only payments until due in March 2025 </w:t>
            </w:r>
            <w:r>
              <w:rPr>
                <w:rFonts w:ascii="Arial" w:cs="Arial" w:eastAsia="Arial" w:hAnsi="Arial"/>
                <w:sz w:val="23"/>
                <w:szCs w:val="23"/>
                <w:color w:val="auto"/>
                <w:vertAlign w:val="superscript"/>
              </w:rPr>
              <w:t>(i)</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5.000% senior notes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Less: Total unamortized debt discount, premium and issuance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Long-term debt, net of current maturities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the maximum availability under our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57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5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50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jc w:val="right"/>
              <w:ind w:right="3590"/>
              <w:spacing w:after="0"/>
              <w:rPr>
                <w:sz w:val="20"/>
                <w:szCs w:val="20"/>
                <w:color w:val="auto"/>
              </w:rPr>
            </w:pPr>
            <w:r>
              <w:rPr>
                <w:rFonts w:ascii="Arial" w:cs="Arial" w:eastAsia="Arial" w:hAnsi="Arial"/>
                <w:sz w:val="18"/>
                <w:szCs w:val="18"/>
                <w:color w:val="auto"/>
              </w:rPr>
              <w:t>103</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440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0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2022, American had an undrawn $150 million short-term revolving credit facility which expired in January 2023. American also had $70 million of available borrowing base under cargo receivables facility that was set to expire in December 2022, but which has been extended through December 2023.</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60" w:type="dxa"/>
            <w:vAlign w:val="bottom"/>
          </w:tcPr>
          <w:p>
            <w:pPr>
              <w:ind w:left="260"/>
              <w:spacing w:after="0"/>
              <w:rPr>
                <w:sz w:val="20"/>
                <w:szCs w:val="20"/>
                <w:color w:val="auto"/>
              </w:rPr>
            </w:pPr>
            <w:r>
              <w:rPr>
                <w:rFonts w:ascii="Arial" w:cs="Arial" w:eastAsia="Arial" w:hAnsi="Arial"/>
                <w:sz w:val="18"/>
                <w:szCs w:val="18"/>
                <w:color w:val="auto"/>
              </w:rPr>
              <w:t>At December 31, 2022, the maturities of long-term debt are as follows (in millions):</w:t>
            </w: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5"/>
        </w:trPr>
        <w:tc>
          <w:tcPr>
            <w:tcW w:w="9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4,480</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60" w:right="2440" w:hanging="9"/>
        <w:spacing w:after="0" w:line="343" w:lineRule="auto"/>
        <w:tabs>
          <w:tab w:leader="none" w:pos="53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and 2014 Credit Facilities, April 2016 Revolving Facility and December 2016 Credit Facilities </w:t>
      </w:r>
      <w:r>
        <w:rPr>
          <w:rFonts w:ascii="Arial" w:cs="Arial" w:eastAsia="Arial" w:hAnsi="Arial"/>
          <w:sz w:val="18"/>
          <w:szCs w:val="18"/>
          <w:i w:val="1"/>
          <w:iCs w:val="1"/>
          <w:u w:val="single" w:color="auto"/>
          <w:color w:val="auto"/>
        </w:rPr>
        <w:t>2013 Credit Facilities</w:t>
      </w:r>
    </w:p>
    <w:p>
      <w:pPr>
        <w:jc w:val="both"/>
        <w:ind w:firstLine="243"/>
        <w:spacing w:after="0" w:line="255" w:lineRule="auto"/>
        <w:rPr>
          <w:sz w:val="20"/>
          <w:szCs w:val="20"/>
          <w:color w:val="auto"/>
        </w:rPr>
      </w:pPr>
      <w:r>
        <w:rPr>
          <w:rFonts w:ascii="Arial" w:cs="Arial" w:eastAsia="Arial" w:hAnsi="Arial"/>
          <w:sz w:val="18"/>
          <w:szCs w:val="18"/>
          <w:color w:val="auto"/>
        </w:rPr>
        <w:t>In November 2019, American and AAG entered into the Sixth Amendment to Amended and Restated Credit and Guaranty Agreement, amending the Amended and Restated Credit and Guaranty Agreement dated as of May 21, 2015 (as previously amended, the 2013 Credit Agreement; the revolving credit facility established thereunder, the 2013 Revolving Facility; the term loan facility established thereunder, the 2013 Term Loan Facility; and the 2013 Revolving Facility together with the 2013 Term Loan Facility, the 2013 Credit Facilities), which reduced the total aggregate commitments under the 2013 Revolving Facility to $750 million from $1.0 billion. In addition, certain lenders party to the 2013 Credit Agreement extended the maturity date of a substantial portion of their commitments under the 2013 Revolving Facility to October 2024 from October 2023. As of December 31, 2022, there were no borrowings or letters of credit outstanding under the 2013 Revolving Facility.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November 2019, American and AAG entered into the Seventh Amendment to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the 2014 Revolving Facility together with the 2014 Term Loan Facility, the 2014 Credit Facilities), which increased the total aggregate commitments under the 2014 Revolving Facility to $1.6 billion from $1.5 billion. In addition, certain lenders party to the 2014 Credit Agreement extended the maturity date of a substantial portion of their commitments under the 2014 Revolving Facility to October 2024 from October 2023.</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January 2020, American and AAG entered into the Eighth Amendment to the 2014 Credit Agreement, pursuant to which American refinanced the 2014 Term Loan Facility, increasing the total aggregate principal amount outstanding to $ 1.2 billion, reducing the LIBOR margin from 2.00% to 1.75%, with a LIBOR floor of 0%, and reducing the base rate margin from 1.00% to 0.75%. In addition, the maturity date for the 2014 Term Loan Facility was extended to January 2027 from October 2021. As of December 31, 2022, there were no borrowings or letters of credit outstanding under the 2014 Revolving Facility.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April 2016 Revolving Facility</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November 2019, American and AAG entered into the Fifth Amendment to Credit and Guaranty Agreement, amending the Credit and Guaranty Agreement dated as of April 29, 2016 (as previously amended, the April 2016 Credit Agreement; the revolving credit facility established thereunder, the April 2016 Revolving Facility), which increased the total aggregate commitments under the April 2016 Revolving Facility to $450 million from $300 million. In addition, certain lenders party to the April 2016 Credit Agreement extended the maturity date of a substantial portion of their commitments under the April 2016 Revolving Facility to October 2024 from October 2023. As of December 31, 2022, there were no borrowings outstanding under the April 2016 Revolving Facility.</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December 2016 Credit Facilities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December 2016, American and AAG entered into the Amended and Restated Credit and Guaranty Agreement, dated as of December 15, 2016 (as amended, the December 2016 Credit Agreement; the term loan facility established thereunder, the December 2016 Term Loan Facility; and together with the revolving credit facility contemplated but never established thereunder, the December 2016 Credit Facilities). In December 2022, American repaid in full the $1.2 billion aggregate principal amount of outstanding term loans under the December 2016 Term Loan Facility which was due to mature in December 2023 and terminated the December 2016 Credit Facilities.</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Certain details of our 2013 and 2014 Credit Facilities (collectively referred to as the Credit Facilities) and April 2016 Revolving Facility are shown in the table below as of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right="600" w:hanging="149"/>
        <w:spacing w:after="0" w:line="227" w:lineRule="auto"/>
        <w:rPr>
          <w:sz w:val="20"/>
          <w:szCs w:val="20"/>
          <w:color w:val="auto"/>
        </w:rPr>
      </w:pPr>
      <w:r>
        <w:rPr>
          <w:rFonts w:ascii="Arial" w:cs="Arial" w:eastAsia="Arial" w:hAnsi="Arial"/>
          <w:sz w:val="18"/>
          <w:szCs w:val="18"/>
          <w:color w:val="auto"/>
        </w:rPr>
        <w:t>Aggregate principal issued or credit facility availability (in millions)</w:t>
      </w:r>
    </w:p>
    <w:p>
      <w:pPr>
        <w:spacing w:after="0" w:line="7" w:lineRule="exact"/>
        <w:rPr>
          <w:sz w:val="20"/>
          <w:szCs w:val="20"/>
          <w:color w:val="auto"/>
        </w:rPr>
      </w:pPr>
    </w:p>
    <w:p>
      <w:pPr>
        <w:ind w:left="180" w:right="960" w:hanging="149"/>
        <w:spacing w:after="0"/>
        <w:rPr>
          <w:sz w:val="20"/>
          <w:szCs w:val="20"/>
          <w:color w:val="auto"/>
        </w:rPr>
      </w:pPr>
      <w:r>
        <w:rPr>
          <w:rFonts w:ascii="Arial" w:cs="Arial" w:eastAsia="Arial" w:hAnsi="Arial"/>
          <w:sz w:val="18"/>
          <w:szCs w:val="18"/>
          <w:color w:val="auto"/>
        </w:rPr>
        <w:t>Principal outstanding or drawn (in millions)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LIBOR margin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120" w:type="dxa"/>
            <w:vAlign w:val="bottom"/>
            <w:gridSpan w:val="4"/>
          </w:tcPr>
          <w:p>
            <w:pPr>
              <w:ind w:left="780"/>
              <w:spacing w:after="0"/>
              <w:rPr>
                <w:sz w:val="20"/>
                <w:szCs w:val="20"/>
                <w:color w:val="auto"/>
              </w:rPr>
            </w:pPr>
            <w:r>
              <w:rPr>
                <w:rFonts w:ascii="Arial" w:cs="Arial" w:eastAsia="Arial" w:hAnsi="Arial"/>
                <w:sz w:val="14"/>
                <w:szCs w:val="14"/>
                <w:b w:val="1"/>
                <w:bCs w:val="1"/>
                <w:color w:val="auto"/>
              </w:rPr>
              <w:t>2013 Credit Facilities</w:t>
            </w:r>
          </w:p>
        </w:tc>
        <w:tc>
          <w:tcPr>
            <w:tcW w:w="3100" w:type="dxa"/>
            <w:vAlign w:val="bottom"/>
            <w:gridSpan w:val="4"/>
          </w:tcPr>
          <w:p>
            <w:pPr>
              <w:ind w:left="780"/>
              <w:spacing w:after="0"/>
              <w:rPr>
                <w:sz w:val="20"/>
                <w:szCs w:val="20"/>
                <w:color w:val="auto"/>
              </w:rPr>
            </w:pPr>
            <w:r>
              <w:rPr>
                <w:rFonts w:ascii="Arial" w:cs="Arial" w:eastAsia="Arial" w:hAnsi="Arial"/>
                <w:sz w:val="14"/>
                <w:szCs w:val="14"/>
                <w:b w:val="1"/>
                <w:bCs w:val="1"/>
                <w:color w:val="auto"/>
              </w:rPr>
              <w:t>2014 Credit Facilities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April 2016</w:t>
            </w: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2013 Term Loan</w:t>
            </w: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2014 Term Loan</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Revolving</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Revolving</w:t>
            </w:r>
          </w:p>
        </w:tc>
        <w:tc>
          <w:tcPr>
            <w:tcW w:w="0" w:type="dxa"/>
            <w:vAlign w:val="bottom"/>
          </w:tcPr>
          <w:p>
            <w:pPr>
              <w:spacing w:after="0"/>
              <w:rPr>
                <w:sz w:val="1"/>
                <w:szCs w:val="1"/>
                <w:color w:val="auto"/>
              </w:rPr>
            </w:pPr>
          </w:p>
        </w:tc>
      </w:tr>
      <w:tr>
        <w:trPr>
          <w:trHeight w:val="189"/>
        </w:trPr>
        <w:tc>
          <w:tcPr>
            <w:tcW w:w="1560" w:type="dxa"/>
            <w:vAlign w:val="bottom"/>
            <w:gridSpan w:val="2"/>
            <w:vMerge w:val="continue"/>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 Facility</w:t>
            </w:r>
          </w:p>
        </w:tc>
        <w:tc>
          <w:tcPr>
            <w:tcW w:w="154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Facility</w:t>
            </w:r>
          </w:p>
        </w:tc>
        <w:tc>
          <w:tcPr>
            <w:tcW w:w="0" w:type="dxa"/>
            <w:vAlign w:val="bottom"/>
          </w:tcPr>
          <w:p>
            <w:pPr>
              <w:spacing w:after="0"/>
              <w:rPr>
                <w:sz w:val="1"/>
                <w:szCs w:val="1"/>
                <w:color w:val="auto"/>
              </w:rPr>
            </w:pPr>
          </w:p>
        </w:tc>
      </w:tr>
      <w:tr>
        <w:trPr>
          <w:trHeight w:val="403"/>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$1,919</w:t>
            </w:r>
          </w:p>
        </w:tc>
        <w:tc>
          <w:tcPr>
            <w:tcW w:w="12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$736</w:t>
            </w:r>
          </w:p>
        </w:tc>
        <w:tc>
          <w:tcPr>
            <w:tcW w:w="12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$1,280</w:t>
            </w:r>
          </w:p>
        </w:tc>
        <w:tc>
          <w:tcPr>
            <w:tcW w:w="10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$1,631</w:t>
            </w:r>
          </w:p>
        </w:tc>
        <w:tc>
          <w:tcPr>
            <w:tcW w:w="12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$446</w:t>
            </w:r>
          </w:p>
        </w:tc>
        <w:tc>
          <w:tcPr>
            <w:tcW w:w="0" w:type="dxa"/>
            <w:vAlign w:val="bottom"/>
          </w:tcPr>
          <w:p>
            <w:pPr>
              <w:spacing w:after="0"/>
              <w:rPr>
                <w:sz w:val="1"/>
                <w:szCs w:val="1"/>
                <w:color w:val="auto"/>
              </w:rPr>
            </w:pPr>
          </w:p>
        </w:tc>
      </w:tr>
      <w:tr>
        <w:trPr>
          <w:trHeight w:val="499"/>
        </w:trPr>
        <w:tc>
          <w:tcPr>
            <w:tcW w:w="1440" w:type="dxa"/>
            <w:vAlign w:val="bottom"/>
          </w:tcPr>
          <w:p>
            <w:pPr>
              <w:jc w:val="center"/>
              <w:spacing w:after="0"/>
              <w:rPr>
                <w:sz w:val="20"/>
                <w:szCs w:val="20"/>
                <w:color w:val="auto"/>
              </w:rPr>
            </w:pPr>
            <w:r>
              <w:rPr>
                <w:rFonts w:ascii="Arial" w:cs="Arial" w:eastAsia="Arial" w:hAnsi="Arial"/>
                <w:sz w:val="18"/>
                <w:szCs w:val="18"/>
                <w:color w:val="auto"/>
                <w:w w:val="98"/>
              </w:rPr>
              <w:t>$1,752</w:t>
            </w:r>
          </w:p>
        </w:tc>
        <w:tc>
          <w:tcPr>
            <w:tcW w:w="1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$1,196</w:t>
            </w: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6"/>
        </w:trPr>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rPr>
              <w:t>June</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October</w:t>
            </w: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January</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October</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October</w:t>
            </w:r>
          </w:p>
        </w:tc>
        <w:tc>
          <w:tcPr>
            <w:tcW w:w="0" w:type="dxa"/>
            <w:vAlign w:val="bottom"/>
          </w:tcPr>
          <w:p>
            <w:pPr>
              <w:spacing w:after="0"/>
              <w:rPr>
                <w:sz w:val="1"/>
                <w:szCs w:val="1"/>
                <w:color w:val="auto"/>
              </w:rPr>
            </w:pPr>
          </w:p>
        </w:tc>
      </w:tr>
      <w:tr>
        <w:trPr>
          <w:trHeight w:val="238"/>
        </w:trPr>
        <w:tc>
          <w:tcPr>
            <w:tcW w:w="144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9"/>
        </w:trPr>
        <w:tc>
          <w:tcPr>
            <w:tcW w:w="1440" w:type="dxa"/>
            <w:vAlign w:val="bottom"/>
          </w:tcPr>
          <w:p>
            <w:pPr>
              <w:jc w:val="center"/>
              <w:spacing w:after="0"/>
              <w:rPr>
                <w:sz w:val="20"/>
                <w:szCs w:val="20"/>
                <w:color w:val="auto"/>
              </w:rPr>
            </w:pPr>
            <w:r>
              <w:rPr>
                <w:rFonts w:ascii="Arial" w:cs="Arial" w:eastAsia="Arial" w:hAnsi="Arial"/>
                <w:sz w:val="18"/>
                <w:szCs w:val="18"/>
                <w:color w:val="auto"/>
                <w:w w:val="97"/>
              </w:rPr>
              <w:t>1.75%</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1.75%</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-1056005</wp:posOffset>
            </wp:positionV>
            <wp:extent cx="7132320" cy="3771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-413385</wp:posOffset>
            </wp:positionV>
            <wp:extent cx="7132320" cy="265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660"/>
          </w:cols>
          <w:pgMar w:left="320" w:top="121" w:right="339" w:bottom="1440" w:gutter="0" w:footer="0" w:header="0"/>
          <w:type w:val="continuous"/>
        </w:sectPr>
      </w:pPr>
    </w:p>
    <w:p>
      <w:pPr>
        <w:spacing w:after="0" w:line="2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term loans under each of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2013 Revolving Facility, 2014 Revolving Facility and April 2016 Revolving Facility provide that American may from time to time borrow, repay and reborrow loans thereunder. The 2013 Revolving Facility and 2014 Revolving Facility have the ability to issue letters of credit thereunder in an aggregate amount outstanding at any time up to $100 million and $200 million, respectively. The 2013 Revolving Facility, 2014 Revolving Facility and April 2016 Revolving Facility are each subject to an undrawn annual fee of 0.63%.</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Subject to certain limitations and exceptions, the Credit Facilities and April 2016 Revolving Facility are secured by collateral, including certain spare parts, slots, route authorities, simulators and leasehold rights. American has the ability to make future modifications to the collateral pledged, subject to certain restrictions. American’s obligations under the Credit Facilities and April 2016 Revolving Facility are guaranteed by AAG. The Credit Facilities and April 2016 Revolving Facility contain events of default customary for similar financings, including cross default and cross-acceleration to other material indebtedness.</w:t>
      </w:r>
    </w:p>
    <w:p>
      <w:pPr>
        <w:spacing w:after="0" w:line="208" w:lineRule="exact"/>
        <w:rPr>
          <w:sz w:val="20"/>
          <w:szCs w:val="20"/>
          <w:color w:val="auto"/>
        </w:rPr>
      </w:pPr>
    </w:p>
    <w:p>
      <w:pPr>
        <w:ind w:left="540" w:hanging="289"/>
        <w:spacing w:after="0"/>
        <w:tabs>
          <w:tab w:leader="none" w:pos="54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Secured Notes</w:t>
      </w:r>
    </w:p>
    <w:p>
      <w:pPr>
        <w:spacing w:after="0" w:line="90"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11.75% Senior Secured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2020, American issued $2.5 billion aggregate principal amount of 11.75% senior secured notes due 2025 (the 11.75% Senior Secured Notes) at a price equal to 99% of their aggregate principal amount. The 11.75% Senior Secured Notes bear interest at a rate of 11.75% per annum (subject to increase if the collateral coverage ratio described below is not met). Interest on the 11.75% Senior Secured Notes is payable semiannually in arrears on January 15 and July 15 of each year, which began on January 15, 2021. The 11.75% Senior Secured Notes will mature on July 15, 2025. The obligations of American under the 11.75% Senior Secured Notes are fully and unconditionally guaranteed on a senior unsecured basis by AAG.</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11.75% Senior Secured Notes are American’s senior secured obligations. Subject to certain limitations and exceptions, the 11.75% Senior Secured Notes are secured on a first-lien basis by security interests in certain assets, rights and properties utilized by American in providing its scheduled air carrier services to and from certain airports in the United States and certain airports in Australia, Canada, the Caribbean, Central America, China, Hong Kong, Japan, Mexico, South Korea, and Switzerland (collectively, the First Lien 11.75% Senior Secured Notes Collateral). American’s obligations with respect to the 11.75% Senior Secured Notes are also secured on a second-lien basis by security interests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certain assets, rights and properties utilized by American in providing its scheduled air carrier services to and from certain airports in the United States and certain airports in the European Union and the United Kingdom (collectively, the Second Lien 11.75% Senior Secured Notes Collateral and together with the First Lien 11.75% Senior Secured Notes Collateral, the 11.75% Senior Secured Notes Collateral). The Second Lien 11.75% Senior Secured Notes Collateral also secures the 2014 Credit Facilities on a first-lien basis.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may redeem the 11.75% Senior Secured Notes, in whole at any time or in part from time to time, at a redemption price equal to 100% of the principal amount of the 11.75% Senior Secured Notes being redeemed plus a make whole premium, together with accrued and unpaid interest thereon, if any, to (but not including) the redemption date.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10.75%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September 25, 2020 (the 10.75% Senior Secured Notes Closing Date), American issued $1.0 billion in initial principal amount of senior secured IP notes (the IP Notes) and $200 million in initial principal amount of senior secured LGA/DCA notes (the LGA/DCA Notes and together with the IP Notes, the 10.75% Senior Secured Notes). The obligations of American under the 10.75% Senior Secured Notes are fully and unconditionally guaranteed (the 10.75% Senior Secured Notes Guarantees) on a senior unsecured basis by AAG. The 10.75% Senior Secured Notes bear interest at a rate of 10.75% per annum in cash. Interest on the 10.75% Senior Secured Notes is payable semiannually in arrears on September 1 and March 1 of each year, which began on March 1, 2021. The 10.75% Senior Secured Notes will mature on February 15, 2026.</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10.75% Senior Secured Notes Collateral). Subject to certain conditions, American will be permitted to incur up to $4.0 billion of additional pari passu debt and unlimited second lien debt secured by the IP Collateral securing the IP Notes. The LGA/DCA Notes are secured by a first lien security interest in the LGA/DCA Collateral.</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or prior to the fourth anniversary of the 10.75% Senior Secured Notes Closing Date, American may redeem all or any part of the 10.75% Senior Secured Notes, at its option, at a redemption price equal to 100% of the principal amount of the 10.75% Senior Secured Notes redeemed plus a make whole premium, together with accrued and unpaid interest thereon, if any. After the fourth anniversary of the 10.75% Senior Secured Notes Closing Date and on or prior to the fifth anniversary of the 10.75% Senior Secured Notes Closing Date, American may redeem all or any part of the 10.75% Senior Secured Notes, at its option, at a redemption price equal to 105.375% of the principal amount of the 10.75% Senior Secured Notes redeemed, together with accrued and unpaid interest thereon, if any. After the fifth anniversary of the 10.75% Senior Secured Notes Closing Date, American may redeem all or any part of the 10.75% Senior Secured Notes, at its option, at par, together with accrued and unpaid interest thereon, if any.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AAdvantage Financing</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24, 2021 (the AAdvantage Financing Closing Date), American and AAdvantage Loyalty IP Ltd., a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on a senior unsecured basis by the SPV Guarantors and AAG.</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SPV Guarantors and AAG.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are secured by a first-priority security interest in, and pledge of, various agreements with respect to the AAdvantage program (the AAdvantage Agreements) (including all payments thereunder) and certain IP Licenses, certain deposit accounts that will receive cash under the AAdvantage Agreements, certain reserve accounts, the equity of each of Loyalty Issuer and the SPV Guarantors and substantially all other assets of Loyalty Issuer and the SPV Guarantors including American’s rights to certain data and other intellectual property used in the AAdvantage program (subject to certain exceptions) (collectively, the AAdvantage Collateral).</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will be repaid in quarterly installments of $292 million on each AAdvantage Payment Date, beginning on July 20, 2023. The outstanding principal on the 2029 Notes will be repaid in quarterly installments of $250 million on each AAdvantage Payment Date, beginning on July 20, 2026.</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AAdvantage Loans bear interest at a variable rate equal to LIBOR (but not less than 0.75% per annum), plus a margin of 4.75% per annum, payable on each AAdvantage Payment Date. The outstanding principal on the AAdvantage Loans will be repaid in quarterly installments of $ 175 million, on each AAdvantage Payment Date beginning with the AAdvantage Payment Date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2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sales exceeding $505 million.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EETCs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2021-1 Aircraft EETCs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November 2021, American created two pass-through trusts which issued $960 million aggregate face amount of Series 2021-1 Class A and Class B EETCs (the 2021-1 Aircraft EETCs) in connection with the financing of 26 aircraft previously delivered or originally scheduled to be delivered to American through September 2022 (the 2021-1 Aircraft). In 2021, $94 million of the proceeds had been used to purchase equipment notes issued by American in connection with the financing of five aircraft under the 2021-1 Aircraft EETCs, all of which was used to repay existing indebtedness. During 2022, $866 million of proceeds had been used to purchase equipment notes issued by American in connection with the financing of 21 aircraft under the 2021-1 Aircraft EETCs. As of December 31, 2022, there are no remaining proceeds held in escrow, and all proceeds have been used to purchase equipment notes issued by American. Interest and principal payments on equipment notes issued in connection with the 2021-1 Aircraft EETCs are payable semi-annually in January and July of each year. Interest payments began in July 2022 and principal payments began in January 2023.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2021-1 Aircraft EETC equipment notes, as of December 31, 2022, is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31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2021-1 Aircraft EETCs</w:t>
            </w:r>
          </w:p>
        </w:tc>
      </w:tr>
      <w:tr>
        <w:trPr>
          <w:trHeight w:val="196"/>
        </w:trPr>
        <w:tc>
          <w:tcPr>
            <w:tcW w:w="810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A</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$758 million</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 million</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Fixed interest rate per annum</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2.875%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3.95%</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July 2034</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July 2030</w:t>
            </w:r>
          </w:p>
        </w:tc>
      </w:tr>
    </w:tbl>
    <w:p>
      <w:pPr>
        <w:spacing w:after="0" w:line="3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Equipment Loans and Other Notes Payable Issued in 2022</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 American entered into agreements under which it borrowed $205 million in connection with the financing of certain aircraft. Debt incurred under these agreements mature in 2034 and bear interest at variable rates (comprised of the Secured Overnight Financing Rate (SOFR) plus an applicable margin) averaging 6.77% as of December 31, 2022.</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Special Facility Revenue Bonds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January 2020, American and British Airways announced the start of construction projects to upgrade New York's JFK Terminal 8. The construction project is expected to be fully completed in early 2023 and is estimated to cost $439 million, of which $298 million was funded with proceeds of the special facility revenue bonds issued by the New York Transportation Development Corporation (NYTDC) on behalf of American in June 2020 (the 2020 JFK Bonds) and approximately $84 million of which was funded with proceeds of the approximately $150 million of special facility revenue bonds NYTDC issued in June 2021 (the 2021 JFK Bonds).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is required to pay debt service on the 2021 JFK Bonds through payments under a loan agreement with NYTDC (as amended), and American and AAG guarantee the 2021 JFK Bonds. American continues to pay debt service on the outstanding bonds issued by NYTDC on behalf of American in 2016 and 2020 (the 2016 and 2020 JFK Bonds) and American and AAG continue to guarantee the 2016 and 2020 JFK Bonds. American’s and AAG’s obligations under these guarantees are secured by a leasehold mortgage on American’s lease of Terminal 8 and related property from the Port Authority of New York and New Jersey.</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2021 JFK Bonds, in aggregate, were priced at par value. The gross proceeds from the issuance of the 2021 JFK Bonds were approximately $150 million. Of this amount, $4 million was used to fund the costs of issuance of the 2021 JFK Bonds, $62 million was used to fund the redemption of the 2016 and 2020 JFK Bonds due August 2021, with the remaining amount of proceeds received held in restricted cash and short-term investments on the consolidated balance sheet and to be used to finance a portion of the cost of the renovation and expansion of Terminal 8. The 2021 JFK Bonds are comprised of term bonds, $70 million of which bear interest at 2.25% per annum and mature on August 1, 2026, and $80 million of which bear interest at 3.00% per annum and mature on August 1, 2031. As of December 31, 2022, $72 million of proceeds funded by the issuance of the 2020 and 2021 JFK Bonds are included in restricted cash and short-term investments on the accompanying consolidated balance sheet.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PSP Promissory Notes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 Agreements, AAG issued promissory notes to Treasury (PSP1 Promissory Note, PSP2 Promissory Note and PSP3 Promissory Note, collectively the PSP Promissory Notes), in the aggregate principal sum of $3.7 billion which provides for the guarantee of our obligations under the PSP Promissory Notes by the Subsidiaries.</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PSP Promissory Notes bear interest on the outstanding principal amount at a rate equal to 1.00% per annum until the fifth anniversary of the applicable PSP closing date and 2.00% plus an interest rate based on SOFR per annum or other benchmark replacement rate consistent with customary market conventions (but not to be less than 0.00%) thereafter until the tenth anniversary of the applicable PSP closing date, and interest accrued thereon will be payable in arrears on the last business day of March and September of each year. The aggregate principal amount outstanding under the PSP Promissory Notes, together with all accrued and unpaid interest thereon and all other amounts payable under the PSP Promissory Notes, will be due and payable on the maturity date.</w:t>
      </w:r>
    </w:p>
    <w:p>
      <w:pPr>
        <w:spacing w:after="0" w:line="12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PSP Promissory Notes are our senior unsecured obligation and each guarantee of the PSP Promissory Notes is the senior unsecured obligation of each of the Subsidiaries,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at any time and from time to time, voluntarily prepay amounts outstanding under the PSP Promissory Notes, in whole or in part, without penalty or premium. Within 30 days of the occurrence of certain change of control triggering events, we are required to prepay the aggregate outstanding principal amount of the PSP Promissory Notes at such time, together with any accrued interest or other amounts owing under the PSP Promissory Notes at such time.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6.50% Convertible Senior Notes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June 2020, AAG completed the public offering of $1.0 billion aggregate principal amount of AAG’s 6.50% convertible senior notes due 2025 (the Convertible Notes). The Convertible Notes are fully and unconditionally guaranteed by American on a senior unsecured basis (the Convertible Notes Guarantee). The net proceeds from the Convertible Notes were approximately $970 million, after deducting the underwriters’ discounts and commissions and our estimated offering expenses.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Convertible Notes bear interest at a rate of 6.50% per annum. Interest on the Convertible Notes is payable semiannually in arrears on January 1 and July 1 of each year, which began on January 1, 2021. The Convertible Notes will mature on July 1, 2025, unless earlier converted, redeemed or repurchased by us.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Upon conversion, AAG will pay or deliver, as the case may be, cash, shares of AAG common stock or a combination of cash and shares of AAG common stock, at AAG’s election. The initial conversion rate is 61.7284 shares of AAG common stock per $1,000 principal amount of Convertible Notes (equivalent to an initial conversion price of approximately $16.20 per share of AAG common stock). The conversion rate is subject to adjustment in some events as described in the Convertible Notes Indenture.</w:t>
      </w:r>
    </w:p>
    <w:p>
      <w:pPr>
        <w:spacing w:after="0" w:line="12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Holders may convert their Convertible Notes at their option only in the following circumstances: (1) during any calendar quarter (and only during such calendar quarter) commencing after the calendar quarter ending on September 30, 2020, if the last reported sale price per share of AAG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Convertible Notes for each trading day of the measurement period was less than 98% of the product of the last reported sale price per share of AAG common stock on such trading day and the conversion rate on such trading day; (3) upon the occurrence of certain corporate events or distributions on AAG common stock; (4) if AAG calls such Convertible Notes for redemption; and (5) at any time from, and including, April 1, 2025 until the close of business on the scheduled trading day immediately before the maturity date of the Convertible Notes.</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following certain corporate events that occur prior to the maturity date or upon AAG’s issuance of a notice of redemption, AAG will increase the conversion rate for a holder who elects to convert its Convertible Notes in connection with such corporate event or during the related redemption period in certain circumstances by a specified number of shares of AAG common stock as described in the Convertible Notes Indenture.</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AAG will not have the right to redeem the Convertible Notes prior to July 5, 2023. On or after July 5, 2023 and on or before the 20th scheduled trading day immediately before the maturity date, AAG may redeem the Convertible Notes, in whole or in part, if the last reported sale price of AAG common stock has been at least 130% of the conversion price then in effect on (1) each of at least 20 trading days (whether or not consecutive) during the 30 consecutive trading days ending on, and including, the trading day immediately before the date AAG sends the related redemption notice; and (2) the trading day immediately before the date AAG sends such notice. In the case of any optional redemption, AAG will redeem the Convertible Notes at a redemption price equal to 100% of the principal amount of such Convertible Notes to be redeemed, plus accrued and unpaid interest to, but excluding, the redemption date.</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relating to the Convertible Notes as of December 31, 2022 and 2021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5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44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w:t>
            </w:r>
          </w:p>
        </w:tc>
        <w:tc>
          <w:tcPr>
            <w:tcW w:w="44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4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399"/>
              <w:spacing w:after="0"/>
              <w:rPr>
                <w:sz w:val="20"/>
                <w:szCs w:val="20"/>
                <w:color w:val="auto"/>
              </w:rPr>
            </w:pPr>
            <w:r>
              <w:rPr>
                <w:rFonts w:ascii="Arial" w:cs="Arial" w:eastAsia="Arial" w:hAnsi="Arial"/>
                <w:sz w:val="18"/>
                <w:szCs w:val="18"/>
                <w:color w:val="auto"/>
              </w:rPr>
              <w:t>109</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38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2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effective interest rate for the Convertible Notes was 7% for each of the years ended December 31, 2022 and 2021, and 20% for the year ended December 31, 2020. As of January 1, 2021, we early adopted ASU 2020-06 related to convertible instruments. Accordingly, our unamortized debt discount as of January 1, 2021 was reduced by $389 million, increasing the liability and decreasing the effective interest rate on the Convertible Notes from approximately 20% at December 31, 2020 to approximately 7% at December 31, 2021. Interest recognized for the Convertible Notes is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9"/>
        </w:trPr>
        <w:tc>
          <w:tcPr>
            <w:tcW w:w="64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coupon interest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amortization of debt discount</w:t>
            </w: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At December 31, 2022, the if-converted value of the Convertible Notes did not exceed the principal amount. The last reported sale price per share of our common stock (as defined in the Convertible Notes Indenture) did not exceed 130% of the conversion price of the Convertible Notes for at least 20 of the 30 consecutive trading days ending on December 31, 2022. Accordingly, pursuant to the terms of the Convertible Notes Indenture, the holders of the Convertible Notes cannot convert at their option at any time during the quarter ending March 31, 2023.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12" w:lineRule="exact"/>
        <w:rPr>
          <w:sz w:val="20"/>
          <w:szCs w:val="20"/>
          <w:color w:val="auto"/>
        </w:rPr>
      </w:pPr>
    </w:p>
    <w:p>
      <w:pPr>
        <w:ind w:left="260" w:right="8680" w:hanging="9"/>
        <w:spacing w:after="0" w:line="343" w:lineRule="auto"/>
        <w:tabs>
          <w:tab w:leader="none" w:pos="48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Unsecured Senior Notes </w:t>
      </w:r>
      <w:r>
        <w:rPr>
          <w:rFonts w:ascii="Arial" w:cs="Arial" w:eastAsia="Arial" w:hAnsi="Arial"/>
          <w:sz w:val="18"/>
          <w:szCs w:val="18"/>
          <w:i w:val="1"/>
          <w:iCs w:val="1"/>
          <w:u w:val="single" w:color="auto"/>
          <w:color w:val="auto"/>
        </w:rPr>
        <w:t>3.75% Senior Notes</w:t>
      </w:r>
    </w:p>
    <w:p>
      <w:pPr>
        <w:jc w:val="both"/>
        <w:ind w:firstLine="243"/>
        <w:spacing w:after="0" w:line="268" w:lineRule="auto"/>
        <w:rPr>
          <w:sz w:val="20"/>
          <w:szCs w:val="20"/>
          <w:color w:val="auto"/>
        </w:rPr>
      </w:pPr>
      <w:r>
        <w:rPr>
          <w:rFonts w:ascii="Arial" w:cs="Arial" w:eastAsia="Arial" w:hAnsi="Arial"/>
          <w:sz w:val="18"/>
          <w:szCs w:val="18"/>
          <w:color w:val="auto"/>
        </w:rPr>
        <w:t>In February 2020, AAG issued $500 million aggregate principal amount of 3.75% senior notes due 2025 (the 3.75% Senior Notes). The 3.75% Senior Notes bear interest at a rate of 3.75% per annum, payable semiannually in arrears in March and September of each year, which began in September 2020. The 3.75% Senior Notes mature in March 2025.</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3.75% Senior Notes are senior unsecured obligations of AAG. These Senior Notes are fully and unconditionally guaranteed by American. The indentures for these Senior Notes contain covenants and events of default generally customary for similar financings.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year ended December 31, 2022, we repurchased $349 million of unsecured notes in the open market.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Guarantees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2022, AAG had issued guarantees covering approximately $18.3 billion of American’s secured debt (and interest thereon), including the Credit Facilities, the AAdvantage Financing, certain EETC financings and $1.1 billion of American’s special facility revenue bonds (and interest thereon).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revolving credit facilities, and our AAdvantage Financing contains a peak debt service coverage ratio, pursuant to which failure to comply with a certain threshold may result in early repayment, in whole or in part, of the AAdvantage Financing.</w:t>
      </w:r>
    </w:p>
    <w:p>
      <w:pPr>
        <w:spacing w:after="0" w:line="99"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Specifically, we are required to meet certain collateral coverage tests for our Credit Facilities, April 2016 Revolving Facility, 10.75% Senior Secured Notes and 11.75% Senior Secured Notes, as described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100" w:right="140" w:hanging="80"/>
        <w:spacing w:after="0" w:line="246" w:lineRule="auto"/>
        <w:rPr>
          <w:sz w:val="20"/>
          <w:szCs w:val="20"/>
          <w:color w:val="auto"/>
        </w:rPr>
      </w:pPr>
      <w:r>
        <w:rPr>
          <w:rFonts w:ascii="Arial" w:cs="Arial" w:eastAsia="Arial" w:hAnsi="Arial"/>
          <w:sz w:val="16"/>
          <w:szCs w:val="16"/>
          <w:color w:val="auto"/>
        </w:rPr>
        <w:t>Frequency of Appraisals of Appraised Collateral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LTV Requirement</w:t>
      </w:r>
    </w:p>
    <w:p>
      <w:pPr>
        <w:spacing w:after="0" w:line="32" w:lineRule="exact"/>
        <w:rPr>
          <w:sz w:val="20"/>
          <w:szCs w:val="20"/>
          <w:color w:val="auto"/>
        </w:rPr>
      </w:pPr>
    </w:p>
    <w:p>
      <w:pPr>
        <w:ind w:left="100" w:hanging="80"/>
        <w:spacing w:after="0" w:line="251" w:lineRule="auto"/>
        <w:rPr>
          <w:sz w:val="20"/>
          <w:szCs w:val="20"/>
          <w:color w:val="auto"/>
        </w:rPr>
      </w:pPr>
      <w:r>
        <w:rPr>
          <w:rFonts w:ascii="Arial" w:cs="Arial" w:eastAsia="Arial" w:hAnsi="Arial"/>
          <w:sz w:val="16"/>
          <w:szCs w:val="16"/>
          <w:color w:val="auto"/>
        </w:rPr>
        <w:t>LTV as of Last Measurement Date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Collateral Description</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2013 Credit</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2014 Credit</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April 2016</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10.75% Senior Secured</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11.75% Senior Secured</w:t>
            </w:r>
          </w:p>
        </w:tc>
      </w:tr>
      <w:tr>
        <w:trPr>
          <w:trHeight w:val="185"/>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Revolving Facility</w:t>
            </w:r>
          </w:p>
        </w:tc>
        <w:tc>
          <w:tcPr>
            <w:tcW w:w="8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r>
      <w:tr>
        <w:trPr>
          <w:trHeight w:val="275"/>
        </w:trPr>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rPr>
              <w:t>Annual</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Annual</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color w:val="auto"/>
              </w:rPr>
              <w:t>Annual</w:t>
            </w:r>
          </w:p>
        </w:tc>
        <w:tc>
          <w:tcPr>
            <w:tcW w:w="1840" w:type="dxa"/>
            <w:vAlign w:val="bottom"/>
            <w:gridSpan w:val="2"/>
          </w:tcPr>
          <w:p>
            <w:pPr>
              <w:jc w:val="center"/>
              <w:ind w:right="60"/>
              <w:spacing w:after="0"/>
              <w:rPr>
                <w:sz w:val="20"/>
                <w:szCs w:val="20"/>
                <w:color w:val="auto"/>
              </w:rPr>
            </w:pPr>
            <w:r>
              <w:rPr>
                <w:rFonts w:ascii="Arial" w:cs="Arial" w:eastAsia="Arial" w:hAnsi="Arial"/>
                <w:sz w:val="16"/>
                <w:szCs w:val="16"/>
                <w:color w:val="auto"/>
              </w:rPr>
              <w:t>Annual</w:t>
            </w:r>
          </w:p>
        </w:tc>
        <w:tc>
          <w:tcPr>
            <w:tcW w:w="1760" w:type="dxa"/>
            <w:vAlign w:val="bottom"/>
          </w:tcPr>
          <w:p>
            <w:pPr>
              <w:jc w:val="center"/>
              <w:spacing w:after="0"/>
              <w:rPr>
                <w:sz w:val="20"/>
                <w:szCs w:val="20"/>
                <w:color w:val="auto"/>
              </w:rPr>
            </w:pPr>
            <w:r>
              <w:rPr>
                <w:rFonts w:ascii="Arial" w:cs="Arial" w:eastAsia="Arial" w:hAnsi="Arial"/>
                <w:sz w:val="16"/>
                <w:szCs w:val="16"/>
                <w:color w:val="auto"/>
              </w:rPr>
              <w:t>Semi-Annual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-186690</wp:posOffset>
            </wp:positionV>
            <wp:extent cx="7132320"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1.6x Collateral valuation to amount of debt outstanding (62.5% LTV)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20955</wp:posOffset>
            </wp:positionV>
            <wp:extent cx="713232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760" w:type="dxa"/>
            <w:vAlign w:val="bottom"/>
          </w:tcPr>
          <w:p>
            <w:pPr>
              <w:jc w:val="center"/>
              <w:ind w:right="19"/>
              <w:spacing w:after="0"/>
              <w:rPr>
                <w:sz w:val="20"/>
                <w:szCs w:val="20"/>
                <w:color w:val="auto"/>
              </w:rPr>
            </w:pPr>
            <w:r>
              <w:rPr>
                <w:rFonts w:ascii="Arial" w:cs="Arial" w:eastAsia="Arial" w:hAnsi="Arial"/>
                <w:sz w:val="16"/>
                <w:szCs w:val="16"/>
                <w:color w:val="auto"/>
              </w:rPr>
              <w:t>34.4%</w:t>
            </w:r>
          </w:p>
        </w:tc>
        <w:tc>
          <w:tcPr>
            <w:tcW w:w="1820" w:type="dxa"/>
            <w:vAlign w:val="bottom"/>
          </w:tcPr>
          <w:p>
            <w:pPr>
              <w:jc w:val="center"/>
              <w:spacing w:after="0"/>
              <w:rPr>
                <w:sz w:val="20"/>
                <w:szCs w:val="20"/>
                <w:color w:val="auto"/>
              </w:rPr>
            </w:pPr>
            <w:r>
              <w:rPr>
                <w:rFonts w:ascii="Arial" w:cs="Arial" w:eastAsia="Arial" w:hAnsi="Arial"/>
                <w:sz w:val="16"/>
                <w:szCs w:val="16"/>
                <w:color w:val="auto"/>
              </w:rPr>
              <w:t>17.8%</w:t>
            </w:r>
          </w:p>
        </w:tc>
        <w:tc>
          <w:tcPr>
            <w:tcW w:w="1860" w:type="dxa"/>
            <w:vAlign w:val="bottom"/>
          </w:tcPr>
          <w:p>
            <w:pPr>
              <w:jc w:val="center"/>
              <w:spacing w:after="0"/>
              <w:rPr>
                <w:sz w:val="20"/>
                <w:szCs w:val="20"/>
                <w:color w:val="auto"/>
              </w:rPr>
            </w:pPr>
            <w:r>
              <w:rPr>
                <w:rFonts w:ascii="Arial" w:cs="Arial" w:eastAsia="Arial" w:hAnsi="Arial"/>
                <w:sz w:val="16"/>
                <w:szCs w:val="16"/>
                <w:color w:val="auto"/>
              </w:rPr>
              <w:t>Not Applicable</w:t>
            </w:r>
          </w:p>
        </w:tc>
        <w:tc>
          <w:tcPr>
            <w:tcW w:w="1820" w:type="dxa"/>
            <w:vAlign w:val="bottom"/>
          </w:tcPr>
          <w:p>
            <w:pPr>
              <w:jc w:val="center"/>
              <w:spacing w:after="0"/>
              <w:rPr>
                <w:sz w:val="20"/>
                <w:szCs w:val="20"/>
                <w:color w:val="auto"/>
              </w:rPr>
            </w:pPr>
            <w:r>
              <w:rPr>
                <w:rFonts w:ascii="Arial" w:cs="Arial" w:eastAsia="Arial" w:hAnsi="Arial"/>
                <w:sz w:val="18"/>
                <w:szCs w:val="18"/>
                <w:color w:val="auto"/>
              </w:rPr>
              <w:t>7.2%</w:t>
            </w:r>
          </w:p>
        </w:tc>
        <w:tc>
          <w:tcPr>
            <w:tcW w:w="1760" w:type="dxa"/>
            <w:vAlign w:val="bottom"/>
          </w:tcPr>
          <w:p>
            <w:pPr>
              <w:jc w:val="center"/>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9"/>
        </w:trPr>
        <w:tc>
          <w:tcPr>
            <w:tcW w:w="1760" w:type="dxa"/>
            <w:vAlign w:val="bottom"/>
            <w:vMerge w:val="restart"/>
          </w:tcPr>
          <w:p>
            <w:pPr>
              <w:jc w:val="center"/>
              <w:spacing w:after="0"/>
              <w:rPr>
                <w:sz w:val="20"/>
                <w:szCs w:val="20"/>
                <w:color w:val="auto"/>
              </w:rPr>
            </w:pPr>
            <w:r>
              <w:rPr>
                <w:rFonts w:ascii="Arial" w:cs="Arial" w:eastAsia="Arial" w:hAnsi="Arial"/>
                <w:sz w:val="16"/>
                <w:szCs w:val="16"/>
                <w:color w:val="auto"/>
              </w:rPr>
              <w:t>Generally, certain slots,</w:t>
            </w:r>
          </w:p>
        </w:tc>
        <w:tc>
          <w:tcPr>
            <w:tcW w:w="1820" w:type="dxa"/>
            <w:vAlign w:val="bottom"/>
          </w:tcPr>
          <w:p>
            <w:pPr>
              <w:jc w:val="center"/>
              <w:spacing w:after="0"/>
              <w:rPr>
                <w:sz w:val="20"/>
                <w:szCs w:val="20"/>
                <w:color w:val="auto"/>
              </w:rPr>
            </w:pPr>
            <w:r>
              <w:rPr>
                <w:rFonts w:ascii="Arial" w:cs="Arial" w:eastAsia="Arial" w:hAnsi="Arial"/>
                <w:sz w:val="16"/>
                <w:szCs w:val="16"/>
                <w:color w:val="auto"/>
              </w:rPr>
              <w:t>Generally, certain slots,</w:t>
            </w:r>
          </w:p>
        </w:tc>
        <w:tc>
          <w:tcPr>
            <w:tcW w:w="1860" w:type="dxa"/>
            <w:vAlign w:val="bottom"/>
          </w:tcPr>
          <w:p>
            <w:pPr>
              <w:spacing w:after="0"/>
              <w:rPr>
                <w:sz w:val="20"/>
                <w:szCs w:val="20"/>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rPr>
              <w:t>Generally, certain DCA</w:t>
            </w:r>
          </w:p>
        </w:tc>
        <w:tc>
          <w:tcPr>
            <w:tcW w:w="1760" w:type="dxa"/>
            <w:vAlign w:val="bottom"/>
          </w:tcPr>
          <w:p>
            <w:pPr>
              <w:jc w:val="center"/>
              <w:spacing w:after="0"/>
              <w:rPr>
                <w:sz w:val="20"/>
                <w:szCs w:val="20"/>
                <w:color w:val="auto"/>
              </w:rPr>
            </w:pPr>
            <w:r>
              <w:rPr>
                <w:rFonts w:ascii="Arial" w:cs="Arial" w:eastAsia="Arial" w:hAnsi="Arial"/>
                <w:sz w:val="16"/>
                <w:szCs w:val="16"/>
                <w:color w:val="auto"/>
              </w:rPr>
              <w:t>Generally, certain slots,</w:t>
            </w:r>
          </w:p>
        </w:tc>
        <w:tc>
          <w:tcPr>
            <w:tcW w:w="0" w:type="dxa"/>
            <w:vAlign w:val="bottom"/>
          </w:tcPr>
          <w:p>
            <w:pPr>
              <w:spacing w:after="0"/>
              <w:rPr>
                <w:sz w:val="1"/>
                <w:szCs w:val="1"/>
                <w:color w:val="auto"/>
              </w:rPr>
            </w:pPr>
          </w:p>
        </w:tc>
      </w:tr>
      <w:tr>
        <w:trPr>
          <w:trHeight w:val="162"/>
        </w:trPr>
        <w:tc>
          <w:tcPr>
            <w:tcW w:w="1760" w:type="dxa"/>
            <w:vAlign w:val="bottom"/>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route authorities and</w:t>
            </w:r>
          </w:p>
        </w:tc>
        <w:tc>
          <w:tcPr>
            <w:tcW w:w="186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route authorities and</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route authorities and</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airport gate leasehold</w:t>
            </w:r>
          </w:p>
        </w:tc>
        <w:tc>
          <w:tcPr>
            <w:tcW w:w="18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slots, certain LGA slots,</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airport gate leasehold</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airport gate leasehold</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rights used by</w:t>
            </w:r>
          </w:p>
        </w:tc>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Generally, certain spare</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certain simulators and</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rights used by</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rights used by</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American to operate</w:t>
            </w:r>
          </w:p>
        </w:tc>
        <w:tc>
          <w:tcPr>
            <w:tcW w:w="1860" w:type="dxa"/>
            <w:vAlign w:val="bottom"/>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certain leasehold rights</w:t>
            </w:r>
          </w:p>
        </w:tc>
        <w:tc>
          <w:tcPr>
            <w:tcW w:w="1760" w:type="dxa"/>
            <w:vAlign w:val="bottom"/>
          </w:tcPr>
          <w:p>
            <w:pPr>
              <w:jc w:val="center"/>
              <w:ind w:left="18"/>
              <w:spacing w:after="0" w:line="162" w:lineRule="exact"/>
              <w:rPr>
                <w:sz w:val="20"/>
                <w:szCs w:val="20"/>
                <w:color w:val="auto"/>
              </w:rPr>
            </w:pPr>
            <w:r>
              <w:rPr>
                <w:rFonts w:ascii="Arial" w:cs="Arial" w:eastAsia="Arial" w:hAnsi="Arial"/>
                <w:sz w:val="16"/>
                <w:szCs w:val="16"/>
                <w:color w:val="auto"/>
              </w:rPr>
              <w:t>American to operate</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American to operate all</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certain services</w:t>
            </w:r>
          </w:p>
        </w:tc>
        <w:tc>
          <w:tcPr>
            <w:tcW w:w="1860" w:type="dxa"/>
            <w:vAlign w:val="bottom"/>
          </w:tcPr>
          <w:p>
            <w:pPr>
              <w:jc w:val="center"/>
              <w:spacing w:after="0" w:line="162" w:lineRule="exact"/>
              <w:rPr>
                <w:sz w:val="20"/>
                <w:szCs w:val="20"/>
                <w:color w:val="auto"/>
              </w:rPr>
            </w:pPr>
            <w:r>
              <w:rPr>
                <w:rFonts w:ascii="Arial" w:cs="Arial" w:eastAsia="Arial" w:hAnsi="Arial"/>
                <w:sz w:val="16"/>
                <w:szCs w:val="16"/>
                <w:color w:val="auto"/>
              </w:rPr>
              <w:t>parts</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and, in the case of the</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certain services</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services between the</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between the U.S. and</w:t>
            </w:r>
          </w:p>
        </w:tc>
        <w:tc>
          <w:tcPr>
            <w:tcW w:w="18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IP Notes, certain</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between the U.S. and</w:t>
            </w:r>
          </w:p>
        </w:tc>
        <w:tc>
          <w:tcPr>
            <w:tcW w:w="0" w:type="dxa"/>
            <w:vAlign w:val="bottom"/>
          </w:tcPr>
          <w:p>
            <w:pPr>
              <w:spacing w:after="0"/>
              <w:rPr>
                <w:sz w:val="1"/>
                <w:szCs w:val="1"/>
                <w:color w:val="auto"/>
              </w:rPr>
            </w:pPr>
          </w:p>
        </w:tc>
      </w:tr>
      <w:tr>
        <w:trPr>
          <w:trHeight w:val="162"/>
        </w:trPr>
        <w:tc>
          <w:tcPr>
            <w:tcW w:w="1760" w:type="dxa"/>
            <w:vAlign w:val="bottom"/>
          </w:tcPr>
          <w:p>
            <w:pPr>
              <w:jc w:val="center"/>
              <w:ind w:right="19"/>
              <w:spacing w:after="0" w:line="162" w:lineRule="exact"/>
              <w:rPr>
                <w:sz w:val="20"/>
                <w:szCs w:val="20"/>
                <w:color w:val="auto"/>
              </w:rPr>
            </w:pPr>
            <w:r>
              <w:rPr>
                <w:rFonts w:ascii="Arial" w:cs="Arial" w:eastAsia="Arial" w:hAnsi="Arial"/>
                <w:sz w:val="16"/>
                <w:szCs w:val="16"/>
                <w:color w:val="auto"/>
              </w:rPr>
              <w:t>U.S. and South</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European Union</w:t>
            </w:r>
          </w:p>
        </w:tc>
        <w:tc>
          <w:tcPr>
            <w:tcW w:w="18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intellectual property of</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the Caribbean, Central</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America</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(including London</w:t>
            </w:r>
          </w:p>
        </w:tc>
        <w:tc>
          <w:tcPr>
            <w:tcW w:w="18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American</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America and various</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Heathrow)</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rPr>
              <w:t>other countries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00" w:space="40"/>
            <w:col w:w="9100"/>
          </w:cols>
          <w:pgMar w:left="320" w:top="121" w:right="339" w:bottom="1440" w:gutter="0" w:footer="0" w:header="0"/>
          <w:type w:val="continuous"/>
        </w:sectPr>
      </w:pP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2022, we were in compliance with the applicable collateral coverage tests as of the most recent measurement 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We lease certain aircraft and engines, including aircraft under capacity purchase agreements. As of December 31, 2022, we operated 722 leased aircraft, with remaining terms ranging from less than one year to 11 years.</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Because of the variable nature of these rates, these leases are not recorded on our consolidated balance sheets as a ROU asset or a lease liability. Additionally, at our hub locations and in certain other cities we serve, we lease administrative offices, catering, cargo, training, maintenance and other facilities.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Included in the table above is $242 million, $190 million and $ 172 million of operating lease cost under our capacity purchase agreement with Republic for the years ended December 31, 2022, 2021 and 2020, respectively. We hold a 25% equity interest in Republic Holdings, the parent company of Republic.</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Additionally, not included in the table above, we recognized $109 million in cash special charges in 2020 related to the impairment of ROU assets and lease return costs resulting from our decision to retire certain leased aircraft earlier than planned driven by the severe decline in air travel due to the COVID-19 pandemic.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2021</w:t>
            </w:r>
          </w:p>
        </w:tc>
      </w:tr>
      <w:tr>
        <w:trPr>
          <w:trHeight w:val="211"/>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28"/>
              <w:spacing w:after="0"/>
              <w:rPr>
                <w:sz w:val="20"/>
                <w:szCs w:val="20"/>
                <w:color w:val="auto"/>
              </w:rPr>
            </w:pPr>
            <w:r>
              <w:rPr>
                <w:rFonts w:ascii="Arial" w:cs="Arial" w:eastAsia="Arial" w:hAnsi="Arial"/>
                <w:sz w:val="18"/>
                <w:szCs w:val="18"/>
                <w:color w:val="auto"/>
              </w:rPr>
              <w:t>8,094</w:t>
            </w:r>
          </w:p>
        </w:tc>
        <w:tc>
          <w:tcPr>
            <w:tcW w:w="56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7,850</w:t>
            </w: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28"/>
              <w:spacing w:after="0"/>
              <w:rPr>
                <w:sz w:val="20"/>
                <w:szCs w:val="20"/>
                <w:color w:val="auto"/>
              </w:rPr>
            </w:pPr>
            <w:r>
              <w:rPr>
                <w:rFonts w:ascii="Arial" w:cs="Arial" w:eastAsia="Arial" w:hAnsi="Arial"/>
                <w:sz w:val="18"/>
                <w:szCs w:val="18"/>
                <w:color w:val="auto"/>
              </w:rPr>
              <w:t>1,465</w:t>
            </w:r>
          </w:p>
        </w:tc>
        <w:tc>
          <w:tcPr>
            <w:tcW w:w="56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1,507</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6,559</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6,610</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8,024</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8,117</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at cost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1,364</w:t>
            </w:r>
          </w:p>
        </w:tc>
        <w:tc>
          <w:tcPr>
            <w:tcW w:w="56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1,201</w:t>
            </w: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amortization</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(653)</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585</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548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finance lease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216</w:t>
            </w:r>
          </w:p>
        </w:tc>
        <w:tc>
          <w:tcPr>
            <w:tcW w:w="56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174</w:t>
            </w: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finance lease liabilities</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563</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761</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737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463"/>
        </w:trPr>
        <w:tc>
          <w:tcPr>
            <w:tcW w:w="7500" w:type="dxa"/>
            <w:vAlign w:val="bottom"/>
            <w:gridSpan w:val="3"/>
          </w:tcPr>
          <w:p>
            <w:pPr>
              <w:ind w:left="260"/>
              <w:spacing w:after="0"/>
              <w:rPr>
                <w:sz w:val="20"/>
                <w:szCs w:val="20"/>
                <w:color w:val="auto"/>
              </w:rPr>
            </w:pPr>
            <w:r>
              <w:rPr>
                <w:rFonts w:ascii="Arial" w:cs="Arial" w:eastAsia="Arial" w:hAnsi="Arial"/>
                <w:sz w:val="18"/>
                <w:szCs w:val="18"/>
                <w:color w:val="auto"/>
                <w:w w:val="99"/>
              </w:rPr>
              <w:t>Supplemental cash flow and other information related to leases was as follows (in millions):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9"/>
        </w:trPr>
        <w:tc>
          <w:tcPr>
            <w:tcW w:w="65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196"/>
        </w:trPr>
        <w:tc>
          <w:tcPr>
            <w:tcW w:w="65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tcPr>
          <w:p>
            <w:pPr>
              <w:jc w:val="right"/>
              <w:ind w:right="5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1,990</w:t>
            </w:r>
          </w:p>
        </w:tc>
        <w:tc>
          <w:tcPr>
            <w:tcW w:w="1100" w:type="dxa"/>
            <w:vAlign w:val="bottom"/>
            <w:gridSpan w:val="3"/>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126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ROU assets acquired through operating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Property and equipment acquired through 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conversion to finance lease</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9"/>
              </w:rPr>
              <w:t>102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Finance lease conversion to operating lease</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gridSpan w:val="3"/>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8"/>
                <w:szCs w:val="18"/>
                <w:color w:val="auto"/>
              </w:rPr>
              <w:t>Gain on sale leaseback transactions, net</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737"/>
        </w:trPr>
        <w:tc>
          <w:tcPr>
            <w:tcW w:w="6540" w:type="dxa"/>
            <w:vAlign w:val="bottom"/>
          </w:tcPr>
          <w:p>
            <w:pPr>
              <w:ind w:left="5480"/>
              <w:spacing w:after="0"/>
              <w:rPr>
                <w:sz w:val="20"/>
                <w:szCs w:val="20"/>
                <w:color w:val="auto"/>
              </w:rPr>
            </w:pPr>
            <w:r>
              <w:rPr>
                <w:rFonts w:ascii="Arial" w:cs="Arial" w:eastAsia="Arial" w:hAnsi="Arial"/>
                <w:sz w:val="18"/>
                <w:szCs w:val="18"/>
                <w:color w:val="auto"/>
              </w:rPr>
              <w:t>112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1"/>
        </w:trPr>
        <w:tc>
          <w:tcPr>
            <w:tcW w:w="65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Maturities of lease liabilities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7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7"/>
                <w:szCs w:val="17"/>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Finance Leases</w:t>
            </w:r>
          </w:p>
        </w:tc>
      </w:tr>
      <w:tr>
        <w:trPr>
          <w:trHeight w:val="22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8"/>
              </w:rPr>
              <w:t>(2,751)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obligations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8"/>
              </w:rPr>
              <w:t>(1,465)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48"/>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lease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As of December 31, 2022, we had additional operating lease commitments that have not yet commenced of approximately $1.1 billion for nine Boeing 787 Family aircraft scheduled to be delivered in 2023 through 2024 with lease terms of 10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components of the income tax provision (benefit) were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State, local and foreign</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(2,335)</w:t>
            </w: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income tax provision (benefit)</w:t>
            </w: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 (benefit)</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(benefit) differed from amounts computed at the statutory federal income tax rate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1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provision (benefit)</w:t>
            </w:r>
          </w:p>
        </w:tc>
        <w:tc>
          <w:tcPr>
            <w:tcW w:w="10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State, local and foreign income tax benefit, net of federal tax effect</w:t>
            </w: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expenses not deductible for tax purposes</w:t>
            </w: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1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599"/>
              <w:spacing w:after="0"/>
              <w:rPr>
                <w:sz w:val="20"/>
                <w:szCs w:val="20"/>
                <w:color w:val="auto"/>
              </w:rPr>
            </w:pPr>
            <w:r>
              <w:rPr>
                <w:rFonts w:ascii="Arial" w:cs="Arial" w:eastAsia="Arial" w:hAnsi="Arial"/>
                <w:sz w:val="18"/>
                <w:szCs w:val="18"/>
                <w:color w:val="auto"/>
              </w:rPr>
              <w:t>113</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54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our deferred tax assets and liabilities were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Operating loss and other carryforwards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4,679</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4,612</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Loyalty program liability</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Leases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Postretirement benefits other than pensions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r>
      <w:tr>
        <w:trPr>
          <w:trHeight w:val="223"/>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Valuation allowance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7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10,345</w:t>
            </w:r>
          </w:p>
        </w:tc>
      </w:tr>
      <w:tr>
        <w:trPr>
          <w:trHeight w:val="210"/>
        </w:trPr>
        <w:tc>
          <w:tcPr>
            <w:tcW w:w="75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depreciation and amortization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Leases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2022, we had approximately $16.2 billion of gross federal net operating losses (NOLs) and $4.3 billion of other carryforwards available to reduce future federal taxable income, of which $5.9 billion will expire beginning in 2024 if unused and $ 14.6 billion can be carried forward indefinitely. We also had approximately $6.0 billion of NOL carryforwards to reduce future state taxable income at December 31, 2022, which will expire in taxable years 2022 through 2042 if unused.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13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deduct our NOL carryforwards and to utilize certain other available tax attributes can be substantially constrained under the general annual limitation rules of Section 382 where an “ownership change” has occurred. Substantially all of our remaining federal NOL carryforwards attributable to US Airways Group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ownership changes is not affected by the annual limitation rules imposed by Section 382 unless another ownership change occurs. Under the Section 382 limitation, cumulative stock ownership changes among material stockholders exceeding 50% during a rolling three-year period can potentially limit our future use of NOLs and tax credits.</w:t>
      </w:r>
    </w:p>
    <w:p>
      <w:pPr>
        <w:spacing w:after="0" w:line="12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2022, we recorded an income tax provision of $59 million, with an effective rate of approximately 32%, which was substantially non-cash. Substantially all of our income before income taxes is attributable to the United States.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Inflation Reduction Act (IRA) was enacted on August 16, 2022, which among other provisions, introduced a corporate minimum tax on certain corporations with average adjusted financial statement income over a three-tax year period in excess of $ 1.0 billion, an excise tax on certain stock repurchases by certain covered corporations for taxable years beginning after December 31, 2022, and several tax incentives to promote clean energy. Based on our current analysis and pending future guidance to be issued by the U.S. Department of Treasury, we do not believe these provisions will have a material impact on our consolidated financial statements.</w:t>
      </w:r>
    </w:p>
    <w:p>
      <w:pPr>
        <w:spacing w:after="0" w:line="12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file our tax returns as prescribed by the tax laws of the jurisdictions in which we operate. Our 2019 through 2021 tax years are still subject to examination by the Internal Revenue Service. Various state and foreign jurisdiction tax years remain open to examination and we are under examination, in administrative appeals, or engaged in tax litigation in certain jurisdictions. We believe that the effect of any assessments will not be material to our consolidated financial statements.</w:t>
      </w:r>
    </w:p>
    <w:p>
      <w:pPr>
        <w:spacing w:after="0" w:line="122"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amount of, and changes to, our uncertain tax positions were not material in any of the years presented. We accrue interest and penalties related to unrecognized tax benefits in interest expense and operating expense,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71"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7"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When available, we use quoted market prices to determine the fair value of our financial assets. If quoted market prices are not available, we measure fair value using valuation techniques that use, when possible, current market-based or independently-sourced market parameters, such as interest rates and currency rates.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primarily utilize broker quotes in a non-active market for valuation of these securities. No changes in valuation techniques or inputs occurred during the year ended December 31, 2022.</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2022</w:t>
            </w:r>
          </w:p>
        </w:tc>
        <w:tc>
          <w:tcPr>
            <w:tcW w:w="1200" w:type="dxa"/>
            <w:vAlign w:val="bottom"/>
            <w:tcBorders>
              <w:bottom w:val="single" w:sz="8" w:color="auto"/>
            </w:tcBorders>
          </w:tcPr>
          <w:p>
            <w:pPr>
              <w:spacing w:after="0"/>
              <w:rPr>
                <w:sz w:val="17"/>
                <w:szCs w:val="17"/>
                <w:color w:val="auto"/>
              </w:rPr>
            </w:pP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10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707"/>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1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2021</w:t>
            </w:r>
          </w:p>
        </w:tc>
        <w:tc>
          <w:tcPr>
            <w:tcW w:w="1200" w:type="dxa"/>
            <w:vAlign w:val="bottom"/>
            <w:tcBorders>
              <w:bottom w:val="single" w:sz="8" w:color="auto"/>
            </w:tcBorders>
          </w:tcPr>
          <w:p>
            <w:pPr>
              <w:spacing w:after="0"/>
              <w:rPr>
                <w:sz w:val="17"/>
                <w:szCs w:val="17"/>
                <w:color w:val="auto"/>
              </w:rPr>
            </w:pPr>
          </w:p>
        </w:tc>
      </w:tr>
      <w:tr>
        <w:trPr>
          <w:trHeight w:val="209"/>
        </w:trPr>
        <w:tc>
          <w:tcPr>
            <w:tcW w:w="2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100" w:type="dxa"/>
            <w:vAlign w:val="bottom"/>
            <w:tcBorders>
              <w:top w:val="single" w:sz="8" w:color="CCEEFF"/>
            </w:tcBorders>
            <w:gridSpan w:val="2"/>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20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5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r>
    </w:tbl>
    <w:p>
      <w:pPr>
        <w:spacing w:after="0" w:line="76" w:lineRule="exact"/>
        <w:rPr>
          <w:sz w:val="20"/>
          <w:szCs w:val="20"/>
          <w:color w:val="auto"/>
        </w:rPr>
      </w:pPr>
    </w:p>
    <w:p>
      <w:pPr>
        <w:ind w:left="340" w:right="20" w:hanging="332"/>
        <w:spacing w:after="0" w:line="231" w:lineRule="auto"/>
        <w:tabs>
          <w:tab w:leader="none" w:pos="334"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as of December 31, 2022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a substantial portion of the cost of the renovation and expansion of Terminal 8 at JFK.</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our equity investments in China Southern Airlines Company Limited (China Southern Airlines) and Vertical Aerospace Ltd. (Vertical) and as of December 31, 2022, our long-term investments also include GOL. See Note 8 for further information on our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December 31, 2022 and December 31, 2021, which would have been classified as Level 3 in the fair value hierarchy. The fair value of the Convertible Notes, which would have been classified as Level 2, was $1.1 billion and $1.4 billion as of December 31, 2022 and December 31, 2021, respectively.</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2021</w:t>
            </w:r>
          </w:p>
        </w:tc>
      </w:tr>
      <w:tr>
        <w:trPr>
          <w:trHeight w:val="143"/>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2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100" w:type="dxa"/>
            <w:vAlign w:val="bottom"/>
          </w:tcPr>
          <w:p>
            <w:pPr>
              <w:jc w:val="center"/>
              <w:ind w:right="242"/>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37,323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38,567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7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consolidated balance sheets. Our share of equity method investees’ financial results and changes in fair value are recorded in nonoperating other income, net on the consolidated statements of operations.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equity investments ownership interest and carrying value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rPr>
              <w:t>Ownership Interest</w:t>
            </w: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Carrying Value (in millions)</w:t>
            </w:r>
          </w:p>
        </w:tc>
      </w:tr>
      <w:tr>
        <w:trPr>
          <w:trHeight w:val="200"/>
        </w:trPr>
        <w:tc>
          <w:tcPr>
            <w:tcW w:w="2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197"/>
        </w:trPr>
        <w:tc>
          <w:tcPr>
            <w:tcW w:w="2400" w:type="dxa"/>
            <w:vAlign w:val="bottom"/>
          </w:tcPr>
          <w:p>
            <w:pPr>
              <w:spacing w:after="0"/>
              <w:rPr>
                <w:sz w:val="17"/>
                <w:szCs w:val="17"/>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Accounting Treatment</w:t>
            </w:r>
          </w:p>
        </w:tc>
        <w:tc>
          <w:tcPr>
            <w:tcW w:w="1540" w:type="dxa"/>
            <w:vAlign w:val="bottom"/>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Republic Holdings</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Equity Method</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2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China Southern Airlines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Fair Value</w:t>
            </w:r>
          </w:p>
        </w:tc>
        <w:tc>
          <w:tcPr>
            <w:tcW w:w="1540" w:type="dxa"/>
            <w:vAlign w:val="bottom"/>
          </w:tcPr>
          <w:p>
            <w:pPr>
              <w:jc w:val="right"/>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1.8 %</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2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(a)</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2400" w:type="dxa"/>
            <w:vAlign w:val="bottom"/>
          </w:tcPr>
          <w:p>
            <w:pPr>
              <w:ind w:left="24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0"/>
        </w:trPr>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Other investments</w:t>
      </w:r>
    </w:p>
    <w:p>
      <w:pPr>
        <w:spacing w:after="0" w:line="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Other investments primarily include our investment in Vertical, which is accounted for at fair value, and in 2022, our investments in JetSmart Airlines SpA (JetSMART) and GOL.</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2022, we completed an investment agreement with GOL, a Brazilian low-cost airline, and invested $200 million in 22.2 million of newly issued preferred shares. The total consideration of $200 million was allocated on our consolidated balance sheet as follows based on relative fair values: $81 million to the preferred shares, which is reflected within other assets, and $ 119 million to the indefinite-lived intangible asset derived from the related commercial agreements. The ownership interest is accounted for at fair value based on GOL’s stock price and mark-to-market adjustments are recorded to nonoperating other income, net on the consolidated statement of operations.</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December 2022, we completed an investment agreement with JetSMART, an ultra-low-cost carrier operating in South America, representing a 35.4% ownership. This ownership interest is accounted for under the equity method and our portion of JetSMART’s financial results is recognized within nonoperating other income, net on the consolidated statement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sponsor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our defined benefit pension plans were frozen and we began providing enhanced benefits under our defined contribution pension plans for certain employee groups. We use a December 31 measurement date for all of our defined benefit pension plans. We also provide certain retiree medical and other postretirement benefits, including health care and life insurance benefits, to retired employees.</w:t>
      </w:r>
    </w:p>
    <w:p>
      <w:pPr>
        <w:spacing w:after="0" w:line="12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Effective January 1, 2021, health coverage under our retiree medical benefit program that is currently provided to certain retirees age 65 and over who retired prior to November 1, 2012, transitioned from a self-insured plan to a fully-insured Medicare Advantage plan. Benefits coverage has not been reduced and cost shared has not changed as a result of this transition. Due to this transition, as of December 31, 2020, we recognized a negative plan amendment to reduce our benefit obligation, which was included as a component of prior service benefit in accumulated other comprehensive income (loss) (AOCI) and will be amortized over the average remaining life expectancy of all retirees. As of December 31, 2022, $179 million of prior service benefit remains to be amortized over a remaining period of approximately 11 years.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a statement of funded status as of December 31, 2022 and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6"/>
          </w:tcPr>
          <w:p>
            <w:pPr>
              <w:jc w:val="right"/>
              <w:ind w:right="75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39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Actuarial gain </w:t>
            </w:r>
            <w:r>
              <w:rPr>
                <w:rFonts w:ascii="Arial" w:cs="Arial" w:eastAsia="Arial" w:hAnsi="Arial"/>
                <w:sz w:val="23"/>
                <w:szCs w:val="23"/>
                <w:color w:val="auto"/>
                <w:vertAlign w:val="superscript"/>
              </w:rPr>
              <w:t>(1), (2)</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Special termination benefits </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payments</w:t>
            </w: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Actual return (loss) on plan assets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Settlements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payments</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at end of period</w:t>
            </w: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 at end of period</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The 2022 and 2021 pension actuarial gain primarily relates to the change in our weighted average discount rate assumption.</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The 2022 and 2021 retiree medical and other postretirement benefits actuarial gain primarily relates to the change in our weighted average discount rate assumption and, in 2021, plan experience adjustments.</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During the first quarter of 2021, we remeasured our retiree medical and other postretirement benefits to account for enhanced healthcare benefits provided to eligible team members who opted into voluntary early retirement programs offered as a result of reductions to our operation due to the COVID-19 pandemic. As a result, during 2021, we recognized a $139 million special charge for these enhanced healthcare benefits and increased our postretirement benefits obligation by $139 million.</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In January 2021, we made $241 million in contributions to our pension plans, including a contribution of $130 million for the 2020 calendar year that was permitted to be deferred to January 4, 2021 as provided under the CARES Act.</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6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liability</w:t>
            </w: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2,149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2,153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80" w:type="dxa"/>
            <w:vAlign w:val="bottom"/>
          </w:tcPr>
          <w:p>
            <w:pPr>
              <w:jc w:val="right"/>
              <w:ind w:right="235"/>
              <w:spacing w:after="0"/>
              <w:rPr>
                <w:sz w:val="20"/>
                <w:szCs w:val="20"/>
                <w:color w:val="auto"/>
              </w:rPr>
            </w:pPr>
            <w:r>
              <w:rPr>
                <w:rFonts w:ascii="Arial" w:cs="Arial" w:eastAsia="Arial" w:hAnsi="Arial"/>
                <w:sz w:val="18"/>
                <w:szCs w:val="18"/>
                <w:color w:val="auto"/>
              </w:rPr>
              <w:t>118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6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3,613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Prior service cost (benefit)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 (income), pre-tax</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Plans with Projected Benefit Obligations Exceeding Fair Value of Plan Assets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8"/>
          </w:tcPr>
          <w:p>
            <w:pPr>
              <w:ind w:left="2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11,884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6"/>
        </w:trPr>
        <w:tc>
          <w:tcPr>
            <w:tcW w:w="7440" w:type="dxa"/>
            <w:vAlign w:val="bottom"/>
            <w:gridSpan w:val="11"/>
          </w:tcPr>
          <w:p>
            <w:pPr>
              <w:ind w:left="26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40" w:type="dxa"/>
            <w:vAlign w:val="bottom"/>
            <w:gridSpan w:val="5"/>
            <w:vMerge w:val="restart"/>
          </w:tcPr>
          <w:p>
            <w:pPr>
              <w:jc w:val="right"/>
              <w:ind w:right="8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40" w:type="dxa"/>
            <w:vAlign w:val="bottom"/>
            <w:gridSpan w:val="11"/>
          </w:tcPr>
          <w:p>
            <w:pPr>
              <w:jc w:val="center"/>
              <w:ind w:right="560"/>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12"/>
          </w:tcPr>
          <w:p>
            <w:pPr>
              <w:jc w:val="center"/>
              <w:ind w:right="40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80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Accumulated postretirement benefit obligation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9"/>
              </w:rPr>
              <w:t>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37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Net Periodic Benefit Cost (Income)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Pension Benefits</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gridSpan w:val="9"/>
          </w:tcPr>
          <w:p>
            <w:pPr>
              <w:jc w:val="center"/>
              <w:spacing w:after="0"/>
              <w:rPr>
                <w:sz w:val="20"/>
                <w:szCs w:val="20"/>
                <w:color w:val="auto"/>
              </w:rPr>
            </w:pPr>
            <w:r>
              <w:rPr>
                <w:rFonts w:ascii="Arial" w:cs="Arial" w:eastAsia="Arial" w:hAnsi="Arial"/>
                <w:sz w:val="14"/>
                <w:szCs w:val="14"/>
                <w:b w:val="1"/>
                <w:bCs w:val="1"/>
                <w:color w:val="auto"/>
              </w:rPr>
              <w:t>Retiree Medical and</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12"/>
          </w:tcPr>
          <w:p>
            <w:pPr>
              <w:jc w:val="center"/>
              <w:ind w:right="633"/>
              <w:spacing w:after="0"/>
              <w:rPr>
                <w:sz w:val="20"/>
                <w:szCs w:val="20"/>
                <w:color w:val="auto"/>
              </w:rPr>
            </w:pPr>
            <w:r>
              <w:rPr>
                <w:rFonts w:ascii="Arial" w:cs="Arial" w:eastAsia="Arial" w:hAnsi="Arial"/>
                <w:sz w:val="14"/>
                <w:szCs w:val="14"/>
                <w:b w:val="1"/>
                <w:bCs w:val="1"/>
                <w:color w:val="auto"/>
              </w:rPr>
              <w:t>Other Postretirement Benefits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gridSpan w:val="4"/>
          </w:tcPr>
          <w:p>
            <w:pPr>
              <w:jc w:val="center"/>
              <w:ind w:left="1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plans: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4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gridSpan w:val="5"/>
          </w:tcPr>
          <w:p>
            <w:pPr>
              <w:jc w:val="center"/>
              <w:ind w:left="150"/>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 termination benefits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gridSpan w:val="2"/>
          </w:tcPr>
          <w:p>
            <w:pPr>
              <w:jc w:val="right"/>
              <w:ind w:right="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Prior service cost (benefit)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gridSpan w:val="5"/>
          </w:tcPr>
          <w:p>
            <w:pPr>
              <w:jc w:val="center"/>
              <w:ind w:left="150"/>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5"/>
            <w:shd w:val="clear" w:color="auto" w:fill="CCEEFF"/>
          </w:tcPr>
          <w:p>
            <w:pPr>
              <w:jc w:val="center"/>
              <w:ind w:left="150"/>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Net periodic benefit cost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net on our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Assumptions</w:t>
      </w:r>
    </w:p>
    <w:p>
      <w:pPr>
        <w:spacing w:after="0" w:line="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following actuarial assumptions were used to determine our benefit obligations and net periodic benefit cost (income) for the periods presented: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Pension Benefits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6"/>
          </w:tcPr>
          <w:p>
            <w:pPr>
              <w:jc w:val="center"/>
              <w:ind w:right="69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8"/>
            <w:vMerge w:val="continue"/>
          </w:tcPr>
          <w:p>
            <w:pPr>
              <w:spacing w:after="0"/>
              <w:rPr>
                <w:sz w:val="16"/>
                <w:szCs w:val="16"/>
                <w:color w:val="auto"/>
              </w:rPr>
            </w:pPr>
          </w:p>
        </w:tc>
        <w:tc>
          <w:tcPr>
            <w:tcW w:w="2960" w:type="dxa"/>
            <w:vAlign w:val="bottom"/>
            <w:gridSpan w:val="8"/>
          </w:tcPr>
          <w:p>
            <w:pPr>
              <w:jc w:val="center"/>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8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Benefit obligations:</w:t>
            </w: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3"/>
          </w:tcPr>
          <w:p>
            <w:pPr>
              <w:jc w:val="right"/>
              <w:ind w:right="399"/>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43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Pension Benefits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gridSpan w:val="7"/>
          </w:tcPr>
          <w:p>
            <w:pPr>
              <w:jc w:val="center"/>
              <w:ind w:right="63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center"/>
              <w:ind w:right="11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360" w:type="dxa"/>
            <w:vAlign w:val="bottom"/>
            <w:gridSpan w:val="5"/>
          </w:tcPr>
          <w:p>
            <w:pPr>
              <w:jc w:val="center"/>
              <w:ind w:left="31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9"/>
              </w:rPr>
              <w:t>Net periodic benefit cost (income):</w:t>
            </w:r>
          </w:p>
        </w:tc>
        <w:tc>
          <w:tcPr>
            <w:tcW w:w="20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820" w:type="dxa"/>
            <w:vAlign w:val="bottom"/>
            <w:gridSpan w:val="2"/>
          </w:tcPr>
          <w:p>
            <w:pPr>
              <w:jc w:val="center"/>
              <w:ind w:left="75"/>
              <w:spacing w:after="0"/>
              <w:rPr>
                <w:sz w:val="20"/>
                <w:szCs w:val="20"/>
                <w:color w:val="auto"/>
              </w:rPr>
            </w:pPr>
            <w:r>
              <w:rPr>
                <w:rFonts w:ascii="Arial" w:cs="Arial" w:eastAsia="Arial" w:hAnsi="Arial"/>
                <w:sz w:val="18"/>
                <w:szCs w:val="18"/>
                <w:color w:val="auto"/>
              </w:rPr>
              <w:t>3.0%</w:t>
            </w:r>
          </w:p>
        </w:tc>
        <w:tc>
          <w:tcPr>
            <w:tcW w:w="1000" w:type="dxa"/>
            <w:vAlign w:val="bottom"/>
            <w:gridSpan w:val="3"/>
          </w:tcPr>
          <w:p>
            <w:pPr>
              <w:jc w:val="center"/>
              <w:ind w:left="417"/>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2.8%</w:t>
            </w:r>
          </w:p>
        </w:tc>
        <w:tc>
          <w:tcPr>
            <w:tcW w:w="1360" w:type="dxa"/>
            <w:vAlign w:val="bottom"/>
            <w:gridSpan w:val="5"/>
          </w:tcPr>
          <w:p>
            <w:pPr>
              <w:jc w:val="center"/>
              <w:ind w:left="298"/>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expected rate of return on plan assets</w:t>
            </w:r>
          </w:p>
        </w:tc>
        <w:tc>
          <w:tcPr>
            <w:tcW w:w="820" w:type="dxa"/>
            <w:vAlign w:val="bottom"/>
            <w:gridSpan w:val="2"/>
            <w:shd w:val="clear" w:color="auto" w:fill="CCEEFF"/>
          </w:tcPr>
          <w:p>
            <w:pPr>
              <w:jc w:val="center"/>
              <w:ind w:left="75"/>
              <w:spacing w:after="0"/>
              <w:rPr>
                <w:sz w:val="20"/>
                <w:szCs w:val="20"/>
                <w:color w:val="auto"/>
              </w:rPr>
            </w:pPr>
            <w:r>
              <w:rPr>
                <w:rFonts w:ascii="Arial" w:cs="Arial" w:eastAsia="Arial" w:hAnsi="Arial"/>
                <w:sz w:val="18"/>
                <w:szCs w:val="18"/>
                <w:color w:val="auto"/>
              </w:rPr>
              <w:t>8.0%</w:t>
            </w:r>
          </w:p>
        </w:tc>
        <w:tc>
          <w:tcPr>
            <w:tcW w:w="1000" w:type="dxa"/>
            <w:vAlign w:val="bottom"/>
            <w:gridSpan w:val="3"/>
            <w:shd w:val="clear" w:color="auto" w:fill="CCEEFF"/>
          </w:tcPr>
          <w:p>
            <w:pPr>
              <w:jc w:val="center"/>
              <w:ind w:left="417"/>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8.0%</w:t>
            </w:r>
          </w:p>
        </w:tc>
        <w:tc>
          <w:tcPr>
            <w:tcW w:w="1360" w:type="dxa"/>
            <w:vAlign w:val="bottom"/>
            <w:gridSpan w:val="5"/>
            <w:shd w:val="clear" w:color="auto" w:fill="CCEEFF"/>
          </w:tcPr>
          <w:p>
            <w:pPr>
              <w:jc w:val="center"/>
              <w:ind w:left="298"/>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3"/>
          </w:tcPr>
          <w:p>
            <w:pPr>
              <w:spacing w:after="0" w:line="176" w:lineRule="exact"/>
              <w:rPr>
                <w:sz w:val="20"/>
                <w:szCs w:val="20"/>
                <w:color w:val="auto"/>
              </w:rPr>
            </w:pPr>
            <w:r>
              <w:rPr>
                <w:rFonts w:ascii="Arial" w:cs="Arial" w:eastAsia="Arial" w:hAnsi="Arial"/>
                <w:sz w:val="18"/>
                <w:szCs w:val="18"/>
                <w:color w:val="auto"/>
              </w:rPr>
              <w:t>Weighted average health care cost trend rate assumed for</w:t>
            </w:r>
          </w:p>
        </w:tc>
        <w:tc>
          <w:tcPr>
            <w:tcW w:w="820" w:type="dxa"/>
            <w:vAlign w:val="bottom"/>
            <w:gridSpan w:val="2"/>
            <w:vMerge w:val="restart"/>
          </w:tcPr>
          <w:p>
            <w:pPr>
              <w:ind w:left="3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vMerge w:val="restart"/>
          </w:tcPr>
          <w:p>
            <w:pPr>
              <w:jc w:val="center"/>
              <w:ind w:right="100"/>
              <w:spacing w:after="0"/>
              <w:rPr>
                <w:sz w:val="20"/>
                <w:szCs w:val="20"/>
                <w:color w:val="auto"/>
              </w:rPr>
            </w:pPr>
            <w:r>
              <w:rPr>
                <w:rFonts w:ascii="Arial" w:cs="Arial" w:eastAsia="Arial" w:hAnsi="Arial"/>
                <w:sz w:val="18"/>
                <w:szCs w:val="18"/>
                <w:color w:val="auto"/>
                <w:w w:val="99"/>
              </w:rPr>
              <w:t>N/A</w:t>
            </w:r>
          </w:p>
        </w:tc>
        <w:tc>
          <w:tcPr>
            <w:tcW w:w="1300" w:type="dxa"/>
            <w:vAlign w:val="bottom"/>
            <w:gridSpan w:val="4"/>
            <w:vMerge w:val="restart"/>
          </w:tcPr>
          <w:p>
            <w:pPr>
              <w:ind w:left="340"/>
              <w:spacing w:after="0"/>
              <w:rPr>
                <w:sz w:val="20"/>
                <w:szCs w:val="20"/>
                <w:color w:val="auto"/>
              </w:rPr>
            </w:pPr>
            <w:r>
              <w:rPr>
                <w:rFonts w:ascii="Arial" w:cs="Arial" w:eastAsia="Arial" w:hAnsi="Arial"/>
                <w:sz w:val="18"/>
                <w:szCs w:val="18"/>
                <w:color w:val="auto"/>
              </w:rPr>
              <w:t>N/A</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7"/>
              </w:rPr>
              <w:t>5.8%</w:t>
            </w:r>
          </w:p>
        </w:tc>
        <w:tc>
          <w:tcPr>
            <w:tcW w:w="1360" w:type="dxa"/>
            <w:vAlign w:val="bottom"/>
            <w:gridSpan w:val="5"/>
            <w:vMerge w:val="restart"/>
          </w:tcPr>
          <w:p>
            <w:pPr>
              <w:jc w:val="center"/>
              <w:ind w:left="298"/>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 xml:space="preserve">next year </w:t>
            </w:r>
            <w:r>
              <w:rPr>
                <w:rFonts w:ascii="Arial" w:cs="Arial" w:eastAsia="Arial" w:hAnsi="Arial"/>
                <w:sz w:val="23"/>
                <w:szCs w:val="23"/>
                <w:color w:val="auto"/>
                <w:vertAlign w:val="superscript"/>
              </w:rPr>
              <w:t>(1)</w:t>
            </w: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1300" w:type="dxa"/>
            <w:vAlign w:val="bottom"/>
            <w:gridSpan w:val="4"/>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13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3112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8" w:lineRule="exact"/>
        <w:rPr>
          <w:sz w:val="20"/>
          <w:szCs w:val="20"/>
          <w:color w:val="auto"/>
        </w:rPr>
      </w:pPr>
    </w:p>
    <w:p>
      <w:pPr>
        <w:ind w:left="340" w:hanging="332"/>
        <w:spacing w:after="0" w:line="231" w:lineRule="auto"/>
        <w:tabs>
          <w:tab w:leader="none" w:pos="334"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The weighted average health care cost trend rate at December 31, 2022 is assumed to decline gradually to 4.4% by 2029 and remain level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2022, our estimate of the long-term rate of return on plan assets was 8.0%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10 years, current and expected market conditions, and expected value to be generated through active management and securities lending programs.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the Employee Retirement Income Security Act of 1974 (ERISA) and various other laws for U.S. based plans as well as underfunding rules specific to countries where we maintain defined benefit plans. Based on current funding assumptions, we have minimum required contributions of $69 million for 2023 including contributions to defined benefit plans for our wholly-owned subsidiaries. Our funding obligations will depend on the performance of our investments held in a trust by the pension plans, interest rates for determining liabilities, the amount of and timing of any supplemental contributions and our actuarial experience.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2028-2032</w:t>
            </w:r>
          </w:p>
        </w:tc>
        <w:tc>
          <w:tcPr>
            <w:tcW w:w="40" w:type="dxa"/>
            <w:vAlign w:val="bottom"/>
          </w:tcPr>
          <w:p>
            <w:pPr>
              <w:spacing w:after="0"/>
              <w:rPr>
                <w:sz w:val="17"/>
                <w:szCs w:val="17"/>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40" w:type="dxa"/>
            <w:vAlign w:val="bottom"/>
          </w:tcPr>
          <w:p>
            <w:pPr>
              <w:spacing w:after="0"/>
              <w:rPr>
                <w:sz w:val="19"/>
                <w:szCs w:val="19"/>
                <w:color w:val="auto"/>
              </w:rPr>
            </w:pPr>
          </w:p>
        </w:tc>
      </w:tr>
      <w:tr>
        <w:trPr>
          <w:trHeight w:val="239"/>
        </w:trPr>
        <w:tc>
          <w:tcPr>
            <w:tcW w:w="528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20"/>
                <w:szCs w:val="20"/>
                <w:color w:val="auto"/>
              </w:rPr>
            </w:pPr>
          </w:p>
        </w:tc>
      </w:tr>
      <w:tr>
        <w:trPr>
          <w:trHeight w:val="737"/>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95"/>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5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 Assets</w:t>
      </w:r>
    </w:p>
    <w:p>
      <w:pPr>
        <w:spacing w:after="0" w:line="88"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objectives of our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Asset Class/Sub-Class</w:t>
            </w:r>
          </w:p>
        </w:tc>
        <w:tc>
          <w:tcPr>
            <w:tcW w:w="19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Allowed Range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w:t>
            </w:r>
          </w:p>
        </w:tc>
      </w:tr>
      <w:tr>
        <w:trPr>
          <w:trHeight w:val="229"/>
        </w:trPr>
        <w:tc>
          <w:tcPr>
            <w:tcW w:w="20" w:type="dxa"/>
            <w:vAlign w:val="bottom"/>
          </w:tcPr>
          <w:p>
            <w:pPr>
              <w:spacing w:after="0"/>
              <w:rPr>
                <w:sz w:val="19"/>
                <w:szCs w:val="19"/>
                <w:color w:val="auto"/>
              </w:rPr>
            </w:pPr>
          </w:p>
        </w:tc>
        <w:tc>
          <w:tcPr>
            <w:tcW w:w="9260" w:type="dxa"/>
            <w:vAlign w:val="bottom"/>
            <w:gridSpan w:val="2"/>
          </w:tcPr>
          <w:p>
            <w:pPr>
              <w:ind w:left="120"/>
              <w:spacing w:after="0"/>
              <w:rPr>
                <w:sz w:val="20"/>
                <w:szCs w:val="20"/>
                <w:color w:val="auto"/>
              </w:rPr>
            </w:pPr>
            <w:r>
              <w:rPr>
                <w:rFonts w:ascii="Arial" w:cs="Arial" w:eastAsia="Arial" w:hAnsi="Arial"/>
                <w:sz w:val="18"/>
                <w:szCs w:val="18"/>
                <w:color w:val="auto"/>
              </w:rPr>
              <w:t>Public:</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Large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w:t>
            </w:r>
          </w:p>
        </w:tc>
      </w:tr>
      <w:tr>
        <w:trPr>
          <w:trHeight w:val="229"/>
        </w:trPr>
        <w:tc>
          <w:tcPr>
            <w:tcW w:w="20" w:type="dxa"/>
            <w:vAlign w:val="bottom"/>
          </w:tcPr>
          <w:p>
            <w:pPr>
              <w:spacing w:after="0"/>
              <w:rPr>
                <w:sz w:val="19"/>
                <w:szCs w:val="19"/>
                <w:color w:val="auto"/>
              </w:rPr>
            </w:pP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U.S. Small/Mid</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r>
      <w:tr>
        <w:trPr>
          <w:trHeight w:val="230"/>
        </w:trPr>
        <w:tc>
          <w:tcPr>
            <w:tcW w:w="20" w:type="dxa"/>
            <w:vAlign w:val="bottom"/>
          </w:tcPr>
          <w:p>
            <w:pPr>
              <w:spacing w:after="0"/>
              <w:rPr>
                <w:sz w:val="19"/>
                <w:szCs w:val="19"/>
                <w:color w:val="auto"/>
              </w:rPr>
            </w:pP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International Small/Mid</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Emerging Markets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r>
      <w:tr>
        <w:trPr>
          <w:trHeight w:val="230"/>
        </w:trPr>
        <w:tc>
          <w:tcPr>
            <w:tcW w:w="20" w:type="dxa"/>
            <w:vAlign w:val="bottom"/>
          </w:tcPr>
          <w:p>
            <w:pPr>
              <w:spacing w:after="0"/>
              <w:rPr>
                <w:sz w:val="19"/>
                <w:szCs w:val="19"/>
                <w:color w:val="auto"/>
              </w:rPr>
            </w:pPr>
          </w:p>
        </w:tc>
        <w:tc>
          <w:tcPr>
            <w:tcW w:w="9260" w:type="dxa"/>
            <w:vAlign w:val="bottom"/>
            <w:gridSpan w:val="2"/>
          </w:tcPr>
          <w:p>
            <w:pPr>
              <w:ind w:left="120"/>
              <w:spacing w:after="0"/>
              <w:rPr>
                <w:sz w:val="20"/>
                <w:szCs w:val="20"/>
                <w:color w:val="auto"/>
              </w:rPr>
            </w:pPr>
            <w:r>
              <w:rPr>
                <w:rFonts w:ascii="Arial" w:cs="Arial" w:eastAsia="Arial" w:hAnsi="Arial"/>
                <w:sz w:val="18"/>
                <w:szCs w:val="18"/>
                <w:color w:val="auto"/>
              </w:rPr>
              <w:t>Private Equity</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- 55%</w:t>
            </w:r>
          </w:p>
        </w:tc>
      </w:tr>
      <w:tr>
        <w:trPr>
          <w:trHeight w:val="229"/>
        </w:trPr>
        <w:tc>
          <w:tcPr>
            <w:tcW w:w="20" w:type="dxa"/>
            <w:vAlign w:val="bottom"/>
          </w:tcPr>
          <w:p>
            <w:pPr>
              <w:spacing w:after="0"/>
              <w:rPr>
                <w:sz w:val="19"/>
                <w:szCs w:val="19"/>
                <w:color w:val="auto"/>
              </w:rPr>
            </w:pPr>
          </w:p>
        </w:tc>
        <w:tc>
          <w:tcPr>
            <w:tcW w:w="9260" w:type="dxa"/>
            <w:vAlign w:val="bottom"/>
            <w:gridSpan w:val="2"/>
          </w:tcPr>
          <w:p>
            <w:pPr>
              <w:ind w:left="120"/>
              <w:spacing w:after="0"/>
              <w:rPr>
                <w:sz w:val="20"/>
                <w:szCs w:val="20"/>
                <w:color w:val="auto"/>
              </w:rPr>
            </w:pPr>
            <w:r>
              <w:rPr>
                <w:rFonts w:ascii="Arial" w:cs="Arial" w:eastAsia="Arial" w:hAnsi="Arial"/>
                <w:sz w:val="18"/>
                <w:szCs w:val="18"/>
                <w:color w:val="auto"/>
              </w:rPr>
              <w:t>Public:</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Long Duration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- 45%</w:t>
            </w:r>
          </w:p>
        </w:tc>
      </w:tr>
      <w:tr>
        <w:trPr>
          <w:trHeight w:val="229"/>
        </w:trPr>
        <w:tc>
          <w:tcPr>
            <w:tcW w:w="20" w:type="dxa"/>
            <w:vAlign w:val="bottom"/>
          </w:tcPr>
          <w:p>
            <w:pPr>
              <w:spacing w:after="0"/>
              <w:rPr>
                <w:sz w:val="19"/>
                <w:szCs w:val="19"/>
                <w:color w:val="auto"/>
              </w:rPr>
            </w:pP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High Yield and Emerging Markets</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30"/>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Private Income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r>
      <w:tr>
        <w:trPr>
          <w:trHeight w:val="229"/>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 - 5%</w:t>
            </w:r>
          </w:p>
        </w:tc>
      </w:tr>
      <w:tr>
        <w:trPr>
          <w:trHeight w:val="230"/>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r>
    </w:tbl>
    <w:p>
      <w:pPr>
        <w:spacing w:after="0" w:line="2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Public equity investments are intended to provide a real return over a full market cycle and, therefore, to contribute to the pension plan’s long-term objective. Public fixed income investments are intended to provide income to the plan and offer the potential for long term capital appreciation. Private investments, such as private equity and private income, are used to provide higher expected returns than public markets over the long-term by assuming reduced levels of liquidity and higher levels of risk. The pension plan’s master trust participates in securities lending programs to generate additional income by loaning plan assets to borrowers on a fully collateralized basis. The pension plan’s master trust will also engage in derivative instruments to equitize residual levels of cash as well as hedge the pension plan’s exposure to interest rates. Such programs are subject to market risk and counterparty risk.</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Investments in limited partnerships are carried at estimated net asset value (NAV) as determined by and reported by the general partners of the partnerships and represent the proportionate share of the estimated fair value of the underlying assets of the limited partnerships. Mutual funds are valued once daily through a NAV calculation provided at the end of each trade day. Common/collective trusts are valued at NAV based on the fair values of the underlying investments of the trusts as determined by the sponsor of the trusts. No changes in valuation techniques or inputs occurred during the year.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fair value of our pension plan assets at December 31, 2022 and 2021, by asset category, were as follows (in millions)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24"/>
        </w:trPr>
        <w:tc>
          <w:tcPr>
            <w:tcW w:w="268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3"/>
                <w:szCs w:val="23"/>
                <w:color w:val="auto"/>
                <w:vertAlign w:val="superscript"/>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r>
      <w:tr>
        <w:trPr>
          <w:trHeight w:val="230"/>
        </w:trPr>
        <w:tc>
          <w:tcPr>
            <w:tcW w:w="26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4,177</w:t>
            </w:r>
          </w:p>
        </w:tc>
      </w:tr>
      <w:tr>
        <w:trPr>
          <w:trHeight w:val="229"/>
        </w:trPr>
        <w:tc>
          <w:tcPr>
            <w:tcW w:w="26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26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Measured at NAV </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6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Common collective trusts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29"/>
        </w:trPr>
        <w:tc>
          <w:tcPr>
            <w:tcW w:w="268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Private investments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2,827</w:t>
            </w:r>
          </w:p>
        </w:tc>
      </w:tr>
      <w:tr>
        <w:trPr>
          <w:trHeight w:val="248"/>
        </w:trPr>
        <w:tc>
          <w:tcPr>
            <w:tcW w:w="26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plan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50"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See Note 7 for a description of the levels within the fair value hierarchy.</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Equity investments include domestic and international common stock, preferred stock, mutual funds and exchange traded funds invested in equity securities.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Fixed income investments include corporate, government and U.S. municipal bonds, as well as mutual funds invested in fixed income securities.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Other primarily includes a short-term investment fund, cash and cash equivalents, and net receivables and payables of the master trust for dividends, interest and amounts due to or from the sale and purchase of securities.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Includes investments that were measured at NAV per share (or its equivalent) as a practical expedient that have not been classified in the fair value hierarchy.</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Common collective trusts include commingled funds primarily invested in equity securities. For some trusts, requests for withdrawals must meet specific requirements with advance notice of redemption preferred.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Private investments include limited partnerships that invest primarily in domestic private equity and private income opportunities. The pension plan’s master trust does not have the right to redeem its limited partnership investment at its NAV, but rather receives distributions as the underlying assets are liquidated. It is estimated that the underlying assets of these funds will be gradually liquidated over the next 10 years. As of December 31, 2022, the pension plan’s master trust has future funding commitments to these limited partnerships of approximately $1.5 billion over the next five years.</w:t>
      </w:r>
    </w:p>
    <w:p>
      <w:pPr>
        <w:spacing w:after="0" w:line="14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Changes in fair value measurements of Level 3 investments during the years ended December 31, 2022 and 2021, were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Actual gain on plan assets:</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Relating to assets still held at the reporting date</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Transfers out</w:t>
            </w: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Plan assets in the retiree medical and other postretirement benefits plans’ are primarily Level 2 mutual funds valued by quoted prices on the active market, which is fair value, and represents the NAV of the shares of such funds as of the close of business at the end of the period. NAV is based on the fair market value of the funds’ underlying assets and liabilities at the date of determination.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and Multiemployer Plans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costs associated with our defined contribution plans were $949 million, $920 million and $860 million for the years ended December 31, 2022, 2021 and 2020, respectively.</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participate in the International Association of Machinists &amp; Aerospace Workers (IAM) National Pension Fund, Employer Identification No. 51-6031295 and Plan No. 002 (the IAM Pension Fund). Our contributions to the IAM Pension Fund were $46 million, $43 million and $40 million for the years ended December 31, 2022, 2021 and 2020, respectively. The IAM Pension Fund reported $507 million in employers’ contributions for the year ended December 31, 2021, which is the most recent year for which such information is available. For 2021, our contributions represented more than 5% of total contributions to the IAM Pension Fund.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we were subject to an immaterial contribution surcharge, which ceased to apply June 14, 2019 upon our mandatory adoption of a contribution schedule under the Rehabilitation Plan. The contribution schedule requires 2.5% annual increases to our contribution rate. This contribution schedule will remain in effect through the earlier of December 31, 2031 or the date the IAM Pension Fund emerges from critical status.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AOCI are as follows (in millions):</w:t>
      </w:r>
    </w:p>
    <w:p>
      <w:pPr>
        <w:spacing w:after="0" w:line="142" w:lineRule="exact"/>
        <w:rPr>
          <w:sz w:val="20"/>
          <w:szCs w:val="20"/>
          <w:color w:val="auto"/>
        </w:rPr>
      </w:pPr>
    </w:p>
    <w:p>
      <w:pPr>
        <w:jc w:val="center"/>
        <w:ind w:left="1380"/>
        <w:spacing w:after="0"/>
        <w:rPr>
          <w:sz w:val="20"/>
          <w:szCs w:val="20"/>
          <w:color w:val="auto"/>
        </w:rPr>
      </w:pPr>
      <w:r>
        <w:rPr>
          <w:rFonts w:ascii="Arial" w:cs="Arial" w:eastAsia="Arial" w:hAnsi="Arial"/>
          <w:sz w:val="14"/>
          <w:szCs w:val="14"/>
          <w:b w:val="1"/>
          <w:bCs w:val="1"/>
          <w:color w:val="auto"/>
        </w:rPr>
        <w:t>Pension,</w:t>
      </w:r>
    </w:p>
    <w:p>
      <w:pPr>
        <w:jc w:val="center"/>
        <w:ind w:left="1380"/>
        <w:spacing w:after="0" w:line="221" w:lineRule="auto"/>
        <w:rPr>
          <w:sz w:val="20"/>
          <w:szCs w:val="20"/>
          <w:color w:val="auto"/>
        </w:rPr>
      </w:pPr>
      <w:r>
        <w:rPr>
          <w:rFonts w:ascii="Arial" w:cs="Arial" w:eastAsia="Arial" w:hAnsi="Arial"/>
          <w:sz w:val="14"/>
          <w:szCs w:val="14"/>
          <w:b w:val="1"/>
          <w:bCs w:val="1"/>
          <w:color w:val="auto"/>
        </w:rPr>
        <w:t>Retiree</w:t>
      </w:r>
    </w:p>
    <w:p>
      <w:pPr>
        <w:ind w:left="5900"/>
        <w:spacing w:after="0" w:line="221" w:lineRule="auto"/>
        <w:rPr>
          <w:sz w:val="20"/>
          <w:szCs w:val="20"/>
          <w:color w:val="auto"/>
        </w:rPr>
      </w:pPr>
      <w:r>
        <w:rPr>
          <w:rFonts w:ascii="Arial" w:cs="Arial" w:eastAsia="Arial" w:hAnsi="Arial"/>
          <w:sz w:val="14"/>
          <w:szCs w:val="14"/>
          <w:b w:val="1"/>
          <w:bCs w:val="1"/>
          <w:color w:val="auto"/>
        </w:rPr>
        <w:t>Medical and</w:t>
      </w:r>
    </w:p>
    <w:tbl>
      <w:tblPr>
        <w:tblLayout w:type="fixed"/>
        <w:tblInd w:w="0" w:type="dxa"/>
        <w:tblCellMar>
          <w:top w:w="0" w:type="dxa"/>
          <w:left w:w="0" w:type="dxa"/>
          <w:bottom w:w="0" w:type="dxa"/>
          <w:right w:w="0" w:type="dxa"/>
        </w:tblCellMar>
      </w:tblPr>
      <w:tr>
        <w:trPr>
          <w:trHeight w:val="131"/>
        </w:trPr>
        <w:tc>
          <w:tcPr>
            <w:tcW w:w="20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rPr>
              <w:t>Other</w:t>
            </w:r>
          </w:p>
        </w:tc>
        <w:tc>
          <w:tcPr>
            <w:tcW w:w="1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Pr>
          <w:p>
            <w:pPr>
              <w:spacing w:after="0"/>
              <w:rPr>
                <w:sz w:val="11"/>
                <w:szCs w:val="11"/>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Postretirement</w:t>
            </w: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00" w:type="dxa"/>
            <w:vAlign w:val="bottom"/>
            <w:gridSpan w:val="3"/>
          </w:tcPr>
          <w:p>
            <w:pPr>
              <w:ind w:left="120"/>
              <w:spacing w:after="0"/>
              <w:rPr>
                <w:sz w:val="20"/>
                <w:szCs w:val="20"/>
                <w:color w:val="auto"/>
              </w:rPr>
            </w:pPr>
            <w:r>
              <w:rPr>
                <w:rFonts w:ascii="Arial" w:cs="Arial" w:eastAsia="Arial" w:hAnsi="Arial"/>
                <w:sz w:val="14"/>
                <w:szCs w:val="14"/>
                <w:b w:val="1"/>
                <w:bCs w:val="1"/>
                <w:color w:val="auto"/>
              </w:rPr>
              <w:t>on Investments</w:t>
            </w:r>
          </w:p>
        </w:tc>
        <w:tc>
          <w:tcPr>
            <w:tcW w:w="180" w:type="dxa"/>
            <w:vAlign w:val="bottom"/>
          </w:tcPr>
          <w:p>
            <w:pPr>
              <w:spacing w:after="0"/>
              <w:rPr>
                <w:sz w:val="16"/>
                <w:szCs w:val="16"/>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30"/>
        </w:trPr>
        <w:tc>
          <w:tcPr>
            <w:tcW w:w="56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our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for the years ended December 31, 2022 and 2021 are as follows (in millions):</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Amounts reclassified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23495</wp:posOffset>
            </wp:positionV>
            <wp:extent cx="17487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5"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23495</wp:posOffset>
            </wp:positionV>
            <wp:extent cx="17487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AOCI Components</w:t>
            </w:r>
          </w:p>
        </w:tc>
        <w:tc>
          <w:tcPr>
            <w:tcW w:w="538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Affected line items on the</w:t>
      </w:r>
    </w:p>
    <w:p>
      <w:pPr>
        <w:jc w:val="center"/>
        <w:ind w:right="620"/>
        <w:spacing w:after="0" w:line="221" w:lineRule="auto"/>
        <w:rPr>
          <w:sz w:val="20"/>
          <w:szCs w:val="20"/>
          <w:color w:val="auto"/>
        </w:rPr>
      </w:pPr>
      <w:r>
        <w:rPr>
          <w:rFonts w:ascii="Arial" w:cs="Arial" w:eastAsia="Arial" w:hAnsi="Arial"/>
          <w:sz w:val="14"/>
          <w:szCs w:val="14"/>
          <w:b w:val="1"/>
          <w:bCs w:val="1"/>
          <w:color w:val="auto"/>
        </w:rPr>
        <w:t>consolidated statements of</w:t>
      </w:r>
    </w:p>
    <w:p>
      <w:pPr>
        <w:ind w:left="560"/>
        <w:spacing w:after="0"/>
        <w:rPr>
          <w:sz w:val="20"/>
          <w:szCs w:val="20"/>
          <w:color w:val="auto"/>
        </w:rPr>
      </w:pPr>
      <w:r>
        <w:rPr>
          <w:rFonts w:ascii="Arial" w:cs="Arial" w:eastAsia="Arial" w:hAnsi="Arial"/>
          <w:sz w:val="14"/>
          <w:szCs w:val="14"/>
          <w:b w:val="1"/>
          <w:bCs w:val="1"/>
          <w:color w:val="auto"/>
        </w:rPr>
        <w:t>operations</w:t>
      </w:r>
    </w:p>
    <w:p>
      <w:pPr>
        <w:spacing w:after="0" w:line="4" w:lineRule="exact"/>
        <w:rPr>
          <w:sz w:val="20"/>
          <w:szCs w:val="20"/>
          <w:color w:val="auto"/>
        </w:rPr>
      </w:pPr>
    </w:p>
    <w:p>
      <w:pPr>
        <w:sectPr>
          <w:pgSz w:w="11900" w:h="16838" w:orient="portrait"/>
          <w:cols w:equalWidth="0" w:num="2">
            <w:col w:w="8040" w:space="720"/>
            <w:col w:w="24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Amortization of pension, retiree medical and other postretirement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15175" cy="2660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benefits: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0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3160" w:type="dxa"/>
            <w:vAlign w:val="bottom"/>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loss</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160" w:type="dxa"/>
            <w:vAlign w:val="bottom"/>
          </w:tcPr>
          <w:p>
            <w:pPr>
              <w:spacing w:after="0"/>
              <w:rPr>
                <w:sz w:val="19"/>
                <w:szCs w:val="19"/>
                <w:color w:val="auto"/>
              </w:rPr>
            </w:pPr>
          </w:p>
        </w:tc>
      </w:tr>
      <w:tr>
        <w:trPr>
          <w:trHeight w:val="21"/>
        </w:trPr>
        <w:tc>
          <w:tcPr>
            <w:tcW w:w="5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Amounts allocated to other comprehensive income (loss) for income taxes will remain in AOCI until we cease all related activities, such as termination of the pension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Contingencies and Guarantees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Aircraft, Engine and Other Purchase Commitments</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Under all of our aircraft and engine purchase agreements, our total future commitments as of December 31, 2022 are expected to be as follows (approximately,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2028 and</w:t>
            </w:r>
          </w:p>
        </w:tc>
        <w:tc>
          <w:tcPr>
            <w:tcW w:w="9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40" w:type="dxa"/>
            <w:vAlign w:val="bottom"/>
            <w:tcBorders>
              <w:top w:val="single" w:sz="8" w:color="CCEEFF"/>
            </w:tcBorders>
            <w:shd w:val="clear" w:color="auto" w:fill="CCEEFF"/>
          </w:tcPr>
          <w:p>
            <w:pPr>
              <w:jc w:val="right"/>
              <w:ind w:right="2210"/>
              <w:spacing w:after="0" w:line="156" w:lineRule="exact"/>
              <w:rPr>
                <w:sz w:val="20"/>
                <w:szCs w:val="20"/>
                <w:color w:val="auto"/>
              </w:rPr>
            </w:pPr>
            <w:r>
              <w:rPr>
                <w:rFonts w:ascii="Arial" w:cs="Arial" w:eastAsia="Arial" w:hAnsi="Arial"/>
                <w:sz w:val="18"/>
                <w:szCs w:val="18"/>
                <w:color w:val="auto"/>
              </w:rPr>
              <w:t>Payments for aircraft and</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1,485</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2,678</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3,896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12,326</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jc w:val="right"/>
              <w:ind w:right="2210"/>
              <w:spacing w:after="0" w:line="243" w:lineRule="exact"/>
              <w:rPr>
                <w:sz w:val="20"/>
                <w:szCs w:val="20"/>
                <w:color w:val="auto"/>
              </w:rPr>
            </w:pPr>
            <w:r>
              <w:rPr>
                <w:rFonts w:ascii="Arial" w:cs="Arial" w:eastAsia="Arial" w:hAnsi="Arial"/>
                <w:sz w:val="18"/>
                <w:szCs w:val="18"/>
                <w:color w:val="auto"/>
              </w:rPr>
              <w:t xml:space="preserve">engine commitments </w:t>
            </w:r>
            <w:r>
              <w:rPr>
                <w:rFonts w:ascii="Arial" w:cs="Arial" w:eastAsia="Arial" w:hAnsi="Arial"/>
                <w:sz w:val="23"/>
                <w:szCs w:val="23"/>
                <w:color w:val="auto"/>
                <w:vertAlign w:val="superscript"/>
              </w:rPr>
              <w:t>(1)</w:t>
            </w: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These amounts are net of purchase deposits currently held by the manufacturers. Our purchase deposits held by all manufacturers totaled $613 million and $517 million as of December 31, 2022 and 2021, respectively.</w:t>
      </w:r>
    </w:p>
    <w:p>
      <w:pPr>
        <w:spacing w:after="0" w:line="140" w:lineRule="exact"/>
        <w:rPr>
          <w:rFonts w:ascii="Arial" w:cs="Arial" w:eastAsia="Arial" w:hAnsi="Arial"/>
          <w:sz w:val="23"/>
          <w:szCs w:val="23"/>
          <w:color w:val="auto"/>
          <w:vertAlign w:val="superscript"/>
        </w:rPr>
      </w:pPr>
    </w:p>
    <w:p>
      <w:pPr>
        <w:jc w:val="both"/>
        <w:ind w:left="340"/>
        <w:spacing w:after="0" w:line="262" w:lineRule="auto"/>
        <w:rPr>
          <w:rFonts w:ascii="Arial" w:cs="Arial" w:eastAsia="Arial" w:hAnsi="Arial"/>
          <w:sz w:val="23"/>
          <w:szCs w:val="23"/>
          <w:color w:val="auto"/>
          <w:vertAlign w:val="superscript"/>
        </w:rPr>
      </w:pPr>
      <w:r>
        <w:rPr>
          <w:rFonts w:ascii="Arial" w:cs="Arial" w:eastAsia="Arial" w:hAnsi="Arial"/>
          <w:sz w:val="18"/>
          <w:szCs w:val="18"/>
          <w:color w:val="auto"/>
        </w:rPr>
        <w:t>Due to the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w:t>
      </w:r>
    </w:p>
    <w:p>
      <w:pPr>
        <w:spacing w:after="0" w:line="12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Additionally, the amounts in the table exclude four Boeing 787-8 aircraft scheduled to be delivered in 2023 and five Boeing 787-9 aircraft scheduled to be delivered in 2024, for which we have obtained committed lease financing. See Note 5 for information regarding this operating lease commitment.</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we have purchase commitments related to aircraft fuel, flight equipment maintenance, information technology support and construction projects as follows (approximately): $5.7 billion in 2023, $3.0 billion in 2024, $ 1.7 billion in 2025, $231 million in 2026, $126 million in 2027 and $941 million in 2028 and thereafter. These amounts exclude obligations under certain fuel offtake agreements or other agreements for which the timing of the related expenditure is uncertain, or which are subject to material contingencies, such as the construction of a production facility.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25"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As of December 31, 2022, American’s capacity purchase agreements with third-party regional carriers had expiration dates ranging from 2023 to 2033, with rights of American to extend the respective terms of certain agreements.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As of December 31, 2022, American’s minimum obligations under its capacity purchase agreements with third-party regional carriers are as follows (approximately,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2028 and</w:t>
            </w: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4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Minimum obligations under capacity purchase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1,791</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1,950</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1,866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1,399</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9,248</w:t>
            </w: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3"/>
                <w:szCs w:val="23"/>
                <w:color w:val="auto"/>
                <w:vertAlign w:val="superscript"/>
              </w:rPr>
              <w:t>(1)</w:t>
            </w: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tabs>
          <w:tab w:leader="none" w:pos="334"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Excludes rental payments under operating leases for certain aircraft flown under these capacity purchase agreements, which are reflected in the operating lease obligations in Note 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From time to time, airports where we have operations engage in construction projects, often substantial, that result in new or improved facilities that are ultimately funded through increases in the rent and other occupancy costs payable by airlines using the airport. Unlike this construction and funding model, we are managing a project at LAX where we have legal title to the assets during construction. In 2018, we executed a lease agreement with Los Angeles World Airports (LAWA), which owns and operates LAX, in connection with a $1.6 billion modernization project related to LAX Terminals 4 and 5. Construction, which started in October 2018 and is expected to be completed in 2028, will occur in a phased approach. The modernization project will include a unified departure hall to the entranceway of Terminals 4 and 5, reconfigured ticket counter and check-in areas with seamless access to security screening areas, 10 new security screening lanes with automated technology in addition to the existing Terminal 5 lanes, and a new Terminal 4 South concourse with more open and upgraded amenities at gate areas. The project will also include renovated break rooms, multi-use meeting rooms and team gathering spaces throughout the terminals to support our team members at LAX. In 2022, American completed construction of the Terminal 4 and 5 core, which provides a central location between the terminals and allows direct access to the check-in lobby and baggage claim in Terminal 5.</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each phase is completed and ready for use, the assets will be sold and transferred to LAWA, including the site improvements and non-proprietary improvements. As we control the assets during construction, they are recognized on our balance sheet until the assets are sold and transferred to LAWA. As of December 31, 2022, we have incurred approximately $579 million in costs relating to the LAX modernization project, of which $241 million were incurred in 2022 and have been included within operating property and equipment on our consolidated balance sheets and included within airport construction projects, net of reimbursements on our consolidated statements of cash flows. As of December 31, 2022, we have sold and transferred $ 176 million of non-proprietary improvements to LAWA, of which $44 million occurred during 2022. For non-proprietary improvements which are not yet ready for use, any cash payments received from LAWA will be reflected as a financial liability. As of December 31, 2022, we have received $141 million in cash proceeds for non-proprietary improvements which are not yet ready for use, and therefore have not been sold and transferred back to LAWA. These proceeds are currently included in other accrued liabilities and noncurrent other liabilities on our consolidated balance sheet and are reflected as financing activities on our consolidated statement of cash flows.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JFK</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2020, American and British Airways announced the start of construction projects to upgrade New York's JFK Terminal 8. The renovation projects at Terminal 8 include: (i) the reconfiguration or elimination of certain existing gates and the construction of widebody gates, (ii) the construction of approximately 51,000 square feet of new terminal building space and the refurbishment of 73,300 square feet of existing terminal space, (iii) the expansion of the baggage system capacity of Terminal 8, (iv) improvements to the premium passenger lounges, check-in and, potentially, security access areas, and (v) bathroom refreshment, new signage, and other upgrades. The construction project is substantially complete and remaining construction on the baggage handling system expansion and bathroom refurbishments are expected to be fully completed in early 2023. As of December 31, 2022, we have incurred $348 million in construction costs to upgrade Terminal 8, of which $172 million was incurred in 2022. These costs have been included in airport construction projects, net of reimbursements on our consolidated statements of cash flows.</w:t>
      </w:r>
    </w:p>
    <w:p>
      <w:pPr>
        <w:spacing w:after="0" w:line="210" w:lineRule="exact"/>
        <w:rPr>
          <w:sz w:val="20"/>
          <w:szCs w:val="20"/>
          <w:color w:val="auto"/>
        </w:rPr>
      </w:pPr>
    </w:p>
    <w:p>
      <w:pPr>
        <w:ind w:left="260" w:right="7900" w:hanging="9"/>
        <w:spacing w:after="0" w:line="343" w:lineRule="auto"/>
        <w:tabs>
          <w:tab w:leader="none" w:pos="54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Pass-Through Trusts</w:t>
      </w:r>
    </w:p>
    <w:p>
      <w:pPr>
        <w:jc w:val="both"/>
        <w:ind w:firstLine="243"/>
        <w:spacing w:after="0" w:line="255" w:lineRule="auto"/>
        <w:rPr>
          <w:sz w:val="20"/>
          <w:szCs w:val="20"/>
          <w:color w:val="auto"/>
        </w:rPr>
      </w:pPr>
      <w:r>
        <w:rPr>
          <w:rFonts w:ascii="Arial" w:cs="Arial" w:eastAsia="Arial" w:hAnsi="Arial"/>
          <w:sz w:val="18"/>
          <w:szCs w:val="18"/>
          <w:color w:val="auto"/>
        </w:rPr>
        <w:t>American currently has 352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2022, $9.2 billion associated with these mortgage financings is reflected as debt in the accompanying consolidated balance sheet.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provide financial assurance, such as letters of credit and surety bonds, primarily to support airport commitments. As of December 31, 2022, we had $ 218 million of letters of credit and surety bonds securing various obligations, of which $100 million is collateralized with our restricted cash. The letters of credit and surety bonds that are subject to expiration will expire on various dates through 2026.</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 Related to the Merger. </w:t>
      </w:r>
      <w:r>
        <w:rPr>
          <w:rFonts w:ascii="Arial" w:cs="Arial" w:eastAsia="Arial" w:hAnsi="Arial"/>
          <w:sz w:val="18"/>
          <w:szCs w:val="18"/>
          <w:color w:val="auto"/>
        </w:rPr>
        <w:t>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On March 25, 2022, the U.S. District Court for the Southern District of New York entered judgment affirming the Bankruptcy Court's decision. On April 21, 2022, plaintiffs appealed that decision to the United States Court of Appeals for the Second Circuit. The appeal is fully briefed and scheduled for oral argument on March 13, 2023. We believe this lawsuit is without merit and intend to continue to vigorously defend against it, including against any further appeals by the plaintiffs.</w:t>
      </w:r>
    </w:p>
    <w:p>
      <w:pPr>
        <w:spacing w:after="0" w:line="1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(the</w:t>
      </w:r>
      <w:r>
        <w:rPr>
          <w:rFonts w:ascii="Arial" w:cs="Arial" w:eastAsia="Arial" w:hAnsi="Arial"/>
          <w:sz w:val="18"/>
          <w:szCs w:val="18"/>
          <w:i w:val="1"/>
          <w:iCs w:val="1"/>
          <w:color w:val="auto"/>
        </w:rPr>
        <w:t xml:space="preserve"> </w:t>
      </w:r>
      <w:r>
        <w:rPr>
          <w:rFonts w:ascii="Arial" w:cs="Arial" w:eastAsia="Arial" w:hAnsi="Arial"/>
          <w:sz w:val="18"/>
          <w:szCs w:val="18"/>
          <w:color w:val="auto"/>
        </w:rPr>
        <w:t>DOJ), joined by Attorneys General from six states and the District of Columbia, filed an antitrust complaint against American and JetBlue Airways Corporation (JetBlue) in the District of Massachusetts alleging that American and JetBlue violated U.S. antitrust law in connection with the previously disclosed Northeast Alliance arrangement (NEA). The parties presented their respective cases in a bench trial that commenced on September 27, 2022. Closing arguments from both parties were presented on November 18, 2022. A decision is expected in the first quarter of 2023.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the DOJ to resolve the antitrust concerns that the DOJ has identified with respect to the NEA. The DOT simultaneously published a Notice Staying Proceeding in relation to a complaint by Spirit Airlines, Inc. regarding the NEA, pending resolution of the DOJ action described above. On September 30, 2022, the DOT issued a further statement referencing the prior Clarification Notice and, among other things, indicating its intention to continue working with the DOJ in its efforts to resolve the ongoing proceedings regarding the NEA.</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In February 2023, private party plaintiffs filed two additional putative class action antitrust complaints against American and JetBlue in the District of Massachusetts and the Eastern District of New York, respectively. We believe these lawsuits are without merit and are defending against them vigorously.</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party to many routine contracts in which we provide general indemnities in the normal course of business to third parties for various risks. We are not able to estimate the potential amount of any liability resulting from the indemnities. These indemnities are discussed in the following paragraphs.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our aircraft financing agreements, we generally indemnify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loan agreements and certain other financing transactions may obligate us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our loan agreements and other financing arrangements typically contain a withholding tax provision that requires us to pay additional amounts to the applicable lender or other financing party, generally if withholding taxes are imposed on such lender or other financing party as a result of a change in the applicable tax law.</w:t>
      </w:r>
    </w:p>
    <w:p>
      <w:pPr>
        <w:spacing w:after="0" w:line="12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we may be required to make a lump sum payment to terminate the relevant transaction.</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have general indemnity clauses in many of our airport and other real estate leases where we as lessee indemnify the lessor (and related parties) against liabilities related to our use of the leased property. Generally, these indemnifications cover liabilities resulting from the negligence of the indemnified parties, but not liabilities resulting from the gross negligence or willful misconduct of the indemnified parties. In addition, we provide environmental indemnities in many of these leases for contamination related to our use of the leased property.</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certain contracts with third parties, we indemnify the third-party against legal liability arising out of an action by the third-party, or certain other parties. The terms of these contracts vary and the potential exposure under these indemnities cannot be determined. We have liability insurance protecting us for some of the obligations we have undertaken under these indemnities.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AAG. As of December 31, 2022, the remaining lease payments through 2035 guaranteeing the principal and interest on these bonds are $538 million and the current carrying amount of the associated operating lease liability in the accompanying consolidated balance sheet is $321 million.</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2022, AAG had issued guarantees covering approximately $18.3 billion of American’s secured debt (and interest thereon), including the Credit Facilities, the AAdvantage Financing, certain EETC financings and $1.1 billion of American’s special facility revenue bonds (and interest thereon).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Our agreements allow these credit card processing companies, under certain conditions, to hold an amount of our cash (referred to as a holdback) equal to all or a portion of advance ticket sales that have been processed by that company, but for which we have not yet provided the air transportation. These holdback requirements can be implemented at the discretion of the credit card processing companies upon the occurrence of specific events, including material adverse changes in our financial condition or the triggering of a liquidity covenant. These credit card processing companies are not currently entitled to maintain any holdbacks. The imposition of holdback requirements would reduce our liquidity.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Labor Negotiations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2022, we employed approximately 129,700 active full-time equivalent (FTE) employees, of which 27,700 were employed by our wholly-owned regional subsidiaries. Of the total active FTE employees, 87% are covered by collective bargaining agreements (CBAs) with various labor unions and 48% are covered by CBAs that are currently amendable or that will become amendable within one year. CBAs covering our mainline pilots, flight attendants and passenger service are now amendable. The CBAs covering certain employee groups at our wholly-owned regional subsidiaries are also amendable.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Cash Flow Information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20"/>
              <w:spacing w:after="0"/>
              <w:rPr>
                <w:sz w:val="20"/>
                <w:szCs w:val="20"/>
                <w:color w:val="auto"/>
              </w:rPr>
            </w:pPr>
            <w:r>
              <w:rPr>
                <w:rFonts w:ascii="Arial" w:cs="Arial" w:eastAsia="Arial" w:hAnsi="Arial"/>
                <w:sz w:val="18"/>
                <w:szCs w:val="18"/>
                <w:color w:val="auto"/>
              </w:rPr>
              <w:t>Equity investments</w:t>
            </w:r>
          </w:p>
        </w:tc>
        <w:tc>
          <w:tcPr>
            <w:tcW w:w="23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 of bankruptcy obligations</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Deferred financing costs paid through issuance of debt</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040" w:type="dxa"/>
            <w:vAlign w:val="bottom"/>
          </w:tcPr>
          <w:p>
            <w:pPr>
              <w:ind w:left="220"/>
              <w:spacing w:after="0"/>
              <w:rPr>
                <w:sz w:val="20"/>
                <w:szCs w:val="20"/>
                <w:color w:val="auto"/>
              </w:rPr>
            </w:pPr>
            <w:r>
              <w:rPr>
                <w:rFonts w:ascii="Arial" w:cs="Arial" w:eastAsia="Arial" w:hAnsi="Arial"/>
                <w:sz w:val="18"/>
                <w:szCs w:val="18"/>
                <w:color w:val="auto"/>
              </w:rPr>
              <w:t>Interest paid, net</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733"/>
        </w:trPr>
        <w:tc>
          <w:tcPr>
            <w:tcW w:w="5040" w:type="dxa"/>
            <w:vAlign w:val="bottom"/>
          </w:tcPr>
          <w:p>
            <w:pPr>
              <w:spacing w:after="0"/>
              <w:rPr>
                <w:sz w:val="24"/>
                <w:szCs w:val="24"/>
                <w:color w:val="auto"/>
              </w:rPr>
            </w:pPr>
          </w:p>
        </w:tc>
        <w:tc>
          <w:tcPr>
            <w:tcW w:w="1440" w:type="dxa"/>
            <w:vAlign w:val="bottom"/>
          </w:tcPr>
          <w:p>
            <w:pPr>
              <w:jc w:val="right"/>
              <w:ind w:right="616"/>
              <w:spacing w:after="0"/>
              <w:rPr>
                <w:sz w:val="20"/>
                <w:szCs w:val="20"/>
                <w:color w:val="auto"/>
              </w:rPr>
            </w:pPr>
            <w:r>
              <w:rPr>
                <w:rFonts w:ascii="Arial" w:cs="Arial" w:eastAsia="Arial" w:hAnsi="Arial"/>
                <w:sz w:val="18"/>
                <w:szCs w:val="18"/>
                <w:color w:val="auto"/>
              </w:rPr>
              <w:t>128</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50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 and Related Disclosures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managed as a single business unit that provides air transportation for passengers and cargo. This allows us to benefit from an integrated revenue pricing and route network that includes American and our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regional carriers. The objective in making operational decisions is to maximize consolidated financial results, not the individual results of American or American Eagle.</w:t>
      </w:r>
    </w:p>
    <w:p>
      <w:pPr>
        <w:spacing w:after="0" w:line="13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1(m) for our passenger revenue by geographic region. Our tangible assets consist primarily of flight equipment, which are mobile across geographic markets and, therefore, have not been allocated.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2013 AAG Incentive Award Plan (the 2013 Plan) provides that awards may be in the form of an option, restricted stock award, restricted stock unit award, performance award, dividend equivalent award, deferred stock award, deferred stock unit award, stock payment award or stock appreciation right. The 2013 Plan initially authorized the grant of awards for the issuance of up to 40 million shares. Any shares underlying awards granted under the 2013 Plan that are forfeited, terminate or are settled in cash (in whole or in part) without the delivery of shares will again be available for grant.</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the years ended December 31, 2022, 2021 and 2020, we recorded $ 78 million, $98 million and $91 million, respectively, of share-based compensation costs principally in salaries, wages and benefits expense on our consolidated statements of operations.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2022, 2021 and 2020, we withheld approximately 1.2 million, 1.0 million and 0.7 million shares of AAG common stock, respectively, and paid approximately $21 million, $18 million and $15 million, respectively, in satisfaction of certain tax withholding obligations associated with employee equity awards.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majority of our RSUs have service conditions (time vested primarily over three years). The grant-date fair value of these RSUs is equal to the market price of the underlying shares of AAG common stock on the date of grant. The expense for these RSUs is recognized on a straight-line basis over the vesting period for the entire award. RSUs are classified as equity awards as the vesting results in the issuance of shares of AAG common stock.</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RSU award activity for all plans for the years ended December 31, 2022, 2021 and 2020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Grant Date</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40" w:type="dxa"/>
            <w:vAlign w:val="bottom"/>
          </w:tcPr>
          <w:p>
            <w:pPr>
              <w:jc w:val="right"/>
              <w:ind w:right="43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286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5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86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5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86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5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1150"/>
              <w:spacing w:after="0"/>
              <w:rPr>
                <w:sz w:val="20"/>
                <w:szCs w:val="20"/>
                <w:color w:val="auto"/>
              </w:rPr>
            </w:pPr>
            <w:r>
              <w:rPr>
                <w:rFonts w:ascii="Arial" w:cs="Arial" w:eastAsia="Arial" w:hAnsi="Arial"/>
                <w:sz w:val="18"/>
                <w:szCs w:val="18"/>
                <w:color w:val="auto"/>
              </w:rPr>
              <w:t>129</w:t>
            </w: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1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2022, there was $99 million of unrecognized compensation cost related to RSUs. These costs are expected to be recognized over a weighted average period of one year. The total fair value of RSUs vested during the years ended December 31, 2022, 2021 and 2020 was $70 million, $62 million and $51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Valuation and Qualifying Accounts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Additions Charged to</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Statement of</w:t>
            </w:r>
          </w:p>
        </w:tc>
        <w:tc>
          <w:tcPr>
            <w:tcW w:w="260" w:type="dxa"/>
            <w:vAlign w:val="bottom"/>
          </w:tcPr>
          <w:p>
            <w:pPr>
              <w:spacing w:after="0"/>
              <w:rPr>
                <w:sz w:val="12"/>
                <w:szCs w:val="12"/>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 Year</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Operations Accounts</w:t>
            </w: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17"/>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obsolescence of spare parts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240" w:type="dxa"/>
            <w:vAlign w:val="bottom"/>
          </w:tcPr>
          <w:p>
            <w:pPr>
              <w:jc w:val="right"/>
              <w:ind w:right="4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Term Loan Facility Refinancing</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February 2023, American and AAG entered into the Seventh Amendment to Amended and Restated Credit and Guaranty Agreement (the Seventh Amendment) to the 2013 Credit Agreement, pursuant to which American extended the maturity date of all remaining term loans outstanding under the 2013 Term Loan Facility to February 2028 from June 2025. The Seventh Amendment also amended certain other terms of the 2013 Credit Agreement, including the interest rate for the 2013 Term Loan Facility, amortization schedule, the requirements for delivery of appraisals and certain covenants relating to dispositions of collateral. Additionally, the Seventh Amendment transitioned the benchmark interest rate from LIBOR to SOFR. As a result, the 2013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and an applicable margin of 2.75%. After giving effect to the issuance of the 7.25% Senior Secured Notes (as discussed below) and the application of the proceeds therefrom, there was $1.0 billion aggregate principal outstanding under the 2013 Term Loan Facility.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7.25%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February 2023, American issued $750 million aggregate principal amount of 7.25% senior secured notes due 2028 (the 7.25% Senior Secured Notes). The 7.25% Senior Secured Notes bear interest at a rate of 7.25% per annum (subject to increase if the collateral coverage ratio described below is not met). Interest on the 7.25% Senior Secured Notes is payable semiannually in arrears on February 15 and August 15 of each year, beginning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outstanding under the 2013 Term Loan Facility and to pay related fees and expenses.</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Trustee). The 7.25% Senior Secured Notes are American’s senior secured obligations and are secured on a first lien basis by security interests in certain assets, rights and properties that American uses to provide non-stop scheduled air carrier services between certain airports in the United States and airports in countries in South America and New Zealand (the 7.25% Senior Secured Notes Collateral). The 7.25% Senior Secured Notes Collateral presently secures (and will continue to secure), on a first lien, pari passu basis with the 7.25% Senior Secured Notes, the 2013 Credit Facilities under the 2013 Credit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under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2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Further, if certain change of control transactions occur, each holder of 7.25% Senior Secured Notes may require American to repurchase the 7.25% Senior Secured Notes in whole or in part at a repurchase price of 101% of the aggregate principal amount thereof, plus accrued and unpaid interest, if any, to but not including the repurchase date.</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is required to deliver an appraisal of the 7.25% Senior Secured Notes Collateral and officer’s certificate twice a year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right="1460" w:hanging="3131"/>
        <w:spacing w:after="0" w:line="438" w:lineRule="auto"/>
        <w:rPr>
          <w:sz w:val="20"/>
          <w:szCs w:val="20"/>
          <w:color w:val="auto"/>
        </w:rPr>
      </w:pPr>
      <w:r>
        <w:rPr>
          <w:rFonts w:ascii="Arial" w:cs="Arial" w:eastAsia="Arial" w:hAnsi="Arial"/>
          <w:sz w:val="18"/>
          <w:szCs w:val="18"/>
          <w:b w:val="1"/>
          <w:bCs w:val="1"/>
          <w:color w:val="auto"/>
        </w:rPr>
        <w:t>ITEM 8B. CONSOLIDATED FINANCIAL STATEMENTS AND SUPPLEMENTARY DATA OF AMERICAN AIRLINES, INC.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American Airlines, Inc. and subsidiaries (American) as of December 31, 2022 and 2021, the related consolidated statements of operations, comprehensive income (loss), cash flows, and stockholder’s equity, for each of the years in the three-year period ended December 31, 2022, and the related notes (collectively, the consolidated financial statements). In our opinion, the consolidated financial statements present fairly, in all material respects, the financial position of American as of December 31, 2022 and 2021, and the results of its operations and its cash flows for each of the years in the three-year period ended December 31, 2022, in conformity with U.S. generally accepted accounting principles.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American’s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22,</w:t>
      </w:r>
      <w:r>
        <w:rPr>
          <w:rFonts w:ascii="Arial" w:cs="Arial" w:eastAsia="Arial" w:hAnsi="Arial"/>
          <w:sz w:val="18"/>
          <w:szCs w:val="18"/>
          <w:i w:val="1"/>
          <w:iCs w:val="1"/>
          <w:color w:val="auto"/>
        </w:rPr>
        <w:t xml:space="preserve"> </w:t>
      </w:r>
      <w:r>
        <w:rPr>
          <w:rFonts w:ascii="Arial" w:cs="Arial" w:eastAsia="Arial" w:hAnsi="Arial"/>
          <w:sz w:val="18"/>
          <w:szCs w:val="18"/>
          <w:color w:val="auto"/>
        </w:rPr>
        <w:t>2023 expressed an unqualified opinion on the effectiveness of American’s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American’s management. Our responsibility is to express an opinion on these consolidated financial statements based on our audits.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Sufficiency of audit evidence over realizability of tax operating loss and other carryforwards</w:t>
      </w:r>
    </w:p>
    <w:p>
      <w:pPr>
        <w:spacing w:after="0" w:line="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discussed in Notes 1(j) and 5 to the consolidated financial statements, American had $4.5 billion of tax operating loss and other carryforwards, which are recorded as deferred tax assets at December 31, 2022. Deferred tax assets are recognized related to tax operating loss and other carryforwards that will reduce future taxable income. American provides a valuation allowance for deferred tax assets when it is more likely than not that some portion, or all of the deferred tax assets, will not be realized. In evaluating the need for a valuation allowance, management considers all available positive and negative evidence.</w:t>
      </w:r>
    </w:p>
    <w:p>
      <w:pPr>
        <w:spacing w:after="0" w:line="1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We identified the evaluation of the sufficiency of audit evidence over the realizability of tax operating loss and other carryforwards as a critical audit matter. Evaluating the sufficiency of audit evidence required subjective auditor judgment in order to assess the extent of procedures performed in assessing the realizability of the tax operating loss and other carryforwards.</w:t>
      </w:r>
    </w:p>
    <w:p>
      <w:pPr>
        <w:spacing w:after="0" w:line="11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American’s deferred tax asset valuation allowance process, including controls related to the realizability of tax operating loss and other carryforwards. We evaluated positive and negative evidence used in assessing whether the tax operating loss and other carryforwards were more likely than not to be realized in the future. We evaluated the reasonableness of management’s projections of future profitability considering historical profitability of American, and consistency with industry data. We involved tax professionals with specialized skills and knowledge, who assisted in evaluating the application of tax law. We assessed the sufficiency of audit evidence obtained over the realizability of the tax operating loss and other carryforwards by evaluating the cumulative results of the audit procedures.</w:t>
      </w:r>
    </w:p>
    <w:p>
      <w:pPr>
        <w:spacing w:after="0" w:line="131"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American’s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44,568</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14,518</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29"/>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17,335</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11,224</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2,040</w:t>
            </w:r>
          </w:p>
        </w:tc>
      </w:tr>
      <w:tr>
        <w:trPr>
          <w:trHeight w:val="229"/>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27,559</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(10,224)</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0"/>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(10,903)</w:t>
            </w: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w:t>
            </w:r>
          </w:p>
        </w:tc>
      </w:tr>
      <w:tr>
        <w:trPr>
          <w:trHeight w:val="20"/>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retiree medical and other postretirement benefits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r>
      <w:tr>
        <w:trPr>
          <w:trHeight w:val="21"/>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12,155</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 and short-term investments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from related parties, net</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5,547</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Aircraft fuel, spare parts and supplies, net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09"/>
        </w:trPr>
        <w:tc>
          <w:tcPr>
            <w:tcW w:w="772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21,607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22,712</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property and equipment</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Flight equipment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39,359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37,520</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Ground property and equipment</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8,966</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Equipment purchase deposits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property and equipment, at cost</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47,003</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(17,770)</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property and equipment, net</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29,233</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Operating lease right-of-use assets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7,810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Intangibles, net of accumulated amortization of $827 and $786, respectively</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Deferred tax asset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3,408</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assets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11,390</w:t>
            </w:r>
          </w:p>
        </w:tc>
        <w:tc>
          <w:tcPr>
            <w:tcW w:w="0" w:type="dxa"/>
            <w:vAlign w:val="bottom"/>
          </w:tcPr>
          <w:p>
            <w:pPr>
              <w:spacing w:after="0"/>
              <w:rPr>
                <w:sz w:val="1"/>
                <w:szCs w:val="1"/>
                <w:color w:val="auto"/>
              </w:rPr>
            </w:pPr>
          </w:p>
        </w:tc>
      </w:tr>
      <w:tr>
        <w:trPr>
          <w:trHeight w:val="235"/>
        </w:trPr>
        <w:tc>
          <w:tcPr>
            <w:tcW w:w="7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106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70,324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71,145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Current maturities of long-term debt and finance leases</w:t>
            </w:r>
          </w:p>
        </w:tc>
        <w:tc>
          <w:tcPr>
            <w:tcW w:w="106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3,267</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Accrued salaries and wages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 traffic liability</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6,087</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Loyalty program liability</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2,896</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accrued liabilities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17,864</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and finance leases, net of current maturities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30,352</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Pension and postretirement benefits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Loyalty program liability</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6,239</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09"/>
        </w:trPr>
        <w:tc>
          <w:tcPr>
            <w:tcW w:w="7720" w:type="dxa"/>
            <w:vAlign w:val="bottom"/>
          </w:tcPr>
          <w:p>
            <w:pPr>
              <w:ind w:left="480"/>
              <w:spacing w:after="0"/>
              <w:rPr>
                <w:sz w:val="20"/>
                <w:szCs w:val="20"/>
                <w:color w:val="auto"/>
              </w:rPr>
            </w:pPr>
            <w:r>
              <w:rPr>
                <w:rFonts w:ascii="Arial" w:cs="Arial" w:eastAsia="Arial" w:hAnsi="Arial"/>
                <w:sz w:val="16"/>
                <w:szCs w:val="16"/>
                <w:color w:val="auto"/>
              </w:rPr>
              <w:t>Total noncurrent liabilities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43,649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49,455</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10)</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$1.00 par value; 1,000 shares authorized, issued and outstanding</w:t>
            </w: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17,152</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(6,041)</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deficit</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(7,285)</w:t>
            </w: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10"/>
        </w:trPr>
        <w:tc>
          <w:tcPr>
            <w:tcW w:w="772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106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70,324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71,145</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364"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104"/>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5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r>
      <w:tr>
        <w:trPr>
          <w:trHeight w:val="184"/>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Net income (loss)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338</w:t>
            </w:r>
          </w:p>
        </w:tc>
        <w:tc>
          <w:tcPr>
            <w:tcW w:w="12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(1,777)</w:t>
            </w:r>
          </w:p>
        </w:tc>
        <w:tc>
          <w:tcPr>
            <w:tcW w:w="12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(8,450)</w:t>
            </w:r>
          </w:p>
        </w:tc>
      </w:tr>
      <w:tr>
        <w:trPr>
          <w:trHeight w:val="204"/>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2,313</w:t>
            </w:r>
          </w:p>
        </w:tc>
      </w:tr>
      <w:tr>
        <w:trPr>
          <w:trHeight w:val="204"/>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Special items, net non-cash</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1,588</w:t>
            </w: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Pension and postretirement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(319)</w:t>
            </w:r>
          </w:p>
        </w:tc>
      </w:tr>
      <w:tr>
        <w:trPr>
          <w:trHeight w:val="204"/>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Deferred income tax provision (benefit)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(2,453)</w:t>
            </w: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Share-based compensation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04"/>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Net gains from sale of property and equipment and sale-leaseback transactions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Other,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4"/>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rPr>
              <w:t>Changes in operating assets and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100" w:type="dxa"/>
            <w:vAlign w:val="bottom"/>
            <w:gridSpan w:val="2"/>
          </w:tcPr>
          <w:p>
            <w:pPr>
              <w:ind w:left="360"/>
              <w:spacing w:after="0"/>
              <w:rPr>
                <w:sz w:val="20"/>
                <w:szCs w:val="20"/>
                <w:color w:val="auto"/>
              </w:rPr>
            </w:pPr>
            <w:r>
              <w:rPr>
                <w:rFonts w:ascii="Arial" w:cs="Arial" w:eastAsia="Arial" w:hAnsi="Arial"/>
                <w:sz w:val="15"/>
                <w:szCs w:val="15"/>
                <w:color w:val="auto"/>
              </w:rPr>
              <w:t>Decrease (increase) in accounts receivable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595</w:t>
            </w:r>
          </w:p>
        </w:tc>
      </w:tr>
      <w:tr>
        <w:trPr>
          <w:trHeight w:val="204"/>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Decrease (increase) in other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201"/>
        </w:trPr>
        <w:tc>
          <w:tcPr>
            <w:tcW w:w="7100" w:type="dxa"/>
            <w:vAlign w:val="bottom"/>
            <w:gridSpan w:val="2"/>
          </w:tcPr>
          <w:p>
            <w:pPr>
              <w:ind w:left="360"/>
              <w:spacing w:after="0"/>
              <w:rPr>
                <w:sz w:val="20"/>
                <w:szCs w:val="20"/>
                <w:color w:val="auto"/>
              </w:rPr>
            </w:pPr>
            <w:r>
              <w:rPr>
                <w:rFonts w:ascii="Arial" w:cs="Arial" w:eastAsia="Arial" w:hAnsi="Arial"/>
                <w:sz w:val="15"/>
                <w:szCs w:val="15"/>
                <w:color w:val="auto"/>
              </w:rPr>
              <w:t>Increase (decrease) in accounts payable and accrued liabilities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(619)</w:t>
            </w:r>
          </w:p>
        </w:tc>
      </w:tr>
      <w:tr>
        <w:trPr>
          <w:trHeight w:val="204"/>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Increase (decrease) in air traffic liability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201"/>
        </w:trPr>
        <w:tc>
          <w:tcPr>
            <w:tcW w:w="7100" w:type="dxa"/>
            <w:vAlign w:val="bottom"/>
            <w:gridSpan w:val="2"/>
          </w:tcPr>
          <w:p>
            <w:pPr>
              <w:ind w:left="360"/>
              <w:spacing w:after="0"/>
              <w:rPr>
                <w:sz w:val="20"/>
                <w:szCs w:val="20"/>
                <w:color w:val="auto"/>
              </w:rPr>
            </w:pPr>
            <w:r>
              <w:rPr>
                <w:rFonts w:ascii="Arial" w:cs="Arial" w:eastAsia="Arial" w:hAnsi="Arial"/>
                <w:sz w:val="15"/>
                <w:szCs w:val="15"/>
                <w:color w:val="auto"/>
              </w:rPr>
              <w:t>Decrease (increase) in receivables from related parties,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(1,044)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4,134</w:t>
            </w:r>
          </w:p>
        </w:tc>
      </w:tr>
      <w:tr>
        <w:trPr>
          <w:trHeight w:val="204"/>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Increase (decrease) in loyalty program liability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w:t>
            </w:r>
          </w:p>
        </w:tc>
      </w:tr>
      <w:tr>
        <w:trPr>
          <w:trHeight w:val="201"/>
        </w:trPr>
        <w:tc>
          <w:tcPr>
            <w:tcW w:w="7100" w:type="dxa"/>
            <w:vAlign w:val="bottom"/>
            <w:gridSpan w:val="2"/>
          </w:tcPr>
          <w:p>
            <w:pPr>
              <w:ind w:left="360"/>
              <w:spacing w:after="0"/>
              <w:rPr>
                <w:sz w:val="20"/>
                <w:szCs w:val="20"/>
                <w:color w:val="auto"/>
              </w:rPr>
            </w:pPr>
            <w:r>
              <w:rPr>
                <w:rFonts w:ascii="Arial" w:cs="Arial" w:eastAsia="Arial" w:hAnsi="Arial"/>
                <w:sz w:val="15"/>
                <w:szCs w:val="15"/>
                <w:color w:val="auto"/>
              </w:rPr>
              <w:t>Contributions to pension plans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4"/>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Increase (decrease) in 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1,210</w:t>
            </w:r>
          </w:p>
        </w:tc>
      </w:tr>
      <w:tr>
        <w:trPr>
          <w:trHeight w:val="195"/>
        </w:trPr>
        <w:tc>
          <w:tcPr>
            <w:tcW w:w="7100" w:type="dxa"/>
            <w:vAlign w:val="bottom"/>
            <w:gridSpan w:val="2"/>
          </w:tcPr>
          <w:p>
            <w:pPr>
              <w:ind w:left="480"/>
              <w:spacing w:after="0"/>
              <w:rPr>
                <w:sz w:val="20"/>
                <w:szCs w:val="20"/>
                <w:color w:val="auto"/>
              </w:rPr>
            </w:pPr>
            <w:r>
              <w:rPr>
                <w:rFonts w:ascii="Arial" w:cs="Arial" w:eastAsia="Arial" w:hAnsi="Arial"/>
                <w:sz w:val="15"/>
                <w:szCs w:val="15"/>
                <w:color w:val="auto"/>
              </w:rPr>
              <w:t>Net cash provided by (used in) operating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3,190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(1,429)</w:t>
            </w:r>
          </w:p>
        </w:tc>
      </w:tr>
      <w:tr>
        <w:trPr>
          <w:trHeight w:val="204"/>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Capital expenditures, net of aircraft purchase deposit returns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(2,489)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(1,922)</w:t>
            </w:r>
          </w:p>
        </w:tc>
      </w:tr>
      <w:tr>
        <w:trPr>
          <w:trHeight w:val="204"/>
        </w:trPr>
        <w:tc>
          <w:tcPr>
            <w:tcW w:w="710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Airport construction projects, net of reimbursements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r>
      <w:tr>
        <w:trPr>
          <w:trHeight w:val="201"/>
        </w:trPr>
        <w:tc>
          <w:tcPr>
            <w:tcW w:w="7100" w:type="dxa"/>
            <w:vAlign w:val="bottom"/>
            <w:gridSpan w:val="2"/>
          </w:tcPr>
          <w:p>
            <w:pPr>
              <w:ind w:left="240"/>
              <w:spacing w:after="0"/>
              <w:rPr>
                <w:sz w:val="20"/>
                <w:szCs w:val="20"/>
                <w:color w:val="auto"/>
              </w:rPr>
            </w:pPr>
            <w:r>
              <w:rPr>
                <w:rFonts w:ascii="Arial" w:cs="Arial" w:eastAsia="Arial" w:hAnsi="Arial"/>
                <w:sz w:val="15"/>
                <w:szCs w:val="15"/>
                <w:color w:val="auto"/>
              </w:rPr>
              <w:t>Proceeds from sale-leaseback transactions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665</w:t>
            </w:r>
          </w:p>
        </w:tc>
      </w:tr>
      <w:tr>
        <w:trPr>
          <w:trHeight w:val="204"/>
        </w:trPr>
        <w:tc>
          <w:tcPr>
            <w:tcW w:w="710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Proceeds from sale of property and equipment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Sales of short-term investments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14,972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13,923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2,803</w:t>
            </w:r>
          </w:p>
        </w:tc>
      </w:tr>
      <w:tr>
        <w:trPr>
          <w:trHeight w:val="204"/>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Purchases of short-term investments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(5,874)</w:t>
            </w: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Decrease (increase) in restricted short-term investments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(308)</w:t>
            </w:r>
          </w:p>
        </w:tc>
      </w:tr>
      <w:tr>
        <w:trPr>
          <w:trHeight w:val="204"/>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Purchase of equity investments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Other investing activities</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150</w:t>
            </w:r>
          </w:p>
        </w:tc>
      </w:tr>
      <w:tr>
        <w:trPr>
          <w:trHeight w:val="197"/>
        </w:trPr>
        <w:tc>
          <w:tcPr>
            <w:tcW w:w="710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5"/>
                <w:szCs w:val="15"/>
                <w:color w:val="auto"/>
              </w:rPr>
              <w:t>Net cash provided by (used in)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(4,308)</w:t>
            </w:r>
          </w:p>
        </w:tc>
      </w:tr>
      <w:tr>
        <w:trPr>
          <w:trHeight w:val="203"/>
        </w:trPr>
        <w:tc>
          <w:tcPr>
            <w:tcW w:w="710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Payments on long-term debt and finance leases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(3,029)</w:t>
            </w:r>
          </w:p>
        </w:tc>
      </w:tr>
      <w:tr>
        <w:trPr>
          <w:trHeight w:val="201"/>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Proceeds from issuance of long-term debt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10,209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8,959</w:t>
            </w:r>
          </w:p>
        </w:tc>
      </w:tr>
      <w:tr>
        <w:trPr>
          <w:trHeight w:val="204"/>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Deferred financing costs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201"/>
        </w:trPr>
        <w:tc>
          <w:tcPr>
            <w:tcW w:w="7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Other financing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71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Net cash provided by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5,845</w:t>
            </w:r>
          </w:p>
        </w:tc>
      </w:tr>
      <w:tr>
        <w:trPr>
          <w:trHeight w:val="195"/>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Net increase in cash and restricted cash</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0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and restricted cash at beginning of year</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w:t>
            </w:r>
          </w:p>
        </w:tc>
      </w:tr>
      <w:tr>
        <w:trPr>
          <w:trHeight w:val="197"/>
        </w:trPr>
        <w:tc>
          <w:tcPr>
            <w:tcW w:w="7100" w:type="dxa"/>
            <w:vAlign w:val="bottom"/>
            <w:gridSpan w:val="2"/>
          </w:tcPr>
          <w:p>
            <w:pPr>
              <w:ind w:left="20"/>
              <w:spacing w:after="0" w:line="197" w:lineRule="exact"/>
              <w:rPr>
                <w:sz w:val="20"/>
                <w:szCs w:val="20"/>
                <w:color w:val="auto"/>
              </w:rPr>
            </w:pPr>
            <w:r>
              <w:rPr>
                <w:rFonts w:ascii="Arial" w:cs="Arial" w:eastAsia="Arial" w:hAnsi="Arial"/>
                <w:sz w:val="15"/>
                <w:szCs w:val="15"/>
                <w:color w:val="auto"/>
              </w:rPr>
              <w:t xml:space="preserve">Cash and restricted cash at end of year </w:t>
            </w:r>
            <w:r>
              <w:rPr>
                <w:rFonts w:ascii="Arial" w:cs="Arial" w:eastAsia="Arial" w:hAnsi="Arial"/>
                <w:sz w:val="19"/>
                <w:szCs w:val="19"/>
                <w:color w:val="auto"/>
                <w:vertAlign w:val="superscript"/>
              </w:rPr>
              <w:t>(a)</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w:t>
            </w:r>
          </w:p>
        </w:tc>
      </w:tr>
      <w:tr>
        <w:trPr>
          <w:trHeight w:val="20"/>
        </w:trPr>
        <w:tc>
          <w:tcPr>
            <w:tcW w:w="20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72" w:lineRule="exact"/>
        <w:rPr>
          <w:sz w:val="20"/>
          <w:szCs w:val="20"/>
          <w:color w:val="auto"/>
        </w:rPr>
      </w:pPr>
    </w:p>
    <w:p>
      <w:pPr>
        <w:ind w:left="140" w:hanging="132"/>
        <w:spacing w:after="0"/>
        <w:tabs>
          <w:tab w:leader="none" w:pos="140" w:val="left"/>
        </w:tabs>
        <w:numPr>
          <w:ilvl w:val="0"/>
          <w:numId w:val="58"/>
        </w:numPr>
        <w:rPr>
          <w:rFonts w:ascii="Arial" w:cs="Arial" w:eastAsia="Arial" w:hAnsi="Arial"/>
          <w:sz w:val="9"/>
          <w:szCs w:val="9"/>
          <w:color w:val="auto"/>
        </w:rPr>
      </w:pPr>
      <w:r>
        <w:rPr>
          <w:rFonts w:ascii="Arial" w:cs="Arial" w:eastAsia="Arial" w:hAnsi="Arial"/>
          <w:sz w:val="14"/>
          <w:szCs w:val="14"/>
          <w:color w:val="auto"/>
        </w:rPr>
        <w:t>The following table provides a reconciliation of cash and restricted cash to amounts reported within the consolidated balance sheets: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r>
      <w:tr>
        <w:trPr>
          <w:trHeight w:val="201"/>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Restricted cash included in restricted cash and short-term investments</w:t>
            </w: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w:t>
            </w:r>
          </w:p>
        </w:tc>
      </w:tr>
      <w:tr>
        <w:trPr>
          <w:trHeight w:val="222"/>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cash and restricted cash</w:t>
            </w: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575</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2"/>
                <w:szCs w:val="12"/>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(Deficit)</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Intercompany equity transfer</w:t>
            </w:r>
          </w:p>
        </w:tc>
        <w:tc>
          <w:tcPr>
            <w:tcW w:w="10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Airlines, Inc. (American) is a Delaware corporation whose primary business activity is the operation of a major network air carrier, providing scheduled air transportation for passengers and cargo. American is the principal wholly-owned subsidiary of American Airlines Group Inc. (AAG), which owns all of American’s outstanding common stock, par value $1.00 per share. All significant intercompany transactions have been eliminated.</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08" w:lineRule="exact"/>
        <w:rPr>
          <w:sz w:val="20"/>
          <w:szCs w:val="20"/>
          <w:color w:val="auto"/>
        </w:rPr>
      </w:pPr>
    </w:p>
    <w:p>
      <w:pPr>
        <w:ind w:left="260" w:right="8640" w:hanging="9"/>
        <w:spacing w:after="0" w:line="363" w:lineRule="auto"/>
        <w:tabs>
          <w:tab w:leader="none" w:pos="540" w:val="left"/>
        </w:tabs>
        <w:numPr>
          <w:ilvl w:val="0"/>
          <w:numId w:val="5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Government Assistance </w:t>
      </w:r>
      <w:r>
        <w:rPr>
          <w:rFonts w:ascii="Arial" w:cs="Arial" w:eastAsia="Arial" w:hAnsi="Arial"/>
          <w:sz w:val="17"/>
          <w:szCs w:val="17"/>
          <w:i w:val="1"/>
          <w:iCs w:val="1"/>
          <w:u w:val="single" w:color="auto"/>
          <w:color w:val="auto"/>
        </w:rPr>
        <w:t>Payroll Support Programs</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2020 and 2021, American, Envoy Air Inc. (Envoy), Piedmont Airlines, Inc. (Piedmont) and PSA Airlines, Inc. (PSA and together with American, Envoy and Piedmont, the Subsidiaries) entered into payroll support program agreements (PSP Agreements) with the U.S. Department of Treasury (Treasury) pursuant to the payroll support program established under the Coronavirus Aid, Relief, and Economic Security Act (CARES Act) (PSP1), the payroll support program established under the Subtitle A of Title IV of Division N of the Consolidated Appropriations Act, 2021 (PSP Extension Law) (PSP2) and the payroll support program established under the American Rescue Plan Act of 2021 (ARP) (PSP3). The aggregate amount of financial assistance received was approximately $12.8 billion, and as partial compensation to the U.S. Government for the provision of financial assistance provided under each of these programs, AAG issued promissory notes and warrants to Treasury.</w:t>
      </w:r>
    </w:p>
    <w:p>
      <w:pPr>
        <w:spacing w:after="0" w:line="13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table below provides a summary of the financial assistance received and the promissory notes and the warrants issued under each program (in millions, except exercise price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PSP Financial</w:t>
            </w:r>
          </w:p>
        </w:tc>
        <w:tc>
          <w:tcPr>
            <w:tcW w:w="140" w:type="dxa"/>
            <w:vAlign w:val="bottom"/>
          </w:tcPr>
          <w:p>
            <w:pPr>
              <w:spacing w:after="0"/>
              <w:rPr>
                <w:sz w:val="18"/>
                <w:szCs w:val="18"/>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Promissory</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7"/>
              </w:rPr>
              <w:t>Warrants</w:t>
            </w:r>
          </w:p>
        </w:tc>
        <w:tc>
          <w:tcPr>
            <w:tcW w:w="100" w:type="dxa"/>
            <w:vAlign w:val="bottom"/>
          </w:tcPr>
          <w:p>
            <w:pPr>
              <w:spacing w:after="0"/>
              <w:rPr>
                <w:sz w:val="18"/>
                <w:szCs w:val="18"/>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17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Program</w:t>
            </w:r>
          </w:p>
        </w:tc>
        <w:tc>
          <w:tcPr>
            <w:tcW w:w="17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Closing Date</w:t>
            </w:r>
          </w:p>
        </w:tc>
        <w:tc>
          <w:tcPr>
            <w:tcW w:w="13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PSP Warrants</w:t>
            </w:r>
          </w:p>
        </w:tc>
        <w:tc>
          <w:tcPr>
            <w:tcW w:w="28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Issued</w:t>
            </w: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40" w:type="dxa"/>
            <w:vAlign w:val="bottom"/>
            <w:gridSpan w:val="2"/>
            <w:vMerge w:val="continue"/>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Assistance</w:t>
            </w:r>
          </w:p>
        </w:tc>
        <w:tc>
          <w:tcPr>
            <w:tcW w:w="140" w:type="dxa"/>
            <w:vAlign w:val="bottom"/>
          </w:tcPr>
          <w:p>
            <w:pPr>
              <w:spacing w:after="0"/>
              <w:rPr>
                <w:sz w:val="21"/>
                <w:szCs w:val="21"/>
                <w:color w:val="auto"/>
              </w:rPr>
            </w:pPr>
          </w:p>
        </w:tc>
        <w:tc>
          <w:tcPr>
            <w:tcW w:w="1260" w:type="dxa"/>
            <w:vAlign w:val="bottom"/>
            <w:gridSpan w:val="2"/>
          </w:tcPr>
          <w:p>
            <w:pPr>
              <w:jc w:val="center"/>
              <w:ind w:right="200"/>
              <w:spacing w:after="0" w:line="243" w:lineRule="exact"/>
              <w:rPr>
                <w:sz w:val="20"/>
                <w:szCs w:val="20"/>
                <w:color w:val="auto"/>
              </w:rPr>
            </w:pPr>
            <w:r>
              <w:rPr>
                <w:rFonts w:ascii="Arial" w:cs="Arial" w:eastAsia="Arial" w:hAnsi="Arial"/>
                <w:sz w:val="18"/>
                <w:szCs w:val="18"/>
                <w:b w:val="1"/>
                <w:bCs w:val="1"/>
                <w:color w:val="auto"/>
                <w:w w:val="94"/>
              </w:rPr>
              <w:t xml:space="preserve">Notes </w:t>
            </w:r>
            <w:r>
              <w:rPr>
                <w:rFonts w:ascii="Arial" w:cs="Arial" w:eastAsia="Arial" w:hAnsi="Arial"/>
                <w:sz w:val="23"/>
                <w:szCs w:val="23"/>
                <w:b w:val="1"/>
                <w:bCs w:val="1"/>
                <w:color w:val="auto"/>
                <w:w w:val="94"/>
                <w:vertAlign w:val="superscript"/>
              </w:rPr>
              <w:t>(1)</w:t>
            </w:r>
          </w:p>
        </w:tc>
        <w:tc>
          <w:tcPr>
            <w:tcW w:w="138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6"/>
              </w:rPr>
              <w:t xml:space="preserve">(Shares) </w:t>
            </w:r>
            <w:r>
              <w:rPr>
                <w:rFonts w:ascii="Arial" w:cs="Arial" w:eastAsia="Arial" w:hAnsi="Arial"/>
                <w:sz w:val="23"/>
                <w:szCs w:val="23"/>
                <w:b w:val="1"/>
                <w:bCs w:val="1"/>
                <w:color w:val="auto"/>
                <w:w w:val="96"/>
                <w:vertAlign w:val="superscript"/>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of Warrants</w:t>
            </w: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PSP1</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April 20, 2020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PSP2</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January 15, 2021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PSP3</w:t>
            </w:r>
          </w:p>
        </w:tc>
        <w:tc>
          <w:tcPr>
            <w:tcW w:w="1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April 23, 2021</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3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8,855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3,746</w:t>
            </w:r>
          </w:p>
        </w:tc>
        <w:tc>
          <w:tcPr>
            <w:tcW w:w="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12,786</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96"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See Note 3 for further information on the promissory notes issued.</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The payroll support program warrants (PSP Warrants) are subject to certain anti-dilution provisions, do not have any voting rights and are freely transferable, with registration rights. Each warrant expires on the fifth anniversary of the date of issuance, with expiration dates ranging from April 2025 to June 2026, and will be exercisable either through net share settlement or cash, at AAG’s option. The warrants were issued solely as compensation to the U.S. Government related to entry into the PSP Agreements. No separate proceeds (apart from the financial assistance described below) were received upon issuance of the warrants or will be received upon exercise thereof.</w:t>
      </w:r>
    </w:p>
    <w:p>
      <w:pPr>
        <w:spacing w:after="0" w:line="14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the PSP Agreements entered into with Treasury, AAG and the Subsidiaries were required to comply with the relevant provisions of the CARES Act, the PSP Extension Law, and the ARP, which included the requirement that funds provided pursuant to these programs be used exclusively for the continuation of payment of eligible employee wages, salaries and benefits, the prohibition against involuntary furloughs and reductions in employee pay rates and benefits, the requirement that certain levels of commercial air service be maintained, provisions that prohibited the repurchase of AAG common stock and the payment of common stock dividends as well as provisions that restrict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payment of certain executive compensation. As of December 31, 2022, all of these provisions have expired except for those related to the payment of certain executive compensation, which expire on April 1, 2023.</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accounting purposes, the $12.8 billion of aggregate financial assistance received pursuant to the PSP Agreements was allocated to the promissory notes, warrants and other financial assistance (PSP Financial Assistance). The aggregate principal amount of the promissory notes was recorded as unsecured long-term debt and the total fair value of the warrants, estimated using a Black-Scholes option pricing model, was recorded in stockholders’ deficit in AAG’s consolidated balance sheets. The remaining amounts were recognized in 2020 and 2021 as a credit to special items, net in the consolidated statements of operations over the period which the continuation of payment of eligible employee wages, salaries and benefits was required.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Treasury Loan Agreement</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September 25, 2020 (the Treasury Loan Closing Date), AAG and American entered into a Loan and Guarantee Agreement (the Treasury Loan Agreement) with Treasury, which provided for a secured term loan facility (the Treasury Term Loan Facility) that permitted American to borrow up to $5.5 billion. Subsequently, on October 21, 2020, AAG and American entered into an amendment to the Treasury Loan Agreement which increased the borrowing amount to up to $7.5 billion. In connection with AAG’s entry into the Treasury Loan Agreement, on the Treasury Loan Closing Date, AAG also entered into a warrant agreement (the Treasury Loan Warrant Agreement) with Treasury.</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September 2020, American borrowed $ 550 million under the Treasury Term Loan Facility and on March 24, 2021, used a portion of the proceeds from the AAdvantage Financing to prepay in full the $550 million of outstanding loans under the Treasury Term Loan Facility and terminated the Treasury Loan Agreement. Pursuant to the Treasury Loan Agreement, AAG issued to Treasury warrants (Treasury Loan Warrants) to purchase up to an aggregate of approximately 4.4 million shares of AAG common stock (the Treasury Loan Warrant Shares), which expire in September 2025. The exercise price of the Treasury Loan Warrant Shares is $ 12.51 per share, subject to certain anti-dilution provisions provided for in the Treasury Loan Warrant Agreement. For accounting purposes, the fair value for the Treasury Loan Warrant Shares, estimated using a Black-Scholes option pricing model, was recorded in stockholders' deficit in AAG’s consolidated balance sheet with an offsetting debt discount to the Treasury Term Loan Facility in American’s consolidated balance sheet. The provisions of the Treasury Loan Warrants are substantially similar to the PSP Warrants.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2020-04: Reference Rate Reform (Topic 848) Facilitation of the Effects of Reference Rate Reform</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Financial Reporting and ASU 2022-06: Deferral of the Sunset Date of Topic 848</w:t>
      </w:r>
    </w:p>
    <w:p>
      <w:pPr>
        <w:spacing w:after="0" w:line="7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ASU 2020-04 provides optional temporary guidance for applying GAAP to contracts, hedging relationships, and other transactions that reference the London Interbank Offered Rate (LIBOR) or another reference rate expected to be discontinued because of reference rate reform. Topic 848 is effective as of March 12, 2020 through December 31, 2022; however, because the intended cessation date of LIBOR was deferred to June 30, 2023, ASU 2022-06 was issued in December 2022 to extend the current relief in Topic 848 through December 31, 2024. American will adopt Topic 848 when its relevant contracts are modified upon transition to alternative reference rates and American does not expect the application of Topic 848 to have a material impact on its consolidated financial statements.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Investments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Short-term investments primarily include debt securities and are classified as available-for-sale and stated at fair value. Realized gains and losses are recorded in nonoperating other income, net on American’s consolidated statements of operations. Unrealized gains and losses are recorded as a component of accumulated other comprehensive loss on American’s consolidated balance sheets. For investments in an unrealized loss position, American determines whether a credit loss exists by considering information about the collectability of the instrument, current market conditions and reasonable and supportable forecasts of economic conditions. There have been no credit losses.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Equity investments are accounted for under the equity method if American is able to exercise significant influence over an investee. Equity investments for which American does not have significant influence are recorded at fair value or at cost, if fair value is not readily determinable, with adjustments for observable changes in price or impairments (referred to as the measurement alternative). American’s share of equity method investees’ financial results and changes in fair value are recorded in nonoperating other income, net on the consolidated statements of operations. See Note 7 for additional information related to American’s equity investments.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Restricted Cash and Short-term Investments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has restricted cash and short-term investments related primarily to collateral held to support workers’ compensation obligations, collateral associated with the AAdvantage Financing and money market funds to be used to finance a substantial portion of the cost of the renovation and expansion of Terminal 8 at John F. Kennedy International Airport (JFK).</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Accounts Receivable, Net</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Accounts receivable primarily consist of amounts due from credit card processing companies for tickets sold to individual passengers, amounts due from airline and non-airline business partners, including American’s co-branded credit card partners and cargo customers. Receivables from ticket sales are short-term, mostly settled within seven days after sale. Receivables from American’s business partners are typically settled within 30 days. All accounts receivable are reported net of an allowance for credit losses, which was not material as of December 31, 2022 and 2021. American considers past and future financial and qualitative factors, including aging, payment history and other credit monitoring indicators, when establishing the allowance for credit losses.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Aircraft Fuel, Spare Parts and Supplies, Net</w:t>
      </w:r>
    </w:p>
    <w:p>
      <w:pPr>
        <w:spacing w:after="0" w:line="88"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which is recognized over the weighted average remaining useful life of the related fleet. American also provides an allowance for spare parts and supplies identified as excess or obsolete to reduce the carrying cost to the lower of cost or net realizable value. Aircraft fuel, spare parts and supplies are expensed when used.</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Operating Property and Equipment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30"/>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other equipment</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10 years</w:t>
            </w:r>
          </w:p>
        </w:tc>
      </w:tr>
      <w:tr>
        <w:trPr>
          <w:trHeight w:val="239"/>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10 years</w:t>
            </w:r>
          </w:p>
        </w:tc>
      </w:tr>
    </w:tbl>
    <w:p>
      <w:pPr>
        <w:spacing w:after="0" w:line="22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Total depreciation and amortization expense was $2.2 billion for the year ended December 31, 2022 and $2.3 billion for each of the years ended December 31, 2021 and 2020.</w:t>
      </w:r>
    </w:p>
    <w:p>
      <w:pPr>
        <w:spacing w:after="0" w:line="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assesses impairment of operating property and equipment when events and circumstances indicate that the assets may be impaired. An impairment of an asset or group of assets exists only when the sum of the estimated undiscounted cash flows expected to be generated directly by the assets are less than the carrying value of the assets. American groups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American’s current fleet plan. If such assets are impaired, the impairment charge recognized is the amount by which the carrying value of the assets exceed their fair value. Fair value reflects management’s best estimate including inputs from published pricing guides and bids from third parties as well as contracted sales agreements when applicable. In 2022, American recorded $149 million in non-cash special impairment charges to write down the carrying value of its retired Airbus A330 fleet to the estimated fair value due to the market conditions for certain used aircraft.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 Leases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determines if an arrangement is a lease at inception. Operating leases are included in operating lease right-of-use (ROU) assets, current operating lease liabilities and noncurrent operating lease liabilities on American’s consolidated balance sheets. Finance leases are included in property and equipment, current maturities of long-term debt and finance leases and long-term debt and finance leases, net of current maturities, on American’s consolidated balance sheets.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ROU assets represent American’s right to use an underlying asset for the lease term and lease liabilities represent its obligation to make lease payments arising from the lease. ROU assets and liabilities are recognized at the lease commencement date based on the estimated present value of lease payments over the lease term.</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uses its estimated incremental borrowing rate, which is derived from information available at the lease commencement date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determining the present value of lease payments. American gives consideration to its recent debt issuances as well as publicly available data for instruments with similar characteristics when calculating its incremental borrowing rates.</w:t>
      </w:r>
    </w:p>
    <w:p>
      <w:pPr>
        <w:spacing w:after="0" w:line="11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American’s lease term includes options to extend the lease when it is reasonably certain that it will exercise that option. Leases with a term of 12 months or less are not recorded on its consolidated balance sheets.</w:t>
      </w:r>
    </w:p>
    <w:p>
      <w:pPr>
        <w:spacing w:after="0" w:line="9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certain of American’s capacity purchase agreements with third-party regional carriers, American does not own the underlying aircraft. However, since American controls the marketing, scheduling, ticketing, pricing and seat inventories of these aircraft and therefore control the asset, the aircraft is deemed to be leased for accounting purposes. For these capacity purchase agreements, American accounts for the lease and non-lease components separately. The lease component consists of the aircraft and the non-lease components consist of services, such as the crew and maintenance. American allocates the consideration in the capacity purchase agreements to the lease and non-lease components using their estimated relative standalone prices. See Note 10(b) for additional information on its capacity purchase agreements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real estate, American accounts for the lease and non-lease components as a single lease component.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 Income Taxes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provides a valuation allowance for its deferred tax assets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American’s control, such as the health of the economy, the availability and price volatility of aircraft fuel and travel demand. American has determined that positive factors outweigh negative factors in the determination of the realizability of its deferred tax assets.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 Goodwill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represents the purchase price in excess of the fair value of the net assets acquired and liabilities assumed in connection with the 2013 merger with US Airways Group, Inc. (US Airways Group). American has one reporting unit. American assesses goodwill for impairment annually or more frequently if events or circumstances indicate that the fair value of goodwill may be lower than the carrying value. American’s annual assessment date is October 1.</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is assessed for impairment by initially performing a qualitative assessment. If American determines that it is more likely than not that its goodwill may be impaired, it uses a quantitative approach to assess the asset’s fair value and the amount of the impairment, if any. Based upon American’s annual assessment, there was no goodwill impairment in 2022. The carrying value of American’s goodwill on its consolidated balance sheets was $4.1 billion as of December 31, 2022 and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 Other Intangibles, Net</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Intangible assets consist primarily of certain domestic airport slots and gate leasehold rights, customer relationships, marketing agreements, commercial agreements, international slots and route authorities and tradenames.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Definite-lived intangible assets are originally recorded at their acquired fair values, subsequently amortized over their respective estimated useful lives and are assessed for impairment whenever events and circumstances indicate that the assets may be impaired.</w:t>
      </w:r>
    </w:p>
    <w:p>
      <w:pPr>
        <w:spacing w:after="0" w:line="9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following table provides information relating to American’s amortizable intangible assets as of December 31, 2022 and 2021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airport slots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agreements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Airport gate leasehold rights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Certain marketing agreements were identified as intangible assets subject to amortization and are amortized on a straight-line basis over approximately 30 years. Customer relationships and tradenames are fully amortized.</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American recorded amortization expense related to these intangible assets of $41 million for each of the years ended December 31, 2022, 2021 and 2020. American expects to record annual amortization expense for these intangible assets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Indefinite-lived intangible assets include certain domestic airport slots, international slots and route authorities and in 2022, American’s commercial agreement with GOL Linhas Aéreas Inteligentes S.A. (GOL). American assesses indefinite-lived intangible assets for impairment annually or more frequently if events or circumstances indicate that the fair values of indefinite-lived intangible assets may be lower than their carrying values. American’s annual assessment date is October 1.</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If American determines that it is more likely than not that its indefinite-lived intangible assets may be impaired, American uses a quantitative approach to assess the asset’s fair value and the amount of the impairment, if any. Based upon American’s annual assessment, there were no material indefinite-lived intangible asset impairments in 2022. American had $1.9 billion and $1.8 billion of indefinite-lived intangible assets on its consolidated balance sheets as of December 31, 2022 and 2021,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right="8820" w:hanging="9"/>
        <w:spacing w:after="0" w:line="343" w:lineRule="auto"/>
        <w:tabs>
          <w:tab w:leader="none" w:pos="59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gridSpan w:val="2"/>
            <w:vMerge w:val="restart"/>
          </w:tcPr>
          <w:p>
            <w:pPr>
              <w:ind w:left="20"/>
              <w:spacing w:after="0"/>
              <w:rPr>
                <w:sz w:val="20"/>
                <w:szCs w:val="20"/>
                <w:color w:val="auto"/>
              </w:rPr>
            </w:pPr>
            <w:r>
              <w:rPr>
                <w:rFonts w:ascii="Arial" w:cs="Arial" w:eastAsia="Arial" w:hAnsi="Arial"/>
                <w:sz w:val="18"/>
                <w:szCs w:val="18"/>
                <w:color w:val="auto"/>
              </w:rPr>
              <w:t>Passenger revenue: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Passenger travel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41,425</w:t>
            </w:r>
          </w:p>
        </w:tc>
        <w:tc>
          <w:tcPr>
            <w:tcW w:w="5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gridSpan w:val="2"/>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3"/>
        </w:trPr>
        <w:tc>
          <w:tcPr>
            <w:tcW w:w="6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passenger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0" w:type="dxa"/>
            <w:vAlign w:val="bottom"/>
          </w:tcPr>
          <w:p>
            <w:pPr>
              <w:spacing w:after="0"/>
              <w:rPr>
                <w:sz w:val="1"/>
                <w:szCs w:val="1"/>
                <w:color w:val="auto"/>
              </w:rPr>
            </w:pPr>
          </w:p>
        </w:tc>
      </w:tr>
      <w:tr>
        <w:trPr>
          <w:trHeight w:val="229"/>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ind w:left="22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29"/>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6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xml:space="preserve"> below for further discussion on these mileage credits.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8"/>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32,911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21,453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11,765</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Atlantic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6440" w:type="dxa"/>
            <w:vAlign w:val="bottom"/>
          </w:tcPr>
          <w:p>
            <w:pPr>
              <w:ind w:left="220"/>
              <w:spacing w:after="0"/>
              <w:rPr>
                <w:sz w:val="20"/>
                <w:szCs w:val="20"/>
                <w:color w:val="auto"/>
              </w:rPr>
            </w:pPr>
            <w:r>
              <w:rPr>
                <w:rFonts w:ascii="Arial" w:cs="Arial" w:eastAsia="Arial" w:hAnsi="Arial"/>
                <w:sz w:val="18"/>
                <w:szCs w:val="18"/>
                <w:color w:val="auto"/>
              </w:rPr>
              <w:t>Total passenger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14,518</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Passenger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recognizes all revenues generated from transportation on American and its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American’s consolidated balance sheets. The air traffic liability principally represents tickets sold for future travel on American and partner airlines.</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The estimate for tickets expected to expire unused is generally based on an analysis of American’s historical data. American has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125"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Loyalty Revenue</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American currently operates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American’s co-branded credit cards, and certain hotels and car rental companies. Mileage credits can be redeemed for travel on American and other participating partner airlines, as well as other non-air travel awards such as hotels and rental cars. For mileage credits earned by AAdvantage loyalty program members, American applies the deferred revenue method.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For mileage credits earned through travel, American applies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sells mileage credits to participating airline partners and non-airline business partners, including American’s co-branded credit card partners, under contracts with remaining terms generally from one to seven years as of December 31, 2022. Consideration received from the sale of mileage credits is variable and payment terms typically are within 30 days subsequent to the month of mileage sale. Sales of mileage credits to non-airline business partners are comprised of two components, transportation and marketing. American allocates the consideration received from these sales of mileage credits based on the relative selling price of each product or service delivered.</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most significant mileage credit partner agreements are its co-branded credit card agreements with Citi and Barclaycard US. American identified two revenue elements in these co-branded credit card agreements: the transportation component and the marketing component.</w:t>
      </w:r>
    </w:p>
    <w:p>
      <w:pPr>
        <w:spacing w:after="0" w:line="117"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American recognizes the marketing component in other revenue in the period of the mileage credit sale following the sales-based royalty method.</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 the portion of American’s outstanding mileage credits that it estimates will not be redeemed, American recognizes the associated value proportionally as the remaining mileage credits are redeemed. American’s estimates use a statistical model based on historical redemption patterns to develop an estimate of the likelihood of future redemption.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Cargo Revenue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Cargo revenue is recognized when American provides the transportation.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revenue includes revenue associated with American’s loyalty program, which is comprised principally of the marketing component of mileage credit sales to co-branded credit card and other partners and other marketing related payments.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other commission revenue, advertising and vacation-related services.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American’s consolidated balance sheets and (2) ticket sales for transportation that has not yet been provided, reported as air traffic liability on American’s 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196"/>
        </w:trPr>
        <w:tc>
          <w:tcPr>
            <w:tcW w:w="7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7"/>
                <w:szCs w:val="17"/>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-616585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ectPr>
          <w:pgSz w:w="11900" w:h="16838" w:orient="portrait"/>
          <w:cols w:equalWidth="0" w:num="1">
            <w:col w:w="11240"/>
          </w:cols>
          <w:pgMar w:left="320" w:top="121"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Balance at December 31, 2022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244" w:hanging="1244"/>
        <w:spacing w:after="0"/>
        <w:tabs>
          <w:tab w:leader="none" w:pos="12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9,135</w:t>
      </w:r>
    </w:p>
    <w:p>
      <w:pPr>
        <w:spacing w:after="0" w:line="31" w:lineRule="exact"/>
        <w:rPr>
          <w:rFonts w:ascii="Arial" w:cs="Arial" w:eastAsia="Arial" w:hAnsi="Arial"/>
          <w:sz w:val="18"/>
          <w:szCs w:val="18"/>
          <w:color w:val="auto"/>
        </w:rPr>
      </w:pPr>
    </w:p>
    <w:p>
      <w:pPr>
        <w:ind w:left="1244"/>
        <w:spacing w:after="0"/>
        <w:rPr>
          <w:rFonts w:ascii="Arial" w:cs="Arial" w:eastAsia="Arial" w:hAnsi="Arial"/>
          <w:sz w:val="18"/>
          <w:szCs w:val="18"/>
          <w:color w:val="auto"/>
        </w:rPr>
      </w:pPr>
      <w:r>
        <w:rPr>
          <w:rFonts w:ascii="Arial" w:cs="Arial" w:eastAsia="Arial" w:hAnsi="Arial"/>
          <w:sz w:val="18"/>
          <w:szCs w:val="18"/>
          <w:color w:val="auto"/>
        </w:rPr>
        <w:t>3,221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11315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7" w:lineRule="exact"/>
        <w:rPr>
          <w:sz w:val="20"/>
          <w:szCs w:val="20"/>
          <w:color w:val="auto"/>
        </w:rPr>
      </w:pPr>
    </w:p>
    <w:p>
      <w:pPr>
        <w:ind w:left="1244" w:hanging="1244"/>
        <w:spacing w:after="0"/>
        <w:tabs>
          <w:tab w:leader="none" w:pos="12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9,145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11315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315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756" w:space="720"/>
            <w:col w:w="1764"/>
          </w:cols>
          <w:pgMar w:left="320" w:top="121" w:right="339" w:bottom="1440" w:gutter="0" w:footer="0" w:header="0"/>
          <w:type w:val="continuous"/>
        </w:sectPr>
      </w:pPr>
    </w:p>
    <w:p>
      <w:pPr>
        <w:spacing w:after="0" w:line="56" w:lineRule="exact"/>
        <w:rPr>
          <w:sz w:val="20"/>
          <w:szCs w:val="20"/>
          <w:color w:val="auto"/>
        </w:rPr>
      </w:pPr>
    </w:p>
    <w:p>
      <w:pPr>
        <w:jc w:val="both"/>
        <w:ind w:left="340" w:hanging="332"/>
        <w:spacing w:after="0"/>
        <w:tabs>
          <w:tab w:leader="none" w:pos="334"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December 31, 2022, American’s current loyalty program liability was $3.2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w:t>
      </w:r>
    </w:p>
    <w:p>
      <w:pPr>
        <w:spacing w:after="0" w:line="14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In response to the COVID-19 pandemic, American extended the contract duration for certain tickets to September 30, 2022, principally those tickets which were issued in 2020 and 2021. Additionally, American extended the contract duration to December 31, 2022 for tickets to certain international destinations. For 2022, $4.8 billion of revenue was recognized in passenger revenue that was included in American’s air traffic liability at December 31, 2021. Tickets issued in 2022 and thereafter are no longer subject to change fees which provides more flexibility for customers to change travel plans. Given this new flexibility offered to its customers, American’s estimate of revenue that will be recognized from the air traffic liability for future flown or unused tickets may be subject to variability and differ from historical experience.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 Maintenance, Materials and Repairs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certain flight hour maintenance contract agreements, which are accrued based on contractual terms when an obligation exists.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 Selling Expenses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Selling expenses include credit card fees, commissions, third party distribution channel fees and advertising. Selling expenses associated with passenger revenue are expensed when the transportation or service is provided. Advertising costs are expensed as incurred. Advertising expense was $105 million for each of the years ended December 31, 2022 and 2021 and $57 million for the year ended December 31, 2020.</w:t>
      </w:r>
    </w:p>
    <w:p>
      <w:pPr>
        <w:sectPr>
          <w:pgSz w:w="11900" w:h="16838" w:orient="portrait"/>
          <w:cols w:equalWidth="0" w:num="1">
            <w:col w:w="11240"/>
          </w:cols>
          <w:pgMar w:left="320" w:top="121" w:right="33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 Share-based Compensation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accounts for its share-based compensation expense based on the fair value of the stock award at the time of grant, which is recognized ratably over the vesting period of the stock award. The majority of American’s stock awards are time vested restricted stock units, and the fair value of such awards is based on the market price of the underlying shares of AAG common stock on the date of grant. See Note 13 for further discussion of share-based compensation.</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 Foreign Currency Gains and Losses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Foreign currency gains and losses are recorded as part of other income, net within total nonoperating expense, net on American’s consolidated statements of operations. For the years ended December 31,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2021 and 2020, respectively, foreign currency losses were $38 million, $4 million and $24 million.</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 Other Operating Expenses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Other operating expenses includes costs associated with aircraft food and catering, crew travel, ground and cargo handling, passenger accommodation, international navigation fees, aircraft cleaning and certain general and administrative expenses.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 Regional Expenses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in the form of capacity purchase agreements. Expenses associated with American Eagle operations are classified as regional expenses on the consolidated statements of operations.</w:t>
      </w:r>
    </w:p>
    <w:p>
      <w:pPr>
        <w:spacing w:after="0" w:line="12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Regional expenses for the years ended December 31,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2021, and 2020 include $269 million, $263 million and $273 million of depreciation and amortization, respectively, and $5 million, $6 million and $13 million of aircraft rent, respectively.</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 2021, and 2020, American recognized $592 million, $495 million and $438 million, respectively, of expense under its capacity purchase agreement with Republic Airways Inc. (Republic). American holds a 25% equity interest in Republic Airways Holdings Inc. (Republic Holdings), the parent company of Republic.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on American’s consolidated statements of operations consisted of the following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24"/>
        </w:trPr>
        <w:tc>
          <w:tcPr>
            <w:tcW w:w="64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(4)</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4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57"/>
        </w:trPr>
        <w:tc>
          <w:tcPr>
            <w:tcW w:w="6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Regional operating special items, net</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6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56"/>
        </w:trPr>
        <w:tc>
          <w:tcPr>
            <w:tcW w:w="6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(5)</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Nonoperating special items,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56"/>
        </w:trPr>
        <w:tc>
          <w:tcPr>
            <w:tcW w:w="6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special items,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Fleet impairment for 2022 included a non-cash impairment charge to write down the carrying value of American’s retired Airbus A330 fleet to the estimated fair value due to the market conditions for certain used aircraft.</w:t>
      </w:r>
    </w:p>
    <w:p>
      <w:pPr>
        <w:spacing w:after="0" w:line="140" w:lineRule="exact"/>
        <w:rPr>
          <w:rFonts w:ascii="Arial" w:cs="Arial" w:eastAsia="Arial" w:hAnsi="Arial"/>
          <w:sz w:val="23"/>
          <w:szCs w:val="23"/>
          <w:color w:val="auto"/>
          <w:vertAlign w:val="superscript"/>
        </w:rPr>
      </w:pPr>
    </w:p>
    <w:p>
      <w:pPr>
        <w:jc w:val="both"/>
        <w:ind w:left="34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2021 and 2020 included charges resulting from the retirement of certain aircraft earlier than planned driven by the severe decline in air travel due to the COVID-19 pandemic. In 2021, American retired its remaining Embraer 140 fleet resulting in a non-cash write down of these regional aircraft. In 2020, American retired its entire Airbus A330-200, Boeing 757, Boeing 767, Airbus A330-300 and Embraer 190 fleets as well as certain Embraer 140 and Bombardier CRJ200 aircraft resulting in a $1.5 billion non-cash write down of mainline and regional aircraft and associated spare parts and $109 million in cash charges primarily for impairment of ROU assets and lease return costs.</w:t>
      </w:r>
    </w:p>
    <w:p>
      <w:pPr>
        <w:spacing w:after="0" w:line="12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programs established by the U.S. Government. See Note 1(b) for further information.</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due to the ratification of a new contract with the Transport Workers Union and International Association of Machinists &amp; Aerospace Workers (TWU-IAM Association) for American’s maintenance and fleet service team members, including signing bonuses and adjustments to vacation accruals resulting from pay rate increases.</w:t>
      </w:r>
    </w:p>
    <w:p>
      <w:pPr>
        <w:spacing w:after="0" w:line="140" w:lineRule="exact"/>
        <w:rPr>
          <w:rFonts w:ascii="Arial" w:cs="Arial" w:eastAsia="Arial" w:hAnsi="Arial"/>
          <w:sz w:val="23"/>
          <w:szCs w:val="23"/>
          <w:color w:val="auto"/>
          <w:vertAlign w:val="superscript"/>
        </w:rPr>
      </w:pPr>
    </w:p>
    <w:p>
      <w:pPr>
        <w:ind w:left="340" w:hanging="332"/>
        <w:spacing w:after="0" w:line="215" w:lineRule="auto"/>
        <w:tabs>
          <w:tab w:leader="none" w:pos="335" w:val="left"/>
        </w:tabs>
        <w:numPr>
          <w:ilvl w:val="0"/>
          <w:numId w:val="66"/>
        </w:numPr>
        <w:rPr>
          <w:rFonts w:ascii="Arial" w:cs="Arial" w:eastAsia="Arial" w:hAnsi="Arial"/>
          <w:sz w:val="26"/>
          <w:szCs w:val="26"/>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certain equity investments and certain other investments. See Note 7 for further information related to American’s equity investments.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on American’s consolidated balance sheets consisted of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2013 Term Loan Facility, variable interest rate of 6.14%, installments through 2025 </w:t>
            </w:r>
            <w:r>
              <w:rPr>
                <w:rFonts w:ascii="Arial" w:cs="Arial" w:eastAsia="Arial" w:hAnsi="Arial"/>
                <w:sz w:val="23"/>
                <w:szCs w:val="23"/>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2014 Term Loan Facility, variable interest rate of 6.14%, installments through 2027 </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December 2016 Term Loan Facility </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11.75% senior secured notes, interest only payments until due in July 2025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10.75% senior secured IP notes, interest only payments until due in February 2026 </w:t>
            </w:r>
            <w:r>
              <w:rPr>
                <w:rFonts w:ascii="Arial" w:cs="Arial" w:eastAsia="Arial" w:hAnsi="Arial"/>
                <w:sz w:val="23"/>
                <w:szCs w:val="23"/>
                <w:color w:val="auto"/>
                <w:vertAlign w:val="superscript"/>
              </w:rPr>
              <w:t>(b)</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10.75% senior secured LGA/DCA notes, interest only payments until due in February 2026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8260" w:type="dxa"/>
            <w:vAlign w:val="bottom"/>
          </w:tcPr>
          <w:p>
            <w:pPr>
              <w:ind w:left="240"/>
              <w:spacing w:after="0" w:line="176" w:lineRule="exact"/>
              <w:rPr>
                <w:sz w:val="20"/>
                <w:szCs w:val="20"/>
                <w:color w:val="auto"/>
              </w:rPr>
            </w:pPr>
            <w:r>
              <w:rPr>
                <w:rFonts w:ascii="Arial" w:cs="Arial" w:eastAsia="Arial" w:hAnsi="Arial"/>
                <w:sz w:val="18"/>
                <w:szCs w:val="18"/>
                <w:color w:val="auto"/>
              </w:rPr>
              <w:t>AAdvantage Term Loan Facility, variable interest rate of 8.99%, installments beginning in July 2023</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through April 2028 </w:t>
            </w:r>
            <w:r>
              <w:rPr>
                <w:rFonts w:ascii="Arial" w:cs="Arial" w:eastAsia="Arial" w:hAnsi="Arial"/>
                <w:sz w:val="23"/>
                <w:szCs w:val="23"/>
                <w:color w:val="auto"/>
                <w:vertAlign w:val="superscript"/>
              </w:rPr>
              <w:t>(c)</w:t>
            </w:r>
          </w:p>
        </w:tc>
        <w:tc>
          <w:tcPr>
            <w:tcW w:w="3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 7.13%,</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line="243" w:lineRule="exact"/>
              <w:rPr>
                <w:sz w:val="20"/>
                <w:szCs w:val="20"/>
                <w:color w:val="auto"/>
              </w:rPr>
            </w:pPr>
            <w:r>
              <w:rPr>
                <w:rFonts w:ascii="Arial" w:cs="Arial" w:eastAsia="Arial" w:hAnsi="Arial"/>
                <w:sz w:val="18"/>
                <w:szCs w:val="18"/>
                <w:color w:val="auto"/>
              </w:rPr>
              <w:t xml:space="preserve">averaging 3.74%, maturing from 2023 to 2034 </w:t>
            </w:r>
            <w:r>
              <w:rPr>
                <w:rFonts w:ascii="Arial" w:cs="Arial" w:eastAsia="Arial" w:hAnsi="Arial"/>
                <w:sz w:val="23"/>
                <w:szCs w:val="23"/>
                <w:color w:val="auto"/>
                <w:vertAlign w:val="superscript"/>
              </w:rPr>
              <w:t>(d)</w:t>
            </w:r>
          </w:p>
        </w:tc>
        <w:tc>
          <w:tcPr>
            <w:tcW w:w="3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 3.33% to</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8.01%, averaging 5.95%, maturing from 2023 to 2034 </w:t>
            </w:r>
            <w:r>
              <w:rPr>
                <w:rFonts w:ascii="Arial" w:cs="Arial" w:eastAsia="Arial" w:hAnsi="Arial"/>
                <w:sz w:val="23"/>
                <w:szCs w:val="23"/>
                <w:color w:val="auto"/>
                <w:vertAlign w:val="superscript"/>
              </w:rPr>
              <w:t>(e)</w:t>
            </w:r>
          </w:p>
        </w:tc>
        <w:tc>
          <w:tcPr>
            <w:tcW w:w="3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 from 2026</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line="243" w:lineRule="exact"/>
              <w:rPr>
                <w:sz w:val="20"/>
                <w:szCs w:val="20"/>
                <w:color w:val="auto"/>
              </w:rPr>
            </w:pPr>
            <w:r>
              <w:rPr>
                <w:rFonts w:ascii="Arial" w:cs="Arial" w:eastAsia="Arial" w:hAnsi="Arial"/>
                <w:sz w:val="18"/>
                <w:szCs w:val="18"/>
                <w:color w:val="auto"/>
              </w:rPr>
              <w:t xml:space="preserve">to 2036 </w:t>
            </w:r>
            <w:r>
              <w:rPr>
                <w:rFonts w:ascii="Arial" w:cs="Arial" w:eastAsia="Arial" w:hAnsi="Arial"/>
                <w:sz w:val="23"/>
                <w:szCs w:val="23"/>
                <w:color w:val="auto"/>
                <w:vertAlign w:val="superscript"/>
              </w:rPr>
              <w:t>(f)</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unamortized debt discount, premium and issuance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Long-term debt, net of current maturities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the maximum availability under American’s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2022, American had an undrawn $150 million short-term revolving credit facility which expired in January 2023. American also had $70 million of available borrowing base under cargo receivables facility that was set to expire in December 2022, but which has been extended through December 2023.</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460" w:type="dxa"/>
            <w:vAlign w:val="bottom"/>
          </w:tcPr>
          <w:p>
            <w:pPr>
              <w:ind w:left="196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829"/>
        </w:trPr>
        <w:tc>
          <w:tcPr>
            <w:tcW w:w="9460" w:type="dxa"/>
            <w:vAlign w:val="bottom"/>
          </w:tcPr>
          <w:p>
            <w:pPr>
              <w:ind w:left="260"/>
              <w:spacing w:after="0"/>
              <w:rPr>
                <w:sz w:val="20"/>
                <w:szCs w:val="20"/>
                <w:color w:val="auto"/>
              </w:rPr>
            </w:pPr>
            <w:r>
              <w:rPr>
                <w:rFonts w:ascii="Arial" w:cs="Arial" w:eastAsia="Arial" w:hAnsi="Arial"/>
                <w:sz w:val="18"/>
                <w:szCs w:val="18"/>
                <w:color w:val="auto"/>
              </w:rPr>
              <w:t>At December 31, 2022, the maturities of long-term debt are as follows (in millions):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5"/>
        </w:trPr>
        <w:tc>
          <w:tcPr>
            <w:tcW w:w="9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4,480</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60" w:right="2440" w:hanging="9"/>
        <w:spacing w:after="0" w:line="343" w:lineRule="auto"/>
        <w:tabs>
          <w:tab w:leader="none" w:pos="53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and 2014 Credit Facilities, April 2016 Revolving Facility and December 2016 Credit Facilities </w:t>
      </w:r>
      <w:r>
        <w:rPr>
          <w:rFonts w:ascii="Arial" w:cs="Arial" w:eastAsia="Arial" w:hAnsi="Arial"/>
          <w:sz w:val="18"/>
          <w:szCs w:val="18"/>
          <w:i w:val="1"/>
          <w:iCs w:val="1"/>
          <w:u w:val="single" w:color="auto"/>
          <w:color w:val="auto"/>
        </w:rPr>
        <w:t>2013 Credit Facilities</w:t>
      </w:r>
    </w:p>
    <w:p>
      <w:pPr>
        <w:jc w:val="both"/>
        <w:ind w:firstLine="243"/>
        <w:spacing w:after="0" w:line="255" w:lineRule="auto"/>
        <w:rPr>
          <w:sz w:val="20"/>
          <w:szCs w:val="20"/>
          <w:color w:val="auto"/>
        </w:rPr>
      </w:pPr>
      <w:r>
        <w:rPr>
          <w:rFonts w:ascii="Arial" w:cs="Arial" w:eastAsia="Arial" w:hAnsi="Arial"/>
          <w:sz w:val="18"/>
          <w:szCs w:val="18"/>
          <w:color w:val="auto"/>
        </w:rPr>
        <w:t>In November 2019, American and AAG entered into the Sixth Amendment to Amended and Restated Credit and Guaranty Agreement, amending the Amended and Restated Credit and Guaranty Agreement dated as of May 21, 2015 (as previously amended, the 2013 Credit Agreement; the revolving credit facility established thereunder, the 2013 Revolving Facility; the term loan facility established thereunder, the 2013 Term Loan Facility; and the 2013 Revolving Facility together with the 2013 Term Loan Facility, the 2013 Credit Facilities), which reduced the total aggregate commitments under the 2013 Revolving Facility to $750 million from $1.0 billion. In addition, certain lenders party to the 2013 Credit Agreement extended the maturity date of a substantial portion of their commitments under the 2013 Revolving Facility to October 2024 from October 2023. As of December 31, 2022, there were no borrowings or letters of credit outstanding under the 2013 Revolving Facility.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November 2019, American and AAG entered into the Seventh Amendment to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the 2014 Revolving Facility together with the 2014 Term Loan Facility, the 2014 Credit Facilities), which increased the total aggregate commitments under the 2014 Revolving Facility to $1.6 billion from $1.5 billion. In addition, certain lenders party to the 2014 Credit Agreement extended the maturity date of a substantial portion of their commitments under the 2014 Revolving Facility to October 2024 from October 2023.</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January 2020, American and AAG entered into the Eighth Amendment to the 2014 Credit Agreement, pursuant to which American refinanced the 2014 Term Loan Facility, increasing the total aggregate principal amount outstanding to $ 1.2 billion, reducing the LIBOR margin from 2.00% to 1.75%, with a LIBOR floor of 0%, and reducing the base rate margin from 1.00% to 0.75%. In addition, the maturity date for the 2014 Term Loan Facility was extended to January 2027 from October 2021. As of December 31, 2022, there were no borrowings or letters of credit outstanding under the 2014 Revolving Facility.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April 2016 Revolving Facility</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November 2019, American and AAG entered into the Fifth Amendment to Credit and Guaranty Agreement, amending the Credit and Guaranty Agreement dated as of April 29, 2016 (as previously amended, the April 2016 Credit Agreement; the revolving credit facility established thereunder, the April 2016 Revolving Facility), which increased the total aggregate commitments under the April 2016 Revolving Facility to $450 million from $300 million. In addition, certain lenders party to the April 2016 Credit Agreement extended the maturity date of a substantial portion of their commitments under the April 2016 Revolving Facility to October 2024 from October 2023. As of December 31, 2022, there were no borrowings outstanding under the April 2016 Revolving Facility.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December 2016 Credit Facilities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December 2016, American and AAG entered into the Amended and Restated Credit and Guaranty Agreement, dated as of December 15, 2016 (as amended, the December 2016 Credit Agreement; the term loan facility established thereunder, the December 2016 Term Loan Facility; and together with the revolving credit facility contemplated but never established thereunder, the December 2016 Credit Facilities). In December 2022, American repaid in full the $1.2 billion aggregate principal amount of outstanding term loans under the December 2016 Term Loan Facility which was due to mature in December 2023 and terminated the December 2016 Credit Facilities.</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Certain details of American’s 2013 and 2014 Credit Facilities (collectively referred to as the Credit Facilities) and April 2016 Revolving Facility are shown in the table below as of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right="600" w:hanging="149"/>
        <w:spacing w:after="0" w:line="227" w:lineRule="auto"/>
        <w:rPr>
          <w:sz w:val="20"/>
          <w:szCs w:val="20"/>
          <w:color w:val="auto"/>
        </w:rPr>
      </w:pPr>
      <w:r>
        <w:rPr>
          <w:rFonts w:ascii="Arial" w:cs="Arial" w:eastAsia="Arial" w:hAnsi="Arial"/>
          <w:sz w:val="18"/>
          <w:szCs w:val="18"/>
          <w:color w:val="auto"/>
        </w:rPr>
        <w:t>Aggregate principal issued or credit facility availability (in millions)</w:t>
      </w:r>
    </w:p>
    <w:p>
      <w:pPr>
        <w:spacing w:after="0" w:line="7" w:lineRule="exact"/>
        <w:rPr>
          <w:sz w:val="20"/>
          <w:szCs w:val="20"/>
          <w:color w:val="auto"/>
        </w:rPr>
      </w:pPr>
    </w:p>
    <w:p>
      <w:pPr>
        <w:ind w:left="180" w:right="960" w:hanging="149"/>
        <w:spacing w:after="0"/>
        <w:rPr>
          <w:sz w:val="20"/>
          <w:szCs w:val="20"/>
          <w:color w:val="auto"/>
        </w:rPr>
      </w:pPr>
      <w:r>
        <w:rPr>
          <w:rFonts w:ascii="Arial" w:cs="Arial" w:eastAsia="Arial" w:hAnsi="Arial"/>
          <w:sz w:val="18"/>
          <w:szCs w:val="18"/>
          <w:color w:val="auto"/>
        </w:rPr>
        <w:t>Principal outstanding or drawn (in millions)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LIBOR margin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120" w:type="dxa"/>
            <w:vAlign w:val="bottom"/>
            <w:gridSpan w:val="4"/>
          </w:tcPr>
          <w:p>
            <w:pPr>
              <w:ind w:left="780"/>
              <w:spacing w:after="0"/>
              <w:rPr>
                <w:sz w:val="20"/>
                <w:szCs w:val="20"/>
                <w:color w:val="auto"/>
              </w:rPr>
            </w:pPr>
            <w:r>
              <w:rPr>
                <w:rFonts w:ascii="Arial" w:cs="Arial" w:eastAsia="Arial" w:hAnsi="Arial"/>
                <w:sz w:val="14"/>
                <w:szCs w:val="14"/>
                <w:b w:val="1"/>
                <w:bCs w:val="1"/>
                <w:color w:val="auto"/>
              </w:rPr>
              <w:t>2013 Credit Facilities</w:t>
            </w:r>
          </w:p>
        </w:tc>
        <w:tc>
          <w:tcPr>
            <w:tcW w:w="3100" w:type="dxa"/>
            <w:vAlign w:val="bottom"/>
            <w:gridSpan w:val="4"/>
          </w:tcPr>
          <w:p>
            <w:pPr>
              <w:ind w:left="780"/>
              <w:spacing w:after="0"/>
              <w:rPr>
                <w:sz w:val="20"/>
                <w:szCs w:val="20"/>
                <w:color w:val="auto"/>
              </w:rPr>
            </w:pPr>
            <w:r>
              <w:rPr>
                <w:rFonts w:ascii="Arial" w:cs="Arial" w:eastAsia="Arial" w:hAnsi="Arial"/>
                <w:sz w:val="14"/>
                <w:szCs w:val="14"/>
                <w:b w:val="1"/>
                <w:bCs w:val="1"/>
                <w:color w:val="auto"/>
              </w:rPr>
              <w:t>2014 Credit Facilities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April 2016</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2013 Term Loan</w:t>
            </w: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2014 Term Loan</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Revolving</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Revolving</w:t>
            </w:r>
          </w:p>
        </w:tc>
        <w:tc>
          <w:tcPr>
            <w:tcW w:w="0" w:type="dxa"/>
            <w:vAlign w:val="bottom"/>
          </w:tcPr>
          <w:p>
            <w:pPr>
              <w:spacing w:after="0"/>
              <w:rPr>
                <w:sz w:val="1"/>
                <w:szCs w:val="1"/>
                <w:color w:val="auto"/>
              </w:rPr>
            </w:pPr>
          </w:p>
        </w:tc>
      </w:tr>
      <w:tr>
        <w:trPr>
          <w:trHeight w:val="189"/>
        </w:trPr>
        <w:tc>
          <w:tcPr>
            <w:tcW w:w="1560" w:type="dxa"/>
            <w:vAlign w:val="bottom"/>
            <w:gridSpan w:val="2"/>
            <w:vMerge w:val="continue"/>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Revolving Facility</w:t>
            </w:r>
          </w:p>
        </w:tc>
        <w:tc>
          <w:tcPr>
            <w:tcW w:w="154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Facility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Facility</w:t>
            </w:r>
          </w:p>
        </w:tc>
        <w:tc>
          <w:tcPr>
            <w:tcW w:w="0" w:type="dxa"/>
            <w:vAlign w:val="bottom"/>
          </w:tcPr>
          <w:p>
            <w:pPr>
              <w:spacing w:after="0"/>
              <w:rPr>
                <w:sz w:val="1"/>
                <w:szCs w:val="1"/>
                <w:color w:val="auto"/>
              </w:rPr>
            </w:pPr>
          </w:p>
        </w:tc>
      </w:tr>
      <w:tr>
        <w:trPr>
          <w:trHeight w:val="403"/>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$1,919</w:t>
            </w:r>
          </w:p>
        </w:tc>
        <w:tc>
          <w:tcPr>
            <w:tcW w:w="12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$736</w:t>
            </w:r>
          </w:p>
        </w:tc>
        <w:tc>
          <w:tcPr>
            <w:tcW w:w="12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$1,280</w:t>
            </w:r>
          </w:p>
        </w:tc>
        <w:tc>
          <w:tcPr>
            <w:tcW w:w="10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$1,631</w:t>
            </w:r>
          </w:p>
        </w:tc>
        <w:tc>
          <w:tcPr>
            <w:tcW w:w="12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$446</w:t>
            </w:r>
          </w:p>
        </w:tc>
        <w:tc>
          <w:tcPr>
            <w:tcW w:w="0" w:type="dxa"/>
            <w:vAlign w:val="bottom"/>
          </w:tcPr>
          <w:p>
            <w:pPr>
              <w:spacing w:after="0"/>
              <w:rPr>
                <w:sz w:val="1"/>
                <w:szCs w:val="1"/>
                <w:color w:val="auto"/>
              </w:rPr>
            </w:pPr>
          </w:p>
        </w:tc>
      </w:tr>
      <w:tr>
        <w:trPr>
          <w:trHeight w:val="499"/>
        </w:trPr>
        <w:tc>
          <w:tcPr>
            <w:tcW w:w="1440" w:type="dxa"/>
            <w:vAlign w:val="bottom"/>
          </w:tcPr>
          <w:p>
            <w:pPr>
              <w:jc w:val="center"/>
              <w:spacing w:after="0"/>
              <w:rPr>
                <w:sz w:val="20"/>
                <w:szCs w:val="20"/>
                <w:color w:val="auto"/>
              </w:rPr>
            </w:pPr>
            <w:r>
              <w:rPr>
                <w:rFonts w:ascii="Arial" w:cs="Arial" w:eastAsia="Arial" w:hAnsi="Arial"/>
                <w:sz w:val="18"/>
                <w:szCs w:val="18"/>
                <w:color w:val="auto"/>
                <w:w w:val="98"/>
              </w:rPr>
              <w:t>$1,752</w:t>
            </w:r>
          </w:p>
        </w:tc>
        <w:tc>
          <w:tcPr>
            <w:tcW w:w="1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$1,196</w:t>
            </w: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6"/>
        </w:trPr>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rPr>
              <w:t>June</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October</w:t>
            </w: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January</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October</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October</w:t>
            </w:r>
          </w:p>
        </w:tc>
        <w:tc>
          <w:tcPr>
            <w:tcW w:w="0" w:type="dxa"/>
            <w:vAlign w:val="bottom"/>
          </w:tcPr>
          <w:p>
            <w:pPr>
              <w:spacing w:after="0"/>
              <w:rPr>
                <w:sz w:val="1"/>
                <w:szCs w:val="1"/>
                <w:color w:val="auto"/>
              </w:rPr>
            </w:pPr>
          </w:p>
        </w:tc>
      </w:tr>
      <w:tr>
        <w:trPr>
          <w:trHeight w:val="238"/>
        </w:trPr>
        <w:tc>
          <w:tcPr>
            <w:tcW w:w="144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9"/>
        </w:trPr>
        <w:tc>
          <w:tcPr>
            <w:tcW w:w="1440" w:type="dxa"/>
            <w:vAlign w:val="bottom"/>
          </w:tcPr>
          <w:p>
            <w:pPr>
              <w:jc w:val="center"/>
              <w:spacing w:after="0"/>
              <w:rPr>
                <w:sz w:val="20"/>
                <w:szCs w:val="20"/>
                <w:color w:val="auto"/>
              </w:rPr>
            </w:pPr>
            <w:r>
              <w:rPr>
                <w:rFonts w:ascii="Arial" w:cs="Arial" w:eastAsia="Arial" w:hAnsi="Arial"/>
                <w:sz w:val="18"/>
                <w:szCs w:val="18"/>
                <w:color w:val="auto"/>
                <w:w w:val="97"/>
              </w:rPr>
              <w:t>1.75%</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1.75%</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-1056640</wp:posOffset>
            </wp:positionV>
            <wp:extent cx="7132320" cy="377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-413385</wp:posOffset>
            </wp:positionV>
            <wp:extent cx="7132320" cy="265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660"/>
          </w:cols>
          <w:pgMar w:left="320" w:top="121" w:right="339" w:bottom="1440" w:gutter="0" w:footer="0" w:header="0"/>
          <w:type w:val="continuous"/>
        </w:sectPr>
      </w:pPr>
    </w:p>
    <w:p>
      <w:pPr>
        <w:spacing w:after="0" w:line="2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term loans under each of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2013 Revolving Facility, 2014 Revolving Facility and April 2016 Revolving Facility provide that American may from time to time borrow, repay and reborrow loans thereunder. The 2013 Revolving Facility and 2014 Revolving Facility have the ability to issue letters of credit thereunder in an aggregate amount outstanding at any time up to $100 million and $200 million, respectively. The 2013 Revolving Facility, 2014 Revolving Facility and April 2016 Revolving Facility are each subject to an undrawn annual fee of 0.63%.</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Subject to certain limitations and exceptions, the Credit Facilities and April 2016 Revolving Facility are secured by collateral, including certain spare parts, slots, route authorities, simulators and leasehold rights. American has the ability to make future modifications to the collateral pledged, subject to certain restrictions. American’s obligations under the Credit Facilities and April 2016 Revolving Facility are guaranteed by AAG. The Credit Facilities and April 2016 Revolving Facility contain events of default customary for similar financings, including cross default and cross-acceleration to other material indebtedness.</w:t>
      </w:r>
    </w:p>
    <w:p>
      <w:pPr>
        <w:spacing w:after="0" w:line="208" w:lineRule="exact"/>
        <w:rPr>
          <w:sz w:val="20"/>
          <w:szCs w:val="20"/>
          <w:color w:val="auto"/>
        </w:rPr>
      </w:pPr>
    </w:p>
    <w:p>
      <w:pPr>
        <w:ind w:left="540" w:hanging="289"/>
        <w:spacing w:after="0"/>
        <w:tabs>
          <w:tab w:leader="none" w:pos="54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Secured Notes</w:t>
      </w:r>
    </w:p>
    <w:p>
      <w:pPr>
        <w:spacing w:after="0" w:line="90"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11.75% Senior Secured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2020, American issued $2.5 billion aggregate principal amount of 11.75% senior secured notes due 2025 (the 11.75% Senior Secured Notes) at a price equal to 99% of their aggregate principal amount. The 11.75% Senior Secured Notes bear interest at a rate of 11.75% per annum (subject to increase if the collateral coverage ratio described below is not met). Interest on the 11.75% Senior Secured Notes is payable semiannually in arrears on January 15 and July 15 of each year, which began on January 15, 2021. The 11.75% Senior Secured Notes will mature on July 15, 2025. The obligations of American under the 11.75% Senior Secured Notes are fully and unconditionally guaranteed on a senior unsecured basis by AAG.</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11.75% Senior Secured Notes are American’s senior secured obligations. Subject to certain limitations and exceptions, the 11.75% Senior Secured Notes are secured on a first-lien basis by security interests in certain assets, rights and properties utilized by American in providing its scheduled air carrier services to and from certain airports in the United States and certain airports in Australia, Canada, the Caribbean, Central America, China, Hong Kong, Japan, Mexico, South Korea, and Switzerland (collectively, the First Lien 11.75% Senior Secured Notes Collateral). American’s obligations with respect to the 11.75% Senior Secured Notes are also secured on a second-lien basis by security interests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certain assets, rights and properties utilized by American in providing its scheduled air carrier services to and from certain airports in the United States and certain airports in the European Union and the United Kingdom (collectively, the Second Lien 11.75% Senior Secured Notes Collateral and together with the First Lien 11.75% Senior Secured Notes Collateral, the 11.75% Senior Secured Notes Collateral). The Second Lien 11.75% Senior Secured Notes Collateral also secures the 2014 Credit Facilities on a first-lien basis.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may redeem the 11.75% Senior Secured Notes, in whole at any time or in part from time to time, at a redemption price equal to 100% of the principal amount of the 11.75% Senior Secured Notes being redeemed plus a make whole premium, together with accrued and unpaid interest thereon, if any, to (but not including) the redemption date.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10.75%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September 25, 2020 (the 10.75% Senior Secured Notes Closing Date), American issued $1.0 billion in initial principal amount of senior secured IP notes (the IP Notes) and $200 million in initial principal amount of senior secured LGA/DCA notes (the LGA/DCA Notes and together with the IP Notes, the 10.75% Senior Secured Notes). The obligations of American under the 10.75% Senior Secured Notes are fully and unconditionally guaranteed (the 10.75% Senior Secured Notes Guarantees) on a senior unsecured basis by AAG. The 10.75% Senior Secured Notes bear interest at a rate of 10.75% per annum in cash. Interest on the 10.75% Senior Secured Notes is payable semiannually in arrears on September 1 and March 1 of each year, which began on March 1, 2021. The 10.75% Senior Secured Notes will mature on February 15, 2026.</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10.75% Senior Secured Notes Collateral). Subject to certain conditions, American will be permitted to incur up to $4.0 billion of additional pari passu debt and unlimited second lien debt secured by the IP Collateral securing the IP Notes. The LGA/DCA Notes are secured by a first lien security interest in the LGA/DCA Collateral.</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or prior to the fourth anniversary of the 10.75% Senior Secured Notes Closing Date, American may redeem all or any part of the 10.75% Senior Secured Notes, at its option, at a redemption price equal to 100% of the principal amount of the 10.75% Senior Secured Notes redeemed plus a make whole premium, together with accrued and unpaid interest thereon, if any. After the fourth anniversary of the 10.75% Senior Secured Notes Closing Date and on or prior to the fifth anniversary of the 10.75% Senior Secured Notes Closing Date, American may redeem all or any part of the 10.75% Senior Secured Notes, at its option, at a redemption price equal to 105.375% of the principal amount of the 10.75% Senior Secured Notes redeemed, together with accrued and unpaid interest thereon, if any. After the fifth anniversary of the 10.75% Senior Secured Notes Closing Date, American may redeem all or any part of the 10.75% Senior Secured Notes, at its option, at par, together with accrued and unpaid interest thereon, if any.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AAdvantage Financing</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24, 2021 (the AAdvantage Financing Closing Date), American and AAdvantage Loyalty IP Ltd., a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on a senior unsecured basis by the SPV Guarantors and AAG.</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SPV Guarantors and AAG.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are secured by a first-priority security interest in, and pledge of, various agreements with respect to the AAdvantage program (the AAdvantage Agreements) (including all payments thereunder) and certain IP Licenses, certain deposit accounts that will receive cash under the AAdvantage Agreements, certain reserve accounts, the equity of each of Loyalty Issuer and the SPV Guarantors and substantially all other assets of Loyalty Issuer and the SPV Guarantors including American’s rights to certain data and other intellectual property used in the AAdvantage program (subject to certain exceptions) (collectively, the AAdvantage Collateral).</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will be repaid in quarterly installments of $292 million on each AAdvantage Payment Date, beginning on July 20, 2023. The outstanding principal on the 2029 Notes will be repaid in quarterly installments of $250 million on each AAdvantage Payment Date, beginning on July 20, 2026.</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AAdvantage Loans bear interest at a variable rate equal to LIBOR (but not less than 0.75% per annum), plus a margin of 4.75% per annum, payable on each AAdvantage Payment Date. The outstanding principal on the AAdvantage Loans will be repaid in quarterly installments of $ 175 million, on each AAdvantage Payment Date beginning with the AAdvantage Payment Date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2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sales exceeding $505 million.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EETCs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2021-1 Aircraft EETCs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November 2021, American created two pass-through trusts which issued $960 million aggregate face amount of Series 2021-1 Class A and Class B EETCs (the 2021-1 Aircraft EETCs) in connection with the financing of 26 aircraft previously delivered or originally scheduled to be delivered to American through September 2022 (the 2021-1 Aircraft). In 2021, $94 million of the proceeds had been used to purchase equipment notes issued by American in connection with the financing of five aircraft under the 2021-1 Aircraft EETCs, all of which was used to repay existing indebtedness. During 2022, $866 million of proceeds had been used to purchase equipment notes issued by American in connection with the financing of 21 aircraft under the 2021-1 Aircraft EETCs. As of December 31, 2022, there are no remaining proceeds held in escrow, and all proceeds have been used to purchase equipment notes issued by American. Interest and principal payments on equipment notes issued in connection with the 2021-1 Aircraft EETCs are payable semi-annually in January and July of each year. Interest payments began in July 2022 and principal payments began in January 2023.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2021-1 Aircraft EETC equipment notes, as of December 31, 2022, is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31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2021-1 Aircraft EETCs</w:t>
            </w:r>
          </w:p>
        </w:tc>
      </w:tr>
      <w:tr>
        <w:trPr>
          <w:trHeight w:val="196"/>
        </w:trPr>
        <w:tc>
          <w:tcPr>
            <w:tcW w:w="810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A</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$758 million</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 million</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Fixed interest rate per annum</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2.875%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3.95%</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July 2034</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July 2030</w:t>
            </w:r>
          </w:p>
        </w:tc>
      </w:tr>
    </w:tbl>
    <w:p>
      <w:pPr>
        <w:spacing w:after="0" w:line="3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Equipment Loans and Other Notes Payable Issued in 2022</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 American entered into agreements under which it borrowed $205 million in connection with the financing of certain aircraft. Debt incurred under these agreements mature in 2034 and bear interest at variable rates (comprised of the Secured Overnight Financing Rate plus an applicable margin) averaging 6.77% as of December 31, 2022.</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Special Facility Revenue Bonds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January 2020, American and British Airways announced the start of construction projects to upgrade New York's JFK Terminal 8. The construction project is expected to be fully completed in early 2023 and is estimated to cost $439 million, of which $298 million was funded with proceeds of the special facility revenue bonds issued by the New York Transportation Development Corporation (NYTDC) on behalf of American in June 2020 (the 2020 JFK Bonds) and approximately $84 million of which was funded with proceeds of the approximately $150 million of special facility revenue bonds NYTDC issued in June 2021 (the 2021 JFK Bonds).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is required to pay debt service on the 2021 JFK Bonds through payments under a loan agreement with NYTDC (as amended), and American and AAG guarantee the 2021 JFK Bonds. American continues to pay debt service on the outstanding bonds issued by NYTDC on behalf of American in 2016 and 2020 (the 2016 and 2020 JFK Bonds) and American and AAG continue to guarantee the 2016 and 2020 JFK Bonds. American’s and AAG’s obligations under these guarantees are secured by a leasehold mortgage on American’s lease of Terminal 8 and related property from the Port Authority of New York and New Jersey.</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2021 JFK Bonds, in aggregate, were priced at par value. The gross proceeds from the issuance of the 2021 JFK Bonds were approximately $150 million. Of this amount, $4 million was used to fund the costs of issuance of the 2021 JFK Bonds, $62 million was used to fund the redemption of the 2016 and 2020 JFK Bonds due August 2021, with the remaining amount of proceeds received held in restricted cash and short-term investments on the consolidated balance sheet and to be used to finance a portion of the cost of the renovation and expansion of Terminal 8. The 2021 JFK Bonds are comprised of term bonds, $70 million of which bear interest at 2.25% per annum and mature on August 1, 2026, and $80 million of which bear interest at 3.00% per annum and mature on August 1, 2031. As of December 31, 2022, $72 million of proceeds funded by the issuance of the 2020 and 2021 JFK Bonds are included in restricted cash and short-term investments on the accompanying consolidated balance sheet.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Guarantees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2022, American had issued guarantees covering AAG’s $1.8 billion aggregate principal amount of the PSP1 Promissory Note due April 2030, $1.0 billion aggregate principal amount of the PSP2 Promissory Note due January 2031, $959 million aggregate principal amount of the PSP3 Promissory Note due April 2031, $ 1.0 billion aggregate principal amount of 6.50% convertible senior notes due July 2025 and $500 million aggregate principal amount of 3.75% senior notes due March 2025.</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debt agreements contain customary terms and conditions as well as various affirmative, negative and financial covenants that, among other things, may restrict the ability of American to incur additional indebtedness. American’s debt agreements also contain customary change of control provisions, which may require it to repay or redeem such indebtedness upon certain events constituting a change of control under the relevant agreement, in certain cases at a premium. Certain of American’s debt financing agreements (including its secured notes, term loans, revolving credit facilities and spare engine EETCs) contain loan to value (LTV), collateral coverage or peak debt service coverage ratio covenants and certain agreements require American to appraise the related collateral annually or semiannually. Pursuant to such agreements, if the applicable LTV, collateral coverage or peak debt service coverage ratio exceeds 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falls below a specified threshold, as the case may be, American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American’s debt financing agreements contain covenants requiring it to maintain an aggregate of at least $2.0 billion of unrestricted cash and cash equivalents and amounts available to be drawn under revolving credit facilities, and its AAdvantage Financing contains a peak debt service coverage ratio, pursuant to which failure to comply with a certain threshold may result in early repayment, in whole or in part, of the AAdvantage Financing.</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Specifically, American is required to meet certain collateral coverage tests for its Credit Facilities, April 2016 Revolving Facility, 10.75%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Notes and 11.75% Senior Secured Notes, as described below:</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100" w:right="140" w:hanging="80"/>
        <w:spacing w:after="0" w:line="246" w:lineRule="auto"/>
        <w:rPr>
          <w:sz w:val="20"/>
          <w:szCs w:val="20"/>
          <w:color w:val="auto"/>
        </w:rPr>
      </w:pPr>
      <w:r>
        <w:rPr>
          <w:rFonts w:ascii="Arial" w:cs="Arial" w:eastAsia="Arial" w:hAnsi="Arial"/>
          <w:sz w:val="16"/>
          <w:szCs w:val="16"/>
          <w:color w:val="auto"/>
        </w:rPr>
        <w:t>Frequency of Appraisals of Appraised Collateral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LTV Requirement</w:t>
      </w:r>
    </w:p>
    <w:p>
      <w:pPr>
        <w:spacing w:after="0" w:line="32" w:lineRule="exact"/>
        <w:rPr>
          <w:sz w:val="20"/>
          <w:szCs w:val="20"/>
          <w:color w:val="auto"/>
        </w:rPr>
      </w:pPr>
    </w:p>
    <w:p>
      <w:pPr>
        <w:ind w:left="100" w:hanging="80"/>
        <w:spacing w:after="0" w:line="251" w:lineRule="auto"/>
        <w:rPr>
          <w:sz w:val="20"/>
          <w:szCs w:val="20"/>
          <w:color w:val="auto"/>
        </w:rPr>
      </w:pPr>
      <w:r>
        <w:rPr>
          <w:rFonts w:ascii="Arial" w:cs="Arial" w:eastAsia="Arial" w:hAnsi="Arial"/>
          <w:sz w:val="16"/>
          <w:szCs w:val="16"/>
          <w:color w:val="auto"/>
        </w:rPr>
        <w:t>LTV as of Last Measurement Date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Collateral Description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2013 Credit Facilities</w:t>
            </w:r>
          </w:p>
        </w:tc>
        <w:tc>
          <w:tcPr>
            <w:tcW w:w="80" w:type="dxa"/>
            <w:vAlign w:val="bottom"/>
            <w:vMerge w:val="restart"/>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2014 Credit Facilities</w:t>
            </w:r>
          </w:p>
        </w:tc>
        <w:tc>
          <w:tcPr>
            <w:tcW w:w="80" w:type="dxa"/>
            <w:vAlign w:val="bottom"/>
            <w:vMerge w:val="restart"/>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April 2016 Revolving</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10.75% Senior Secured</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11.75% Senior Secured</w:t>
            </w:r>
          </w:p>
        </w:tc>
        <w:tc>
          <w:tcPr>
            <w:tcW w:w="0" w:type="dxa"/>
            <w:vAlign w:val="bottom"/>
          </w:tcPr>
          <w:p>
            <w:pPr>
              <w:spacing w:after="0"/>
              <w:rPr>
                <w:sz w:val="1"/>
                <w:szCs w:val="1"/>
                <w:color w:val="auto"/>
              </w:rPr>
            </w:pPr>
          </w:p>
        </w:tc>
      </w:tr>
      <w:tr>
        <w:trPr>
          <w:trHeight w:val="185"/>
        </w:trPr>
        <w:tc>
          <w:tcPr>
            <w:tcW w:w="1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75"/>
        </w:trPr>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rPr>
              <w:t>Annual</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Annual</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color w:val="auto"/>
              </w:rPr>
              <w:t>Annual</w:t>
            </w:r>
          </w:p>
        </w:tc>
        <w:tc>
          <w:tcPr>
            <w:tcW w:w="1840" w:type="dxa"/>
            <w:vAlign w:val="bottom"/>
            <w:gridSpan w:val="2"/>
          </w:tcPr>
          <w:p>
            <w:pPr>
              <w:jc w:val="center"/>
              <w:ind w:right="60"/>
              <w:spacing w:after="0"/>
              <w:rPr>
                <w:sz w:val="20"/>
                <w:szCs w:val="20"/>
                <w:color w:val="auto"/>
              </w:rPr>
            </w:pPr>
            <w:r>
              <w:rPr>
                <w:rFonts w:ascii="Arial" w:cs="Arial" w:eastAsia="Arial" w:hAnsi="Arial"/>
                <w:sz w:val="16"/>
                <w:szCs w:val="16"/>
                <w:color w:val="auto"/>
              </w:rPr>
              <w:t>Annual</w:t>
            </w:r>
          </w:p>
        </w:tc>
        <w:tc>
          <w:tcPr>
            <w:tcW w:w="1760" w:type="dxa"/>
            <w:vAlign w:val="bottom"/>
          </w:tcPr>
          <w:p>
            <w:pPr>
              <w:jc w:val="center"/>
              <w:spacing w:after="0"/>
              <w:rPr>
                <w:sz w:val="20"/>
                <w:szCs w:val="20"/>
                <w:color w:val="auto"/>
              </w:rPr>
            </w:pPr>
            <w:r>
              <w:rPr>
                <w:rFonts w:ascii="Arial" w:cs="Arial" w:eastAsia="Arial" w:hAnsi="Arial"/>
                <w:sz w:val="16"/>
                <w:szCs w:val="16"/>
                <w:color w:val="auto"/>
              </w:rPr>
              <w:t>Semi-Annual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-186690</wp:posOffset>
            </wp:positionV>
            <wp:extent cx="7132320" cy="240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1.6x Collateral valuation to amount of debt outstanding (62.5% LTV)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20955</wp:posOffset>
            </wp:positionV>
            <wp:extent cx="7132320" cy="2400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760" w:type="dxa"/>
            <w:vAlign w:val="bottom"/>
          </w:tcPr>
          <w:p>
            <w:pPr>
              <w:jc w:val="center"/>
              <w:ind w:right="19"/>
              <w:spacing w:after="0"/>
              <w:rPr>
                <w:sz w:val="20"/>
                <w:szCs w:val="20"/>
                <w:color w:val="auto"/>
              </w:rPr>
            </w:pPr>
            <w:r>
              <w:rPr>
                <w:rFonts w:ascii="Arial" w:cs="Arial" w:eastAsia="Arial" w:hAnsi="Arial"/>
                <w:sz w:val="16"/>
                <w:szCs w:val="16"/>
                <w:color w:val="auto"/>
              </w:rPr>
              <w:t>34.4%</w:t>
            </w:r>
          </w:p>
        </w:tc>
        <w:tc>
          <w:tcPr>
            <w:tcW w:w="1820" w:type="dxa"/>
            <w:vAlign w:val="bottom"/>
          </w:tcPr>
          <w:p>
            <w:pPr>
              <w:jc w:val="center"/>
              <w:spacing w:after="0"/>
              <w:rPr>
                <w:sz w:val="20"/>
                <w:szCs w:val="20"/>
                <w:color w:val="auto"/>
              </w:rPr>
            </w:pPr>
            <w:r>
              <w:rPr>
                <w:rFonts w:ascii="Arial" w:cs="Arial" w:eastAsia="Arial" w:hAnsi="Arial"/>
                <w:sz w:val="16"/>
                <w:szCs w:val="16"/>
                <w:color w:val="auto"/>
              </w:rPr>
              <w:t>17.8%</w:t>
            </w:r>
          </w:p>
        </w:tc>
        <w:tc>
          <w:tcPr>
            <w:tcW w:w="1860" w:type="dxa"/>
            <w:vAlign w:val="bottom"/>
          </w:tcPr>
          <w:p>
            <w:pPr>
              <w:jc w:val="center"/>
              <w:spacing w:after="0"/>
              <w:rPr>
                <w:sz w:val="20"/>
                <w:szCs w:val="20"/>
                <w:color w:val="auto"/>
              </w:rPr>
            </w:pPr>
            <w:r>
              <w:rPr>
                <w:rFonts w:ascii="Arial" w:cs="Arial" w:eastAsia="Arial" w:hAnsi="Arial"/>
                <w:sz w:val="16"/>
                <w:szCs w:val="16"/>
                <w:color w:val="auto"/>
              </w:rPr>
              <w:t>Not Applicable</w:t>
            </w:r>
          </w:p>
        </w:tc>
        <w:tc>
          <w:tcPr>
            <w:tcW w:w="1820" w:type="dxa"/>
            <w:vAlign w:val="bottom"/>
          </w:tcPr>
          <w:p>
            <w:pPr>
              <w:jc w:val="center"/>
              <w:spacing w:after="0"/>
              <w:rPr>
                <w:sz w:val="20"/>
                <w:szCs w:val="20"/>
                <w:color w:val="auto"/>
              </w:rPr>
            </w:pPr>
            <w:r>
              <w:rPr>
                <w:rFonts w:ascii="Arial" w:cs="Arial" w:eastAsia="Arial" w:hAnsi="Arial"/>
                <w:sz w:val="16"/>
                <w:szCs w:val="16"/>
                <w:color w:val="auto"/>
              </w:rPr>
              <w:t>7.2%</w:t>
            </w:r>
          </w:p>
        </w:tc>
        <w:tc>
          <w:tcPr>
            <w:tcW w:w="1760" w:type="dxa"/>
            <w:vAlign w:val="bottom"/>
          </w:tcPr>
          <w:p>
            <w:pPr>
              <w:jc w:val="center"/>
              <w:ind w:lef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45"/>
        </w:trPr>
        <w:tc>
          <w:tcPr>
            <w:tcW w:w="1760" w:type="dxa"/>
            <w:vAlign w:val="bottom"/>
            <w:vMerge w:val="restart"/>
          </w:tcPr>
          <w:p>
            <w:pPr>
              <w:jc w:val="center"/>
              <w:spacing w:after="0"/>
              <w:rPr>
                <w:sz w:val="20"/>
                <w:szCs w:val="20"/>
                <w:color w:val="auto"/>
              </w:rPr>
            </w:pPr>
            <w:r>
              <w:rPr>
                <w:rFonts w:ascii="Arial" w:cs="Arial" w:eastAsia="Arial" w:hAnsi="Arial"/>
                <w:sz w:val="16"/>
                <w:szCs w:val="16"/>
                <w:color w:val="auto"/>
              </w:rPr>
              <w:t>Generally, certain slots,</w:t>
            </w:r>
          </w:p>
        </w:tc>
        <w:tc>
          <w:tcPr>
            <w:tcW w:w="1820" w:type="dxa"/>
            <w:vAlign w:val="bottom"/>
          </w:tcPr>
          <w:p>
            <w:pPr>
              <w:jc w:val="center"/>
              <w:spacing w:after="0"/>
              <w:rPr>
                <w:sz w:val="20"/>
                <w:szCs w:val="20"/>
                <w:color w:val="auto"/>
              </w:rPr>
            </w:pPr>
            <w:r>
              <w:rPr>
                <w:rFonts w:ascii="Arial" w:cs="Arial" w:eastAsia="Arial" w:hAnsi="Arial"/>
                <w:sz w:val="16"/>
                <w:szCs w:val="16"/>
                <w:color w:val="auto"/>
              </w:rPr>
              <w:t>Generally, certain slots,</w:t>
            </w:r>
          </w:p>
        </w:tc>
        <w:tc>
          <w:tcPr>
            <w:tcW w:w="1860" w:type="dxa"/>
            <w:vAlign w:val="bottom"/>
          </w:tcPr>
          <w:p>
            <w:pPr>
              <w:spacing w:after="0"/>
              <w:rPr>
                <w:sz w:val="21"/>
                <w:szCs w:val="21"/>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rPr>
              <w:t>Generally, certain DCA</w:t>
            </w:r>
          </w:p>
        </w:tc>
        <w:tc>
          <w:tcPr>
            <w:tcW w:w="1760" w:type="dxa"/>
            <w:vAlign w:val="bottom"/>
          </w:tcPr>
          <w:p>
            <w:pPr>
              <w:jc w:val="center"/>
              <w:spacing w:after="0"/>
              <w:rPr>
                <w:sz w:val="20"/>
                <w:szCs w:val="20"/>
                <w:color w:val="auto"/>
              </w:rPr>
            </w:pPr>
            <w:r>
              <w:rPr>
                <w:rFonts w:ascii="Arial" w:cs="Arial" w:eastAsia="Arial" w:hAnsi="Arial"/>
                <w:sz w:val="16"/>
                <w:szCs w:val="16"/>
                <w:color w:val="auto"/>
              </w:rPr>
              <w:t>Generally, certain slots,</w:t>
            </w:r>
          </w:p>
        </w:tc>
        <w:tc>
          <w:tcPr>
            <w:tcW w:w="0" w:type="dxa"/>
            <w:vAlign w:val="bottom"/>
          </w:tcPr>
          <w:p>
            <w:pPr>
              <w:spacing w:after="0"/>
              <w:rPr>
                <w:sz w:val="1"/>
                <w:szCs w:val="1"/>
                <w:color w:val="auto"/>
              </w:rPr>
            </w:pPr>
          </w:p>
        </w:tc>
      </w:tr>
      <w:tr>
        <w:trPr>
          <w:trHeight w:val="162"/>
        </w:trPr>
        <w:tc>
          <w:tcPr>
            <w:tcW w:w="1760" w:type="dxa"/>
            <w:vAlign w:val="bottom"/>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route authorities and</w:t>
            </w:r>
          </w:p>
        </w:tc>
        <w:tc>
          <w:tcPr>
            <w:tcW w:w="186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route authorities and</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route authorities and</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airport gate leasehold</w:t>
            </w:r>
          </w:p>
        </w:tc>
        <w:tc>
          <w:tcPr>
            <w:tcW w:w="18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slots, certain LGA slots,</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airport gate leasehold</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airport gate leasehold</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rights used by</w:t>
            </w:r>
          </w:p>
        </w:tc>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Generally, certain spare</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certain simulators and</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rights used by</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rights used by</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American to operate</w:t>
            </w:r>
          </w:p>
        </w:tc>
        <w:tc>
          <w:tcPr>
            <w:tcW w:w="1860" w:type="dxa"/>
            <w:vAlign w:val="bottom"/>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certain leasehold rights</w:t>
            </w:r>
          </w:p>
        </w:tc>
        <w:tc>
          <w:tcPr>
            <w:tcW w:w="1760" w:type="dxa"/>
            <w:vAlign w:val="bottom"/>
          </w:tcPr>
          <w:p>
            <w:pPr>
              <w:jc w:val="center"/>
              <w:ind w:left="19"/>
              <w:spacing w:after="0" w:line="162" w:lineRule="exact"/>
              <w:rPr>
                <w:sz w:val="20"/>
                <w:szCs w:val="20"/>
                <w:color w:val="auto"/>
              </w:rPr>
            </w:pPr>
            <w:r>
              <w:rPr>
                <w:rFonts w:ascii="Arial" w:cs="Arial" w:eastAsia="Arial" w:hAnsi="Arial"/>
                <w:sz w:val="16"/>
                <w:szCs w:val="16"/>
                <w:color w:val="auto"/>
              </w:rPr>
              <w:t>American to operate</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American to operate all</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certain services</w:t>
            </w:r>
          </w:p>
        </w:tc>
        <w:tc>
          <w:tcPr>
            <w:tcW w:w="1860" w:type="dxa"/>
            <w:vAlign w:val="bottom"/>
          </w:tcPr>
          <w:p>
            <w:pPr>
              <w:jc w:val="center"/>
              <w:spacing w:after="0" w:line="162" w:lineRule="exact"/>
              <w:rPr>
                <w:sz w:val="20"/>
                <w:szCs w:val="20"/>
                <w:color w:val="auto"/>
              </w:rPr>
            </w:pPr>
            <w:r>
              <w:rPr>
                <w:rFonts w:ascii="Arial" w:cs="Arial" w:eastAsia="Arial" w:hAnsi="Arial"/>
                <w:sz w:val="16"/>
                <w:szCs w:val="16"/>
                <w:color w:val="auto"/>
              </w:rPr>
              <w:t>parts</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and, in the case of the</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certain services</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services between the</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between the U.S. and</w:t>
            </w:r>
          </w:p>
        </w:tc>
        <w:tc>
          <w:tcPr>
            <w:tcW w:w="18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IP Notes, certain</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between the U.S. and</w:t>
            </w:r>
          </w:p>
        </w:tc>
        <w:tc>
          <w:tcPr>
            <w:tcW w:w="0" w:type="dxa"/>
            <w:vAlign w:val="bottom"/>
          </w:tcPr>
          <w:p>
            <w:pPr>
              <w:spacing w:after="0"/>
              <w:rPr>
                <w:sz w:val="1"/>
                <w:szCs w:val="1"/>
                <w:color w:val="auto"/>
              </w:rPr>
            </w:pPr>
          </w:p>
        </w:tc>
      </w:tr>
      <w:tr>
        <w:trPr>
          <w:trHeight w:val="162"/>
        </w:trPr>
        <w:tc>
          <w:tcPr>
            <w:tcW w:w="1760" w:type="dxa"/>
            <w:vAlign w:val="bottom"/>
          </w:tcPr>
          <w:p>
            <w:pPr>
              <w:jc w:val="center"/>
              <w:ind w:right="19"/>
              <w:spacing w:after="0" w:line="162" w:lineRule="exact"/>
              <w:rPr>
                <w:sz w:val="20"/>
                <w:szCs w:val="20"/>
                <w:color w:val="auto"/>
              </w:rPr>
            </w:pPr>
            <w:r>
              <w:rPr>
                <w:rFonts w:ascii="Arial" w:cs="Arial" w:eastAsia="Arial" w:hAnsi="Arial"/>
                <w:sz w:val="16"/>
                <w:szCs w:val="16"/>
                <w:color w:val="auto"/>
              </w:rPr>
              <w:t>U.S. and South</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European Union</w:t>
            </w:r>
          </w:p>
        </w:tc>
        <w:tc>
          <w:tcPr>
            <w:tcW w:w="18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intellectual property of</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the Caribbean, Central</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America</w:t>
            </w: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(including London</w:t>
            </w:r>
          </w:p>
        </w:tc>
        <w:tc>
          <w:tcPr>
            <w:tcW w:w="18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auto"/>
              </w:rPr>
              <w:t>American</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rPr>
              <w:t>America and various</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Heathrow)</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rPr>
              <w:t>other countries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00" w:space="40"/>
            <w:col w:w="9100"/>
          </w:cols>
          <w:pgMar w:left="320" w:top="122" w:right="339" w:bottom="1440" w:gutter="0" w:footer="0" w:header="0"/>
          <w:type w:val="continuous"/>
        </w:sectPr>
      </w:pPr>
    </w:p>
    <w:p>
      <w:pPr>
        <w:spacing w:after="0" w:line="3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At December 31, 2022, American was in compliance with the applicable collateral coverage tests as of the most recent measurement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American leases certain aircraft and engines, including aircraft under capacity purchase agreements. As of December 31, 2022, American operated 722 leased aircraft, with remaining terms ranging from less than one year to 11 years.</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each airport where American conducts flight operations, American has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American’s level of operations and the operations of the airport. Because of the variable nature of these rates, these leases are not recorded on American’s consolidated balance sheets as a ROU asset or a lease liability. Additionally, at American’s hub locations and in certain other cities it serves, American leases administrative offices, catering, cargo, training, maintenance and other facilities.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3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assets</w:t>
            </w:r>
          </w:p>
        </w:tc>
        <w:tc>
          <w:tcPr>
            <w:tcW w:w="2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2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6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26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20" w:type="dxa"/>
            <w:vAlign w:val="bottom"/>
            <w:vMerge w:val="restart"/>
          </w:tcPr>
          <w:p>
            <w:pPr>
              <w:jc w:val="right"/>
              <w:ind w:right="599"/>
              <w:spacing w:after="0"/>
              <w:rPr>
                <w:sz w:val="20"/>
                <w:szCs w:val="20"/>
                <w:color w:val="auto"/>
              </w:rPr>
            </w:pPr>
            <w:r>
              <w:rPr>
                <w:rFonts w:ascii="Arial" w:cs="Arial" w:eastAsia="Arial" w:hAnsi="Arial"/>
                <w:sz w:val="18"/>
                <w:szCs w:val="18"/>
                <w:color w:val="auto"/>
              </w:rPr>
              <w:t>155</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38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Included in the table above is $242 million, $190 million and $172 million of operating lease cost under American’s capacity purchase agreement with Republic for the years ended December 31, 2022, 2021 and 2020, respectively. American holds a 25% equity interest in Republic Holdings, the parent company of Republic.</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Additionally, not included in the table above, American recognized $109 million in cash special charges in 2020 related to the impairment of ROU assets and lease return costs resulting from its decision to retire certain leased aircraft earlier than planned driven by the severe decline in air travel due to the COVID-19 pandemic.</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3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jc w:val="right"/>
              <w:ind w:right="7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ROU assets</w:t>
            </w:r>
          </w:p>
        </w:tc>
        <w:tc>
          <w:tcPr>
            <w:tcW w:w="372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8,033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operating lease liabilities</w:t>
            </w:r>
          </w:p>
        </w:tc>
        <w:tc>
          <w:tcPr>
            <w:tcW w:w="372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25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6,512</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2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7,961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Property and equipment, at cost</w:t>
            </w:r>
          </w:p>
        </w:tc>
        <w:tc>
          <w:tcPr>
            <w:tcW w:w="37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1"/>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amortization</w:t>
            </w:r>
          </w:p>
        </w:tc>
        <w:tc>
          <w:tcPr>
            <w:tcW w:w="25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3"/>
        </w:trPr>
        <w:tc>
          <w:tcPr>
            <w:tcW w:w="47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56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Current finance lease liabilities</w:t>
            </w:r>
          </w:p>
        </w:tc>
        <w:tc>
          <w:tcPr>
            <w:tcW w:w="37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finance lease liabilities</w:t>
            </w:r>
          </w:p>
        </w:tc>
        <w:tc>
          <w:tcPr>
            <w:tcW w:w="25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476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256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9"/>
        </w:trPr>
        <w:tc>
          <w:tcPr>
            <w:tcW w:w="476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724"/>
        </w:trPr>
        <w:tc>
          <w:tcPr>
            <w:tcW w:w="4760" w:type="dxa"/>
            <w:vAlign w:val="bottom"/>
          </w:tcPr>
          <w:p>
            <w:pPr>
              <w:spacing w:after="0"/>
              <w:rPr>
                <w:sz w:val="24"/>
                <w:szCs w:val="24"/>
                <w:color w:val="auto"/>
              </w:rPr>
            </w:pPr>
          </w:p>
        </w:tc>
        <w:tc>
          <w:tcPr>
            <w:tcW w:w="2560" w:type="dxa"/>
            <w:vAlign w:val="bottom"/>
          </w:tcPr>
          <w:p>
            <w:pPr>
              <w:jc w:val="right"/>
              <w:ind w:right="1453"/>
              <w:spacing w:after="0"/>
              <w:rPr>
                <w:sz w:val="20"/>
                <w:szCs w:val="20"/>
                <w:color w:val="auto"/>
              </w:rPr>
            </w:pPr>
            <w:r>
              <w:rPr>
                <w:rFonts w:ascii="Arial" w:cs="Arial" w:eastAsia="Arial" w:hAnsi="Arial"/>
                <w:sz w:val="18"/>
                <w:szCs w:val="18"/>
                <w:color w:val="auto"/>
              </w:rPr>
              <w:t>156</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cash flow and other information related to leases was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9"/>
          </w:tcPr>
          <w:p>
            <w:pPr>
              <w:jc w:val="right"/>
              <w:ind w:right="339"/>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5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9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ROU assets acquired through operating leases</w:t>
            </w:r>
          </w:p>
        </w:tc>
        <w:tc>
          <w:tcPr>
            <w:tcW w:w="9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acquired through finance leases</w:t>
            </w: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 conversion to finance lease</w:t>
            </w:r>
          </w:p>
        </w:tc>
        <w:tc>
          <w:tcPr>
            <w:tcW w:w="9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conversion to operating lease</w:t>
            </w: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leaseback transactions, net</w:t>
            </w: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63"/>
        </w:trPr>
        <w:tc>
          <w:tcPr>
            <w:tcW w:w="6540" w:type="dxa"/>
            <w:vAlign w:val="bottom"/>
          </w:tcPr>
          <w:p>
            <w:pPr>
              <w:ind w:left="260"/>
              <w:spacing w:after="0"/>
              <w:rPr>
                <w:sz w:val="20"/>
                <w:szCs w:val="20"/>
                <w:color w:val="auto"/>
              </w:rPr>
            </w:pPr>
            <w:r>
              <w:rPr>
                <w:rFonts w:ascii="Arial" w:cs="Arial" w:eastAsia="Arial" w:hAnsi="Arial"/>
                <w:sz w:val="18"/>
                <w:szCs w:val="18"/>
                <w:color w:val="auto"/>
              </w:rPr>
              <w:t>Maturities of lease liabilities were as follows (in millions):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December 31, 2022</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2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2026</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8"/>
              </w:rPr>
              <w:t>(2,727)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obligations</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8"/>
              </w:rPr>
              <w:t>(1,449)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8"/>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lease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As of December 31, 2022, American had additional operating lease commitments that have not yet commenced of approximately $1.1 billion for nine Boeing 787 Family aircraft scheduled to be delivered in 2023 through 2024 with lease terms of 10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components of the income tax provision (benefit) were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30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benefit:</w:t>
            </w:r>
          </w:p>
        </w:tc>
        <w:tc>
          <w:tcPr>
            <w:tcW w:w="20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State, local and foreign</w:t>
            </w:r>
          </w:p>
        </w:tc>
        <w:tc>
          <w:tcPr>
            <w:tcW w:w="30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2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Federal</w:t>
            </w: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20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income tax provision (benefit)</w:t>
            </w:r>
          </w:p>
        </w:tc>
        <w:tc>
          <w:tcPr>
            <w:tcW w:w="2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 (benefit)</w:t>
            </w:r>
          </w:p>
        </w:tc>
        <w:tc>
          <w:tcPr>
            <w:tcW w:w="2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616"/>
              <w:spacing w:after="0"/>
              <w:rPr>
                <w:sz w:val="20"/>
                <w:szCs w:val="20"/>
                <w:color w:val="auto"/>
              </w:rPr>
            </w:pPr>
            <w:r>
              <w:rPr>
                <w:rFonts w:ascii="Arial" w:cs="Arial" w:eastAsia="Arial" w:hAnsi="Arial"/>
                <w:sz w:val="18"/>
                <w:szCs w:val="18"/>
                <w:color w:val="auto"/>
              </w:rPr>
              <w:t>157</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44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(benefit) differed from amounts computed at the statutory federal income tax rate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9"/>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income tax provision (benefit)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State, local and foreign income tax provision (benefit), net of federal tax effect</w:t>
            </w: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expenses not deductible for tax purposes</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The components of American’s deferred tax assets and liabilities were (in millions):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9"/>
        </w:trPr>
        <w:tc>
          <w:tcPr>
            <w:tcW w:w="6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Operating loss and other carryforwards</w:t>
            </w:r>
          </w:p>
        </w:tc>
        <w:tc>
          <w:tcPr>
            <w:tcW w:w="10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4,476</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Loyalty program liability</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Leases</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1,822</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Pensions</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Postretirement benefits other than pensions</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 expense</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2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w:t>
            </w:r>
          </w:p>
        </w:tc>
      </w:tr>
      <w:tr>
        <w:trPr>
          <w:trHeight w:val="229"/>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Valuation allowance</w:t>
            </w:r>
          </w:p>
        </w:tc>
        <w:tc>
          <w:tcPr>
            <w:tcW w:w="10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deferred tax assets</w:t>
            </w:r>
          </w:p>
        </w:tc>
        <w:tc>
          <w:tcPr>
            <w:tcW w:w="10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10,152</w:t>
            </w:r>
          </w:p>
        </w:tc>
      </w:tr>
      <w:tr>
        <w:trPr>
          <w:trHeight w:val="210"/>
        </w:trPr>
        <w:tc>
          <w:tcPr>
            <w:tcW w:w="64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depreciation and amortization</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Leases</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liabilities</w:t>
            </w:r>
          </w:p>
        </w:tc>
        <w:tc>
          <w:tcPr>
            <w:tcW w:w="10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(6,752)</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2022, American had approximately $16.1 billion of gross federal net operating losses (NOLs) and $3.5 billion of other carryforwards available to reduce future federal taxable income, of which $6.2 billion will expire beginning in 2024 if unused and $13.4 billion can be carried forward indefinitely. American is a member of AAG’s consolidated federal and certain state income tax returns. American also had approximately $5.9 billion of NOL carryforwards to reduce future state taxable income at December 31, 2022, which will expire in taxable years 2022 through 2042 if unused.</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 There can be no assurance that an additional valuation allowance on American’s net deferred tax assets will not be required. Such valuation allowance could be material.</w:t>
      </w:r>
    </w:p>
    <w:p>
      <w:pPr>
        <w:spacing w:after="0" w:line="13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American’s ability to deduct its NOL carryforwards and to utilize certain other available tax attributes can be substantially constrained under the general annual limitation rules of Section 382 where an “ownership change” has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occurred. Substantially all of American’s remaining federal NOL carryforwards attributable to US Airways Group are subject to limitation under Section 382; however, American’s ability to utilize such NOL carryforwards is not anticipated to be effectively constrained as a result of such limitation. Similar limitations may apply for state income tax purposes. American’s ability to utilize any new NOL carryforwards arising after the ownership changes is not affected by the annual limitation rules imposed by Section 382 unless another ownership change occurs. Under the Section 382 limitation, cumulative stock ownership changes among material stockholders exceeding 50% during a rolling three-year period can potentially limit American’s future use of NOLs and tax credits.</w:t>
      </w:r>
    </w:p>
    <w:p>
      <w:pPr>
        <w:spacing w:after="0" w:line="12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 2022, American recorded an income tax provision of $116 million, with an effective rate of approximately 26%, which was substantially non-cash. Substantially all of American’s income before income taxes is attributable to the United States.</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Inflation Reduction Act (IRA) was enacted on August 16, 2022, which among other provisions, introduced a corporate minimum tax on certain corporations with average adjusted financial statement income over a three-tax year period in excess of $ 1.0 billion, an excise tax on certain stock repurchases by certain covered corporations for taxable years beginning after December 31, 2022, and several tax incentives to promote clean energy. Based on American’s current analysis and pending future guidance to be issued by the U.S. Department of Treasury, American does not believe these provisions will have a material impact on its consolidated financial statements.</w:t>
      </w:r>
    </w:p>
    <w:p>
      <w:pPr>
        <w:spacing w:after="0" w:line="12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files its tax returns as prescribed by the tax laws of the jurisdictions in which it operates. American’s 2019 through 2021 tax years are still subject to examination by the Internal Revenue Service. Various state and foreign jurisdiction tax years remain open to examination and American is under examination, in administrative appeals, or engaged in tax litigation in certain jurisdictions. American believes that the effect of any assessments will not be material to its consolidated financial statements.</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amount of, and changes to, American’s uncertain tax positions were not material in any of the years presented. American accrues interest and penalties related to unrecognized tax benefits in interest expense and operating expense,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71"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7"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When available, American uses quoted market prices to determine the fair value of its financial assets. If quoted market prices are not available, American measures fair value using valuation techniques that use, when possible, current market-based or independently-sourced market parameters, such as interest rates and currency rates.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primarily utilize broker quotes in a non-active market for valuation of these securities. No changes in valuation techniques or inputs occurred during the year ended December 31,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2022</w:t>
            </w:r>
          </w:p>
        </w:tc>
        <w:tc>
          <w:tcPr>
            <w:tcW w:w="1120" w:type="dxa"/>
            <w:vAlign w:val="bottom"/>
            <w:tcBorders>
              <w:bottom w:val="single" w:sz="8" w:color="auto"/>
            </w:tcBorders>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7"/>
                <w:szCs w:val="17"/>
                <w:color w:val="auto"/>
              </w:rPr>
            </w:pPr>
          </w:p>
        </w:tc>
        <w:tc>
          <w:tcPr>
            <w:tcW w:w="112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2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78"/>
        </w:trPr>
        <w:tc>
          <w:tcPr>
            <w:tcW w:w="5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2021</w:t>
            </w:r>
          </w:p>
        </w:tc>
        <w:tc>
          <w:tcPr>
            <w:tcW w:w="1120" w:type="dxa"/>
            <w:vAlign w:val="bottom"/>
            <w:tcBorders>
              <w:bottom w:val="single" w:sz="8" w:color="auto"/>
            </w:tcBorders>
          </w:tcPr>
          <w:p>
            <w:pPr>
              <w:spacing w:after="0"/>
              <w:rPr>
                <w:sz w:val="24"/>
                <w:szCs w:val="24"/>
                <w:color w:val="auto"/>
              </w:rPr>
            </w:pPr>
          </w:p>
        </w:tc>
      </w:tr>
      <w:tr>
        <w:trPr>
          <w:trHeight w:val="196"/>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7"/>
                <w:szCs w:val="17"/>
                <w:color w:val="auto"/>
              </w:rPr>
            </w:pPr>
          </w:p>
        </w:tc>
        <w:tc>
          <w:tcPr>
            <w:tcW w:w="112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2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as of December 31, 2022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a substantial portion of the cost of the renovation and expansion of Terminal 8 at JFK.</w:t>
      </w:r>
    </w:p>
    <w:p>
      <w:pPr>
        <w:spacing w:after="0" w:line="140" w:lineRule="exact"/>
        <w:rPr>
          <w:rFonts w:ascii="Arial" w:cs="Arial" w:eastAsia="Arial" w:hAnsi="Arial"/>
          <w:sz w:val="23"/>
          <w:szCs w:val="23"/>
          <w:color w:val="auto"/>
          <w:vertAlign w:val="superscript"/>
        </w:rPr>
      </w:pPr>
    </w:p>
    <w:p>
      <w:pPr>
        <w:jc w:val="both"/>
        <w:ind w:left="340" w:hanging="332"/>
        <w:spacing w:after="0" w:line="225" w:lineRule="auto"/>
        <w:tabs>
          <w:tab w:leader="none" w:pos="335" w:val="left"/>
        </w:tabs>
        <w:numPr>
          <w:ilvl w:val="0"/>
          <w:numId w:val="70"/>
        </w:numPr>
        <w:rPr>
          <w:rFonts w:ascii="Arial" w:cs="Arial" w:eastAsia="Arial" w:hAnsi="Arial"/>
          <w:sz w:val="26"/>
          <w:szCs w:val="26"/>
          <w:color w:val="auto"/>
          <w:vertAlign w:val="superscript"/>
        </w:rPr>
      </w:pPr>
      <w:r>
        <w:rPr>
          <w:rFonts w:ascii="Arial" w:cs="Arial" w:eastAsia="Arial" w:hAnsi="Arial"/>
          <w:sz w:val="18"/>
          <w:szCs w:val="18"/>
          <w:color w:val="auto"/>
        </w:rPr>
        <w:t>Long-term investments include American's equity investments in China Southern Airlines Company Limited (China Southern Airlines) and Vertical Aerospace Ltd. (Vertical) and as of December 31, 2022, American’s long-term investments also include GOL. See Note 7 for further information on American’s equity investments.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December 31, 2021</w:t>
            </w:r>
          </w:p>
        </w:tc>
      </w:tr>
      <w:tr>
        <w:trPr>
          <w:trHeight w:val="147"/>
        </w:trPr>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120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080" w:type="dxa"/>
            <w:vAlign w:val="bottom"/>
          </w:tcPr>
          <w:p>
            <w:pPr>
              <w:jc w:val="center"/>
              <w:ind w:right="242"/>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6"/>
                <w:szCs w:val="16"/>
                <w:color w:val="auto"/>
              </w:rPr>
            </w:pPr>
          </w:p>
        </w:tc>
        <w:tc>
          <w:tcPr>
            <w:tcW w:w="1080" w:type="dxa"/>
            <w:vAlign w:val="bottom"/>
          </w:tcPr>
          <w:p>
            <w:pPr>
              <w:jc w:val="center"/>
              <w:ind w:right="242"/>
              <w:spacing w:after="0"/>
              <w:rPr>
                <w:sz w:val="20"/>
                <w:szCs w:val="20"/>
                <w:color w:val="auto"/>
              </w:rPr>
            </w:pPr>
            <w:r>
              <w:rPr>
                <w:rFonts w:ascii="Arial" w:cs="Arial" w:eastAsia="Arial" w:hAnsi="Arial"/>
                <w:sz w:val="14"/>
                <w:szCs w:val="14"/>
                <w:b w:val="1"/>
                <w:bCs w:val="1"/>
                <w:color w:val="auto"/>
                <w:w w:val="96"/>
              </w:rPr>
              <w:t>Value</w:t>
            </w: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29,679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32,999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7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consolidated balance sheets. American’s share of equity method investees’ financial results and changes in fair value are recorded in nonoperating other income, net on the consolidated statements of operations.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equity investments ownership interest and carrying value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rPr>
              <w:t>Ownership Interest</w:t>
            </w: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Carrying Value (in millions)</w:t>
            </w:r>
          </w:p>
        </w:tc>
      </w:tr>
      <w:tr>
        <w:trPr>
          <w:trHeight w:val="200"/>
        </w:trPr>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197"/>
        </w:trPr>
        <w:tc>
          <w:tcPr>
            <w:tcW w:w="2420" w:type="dxa"/>
            <w:vAlign w:val="bottom"/>
          </w:tcPr>
          <w:p>
            <w:pPr>
              <w:spacing w:after="0"/>
              <w:rPr>
                <w:sz w:val="17"/>
                <w:szCs w:val="17"/>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Accounting Treatment</w:t>
            </w:r>
          </w:p>
        </w:tc>
        <w:tc>
          <w:tcPr>
            <w:tcW w:w="1520" w:type="dxa"/>
            <w:vAlign w:val="bottom"/>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Republic Holdings</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Equity Method</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China Southern Airlines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Fair Value</w:t>
            </w:r>
          </w:p>
        </w:tc>
        <w:tc>
          <w:tcPr>
            <w:tcW w:w="1520" w:type="dxa"/>
            <w:vAlign w:val="bottom"/>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2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(a)</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Various</w:t>
            </w: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2420" w:type="dxa"/>
            <w:vAlign w:val="bottom"/>
          </w:tcPr>
          <w:p>
            <w:pPr>
              <w:ind w:left="24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1"/>
        </w:trPr>
        <w:tc>
          <w:tcPr>
            <w:tcW w:w="2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Other investments</w:t>
      </w:r>
    </w:p>
    <w:p>
      <w:pPr>
        <w:spacing w:after="0" w:line="8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Other investments primarily include American’s investment in Vertical, which is accounted for at fair value, and in 2022, American’s investments in JetSmart Airlines SpA (JetSMART) and GOL.</w:t>
      </w:r>
    </w:p>
    <w:p>
      <w:pPr>
        <w:spacing w:after="0" w:line="9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April 2022, American completed an investment agreement with GOL, a Brazilian low-cost airline, and invested $200 million in 22.2 million of newly issued preferred shares. The total consideration of $ 200 million was allocated on its consolidated balance sheet as follows based on relative fair values: $81 million to the preferred shares, which is reflected within other assets, and $119 million to the indefinite-lived intangible asset derived from the related commercial agreements. The ownership interest is accounted for at fair value based on GOL’s stock price and mark-to-market adjustments are recorded to nonoperating other income, net on the consolidated statement of operations.</w:t>
      </w:r>
    </w:p>
    <w:p>
      <w:pPr>
        <w:spacing w:after="0" w:line="2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December 2022, American completed an investment agreement with JetSMART, an ultra-low-cost carrier operating in South America, representing a 35.4% ownership. This ownership interest is accounted for under the equity method and American’s portion of JetSMART’s financial results is recognized within nonoperating other income, net on the consolidated statement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sponsors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American’s defined benefit pension plans were frozen and American began providing enhanced benefits under its defined contribution pension plans for certain employee groups. American uses a December 31 measurement date for all of its defined benefit pension plans. American also provides certain retiree medical and other postretirement benefits, including health care and life insurance benefits, to retired employees.</w:t>
      </w:r>
    </w:p>
    <w:p>
      <w:pPr>
        <w:spacing w:after="0" w:line="12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Effective January 1, 2021, health coverage under American’s retiree medical benefit program that is currently provided to certain retirees age 65 and over who retired prior to November 1, 2012, transitioned from a self-insured plan to a fully-insured Medicare Advantage plan. Benefits coverage has not been reduced and cost shared has not changed as a result of this transition. Due to this transition, as of December 31, 2020, American recognized a negative plan amendment to reduce its benefit obligation, which was included as a component of prior service benefit in accumulated other comprehensive income (loss) (AOCI) and will be amortized over the average remaining life expectancy of all retirees. As of December 31, 2022, $179 million of prior service benefit remains to be amortized over a remaining period of approximately 11 years.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a statement of funded status as of December 31, 2022 and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6"/>
          </w:tcPr>
          <w:p>
            <w:pPr>
              <w:jc w:val="right"/>
              <w:ind w:right="73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37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period</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Actuarial gain </w:t>
            </w:r>
            <w:r>
              <w:rPr>
                <w:rFonts w:ascii="Arial" w:cs="Arial" w:eastAsia="Arial" w:hAnsi="Arial"/>
                <w:sz w:val="23"/>
                <w:szCs w:val="23"/>
                <w:color w:val="auto"/>
                <w:vertAlign w:val="superscript"/>
              </w:rPr>
              <w:t>(1), (2)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Special termination benefits </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payments</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Benefit obligation at end of period</w:t>
            </w: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period</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Actual return (loss) on plan assets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Settlements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payments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at end of period</w:t>
            </w: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 at end of period</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The 2022 and 2021 pension actuarial gain primarily relates to the change in American’s weighted average discount rate assumption.</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The 2022 and 2021 retiree medical and other postretirement benefits actuarial gain primarily relates to the change in American’s weighted average discount rate assumption and, in 2021, plan experience adjustments.</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During the first quarter of 2021, American remeasured its retiree medical and other postretirement benefits to account for enhanced healthcare benefits provided to eligible team members who opted into voluntary early retirement programs offered as a result of reductions to its operation due to the COVID-19 pandemic. As a result, during 2021, American recognized a $139 million special charge for these enhanced healthcare benefits and increased its postretirement benefits obligation by $139 million.</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In January 2021, American made $241 million in contributions to its pension plans, including a contribution of $130 million for the 2020 calendar year that was permitted to be deferred to January 4, 2021 as provided under the CARES Act.</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6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Current liability</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2,127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60" w:type="dxa"/>
            <w:vAlign w:val="bottom"/>
          </w:tcPr>
          <w:p>
            <w:pPr>
              <w:jc w:val="right"/>
              <w:ind w:right="295"/>
              <w:spacing w:after="0"/>
              <w:rPr>
                <w:sz w:val="20"/>
                <w:szCs w:val="20"/>
                <w:color w:val="auto"/>
              </w:rPr>
            </w:pPr>
            <w:r>
              <w:rPr>
                <w:rFonts w:ascii="Arial" w:cs="Arial" w:eastAsia="Arial" w:hAnsi="Arial"/>
                <w:sz w:val="18"/>
                <w:szCs w:val="18"/>
                <w:color w:val="auto"/>
              </w:rPr>
              <w:t>162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Prior service cost (benefit)</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 (income), pre-tax</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3,627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Plans with Projected Benefit Obligations Exceeding Fair Value of Plan Assets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13,948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0" w:type="dxa"/>
            <w:vAlign w:val="bottom"/>
          </w:tcPr>
          <w:p>
            <w:pPr>
              <w:spacing w:after="0"/>
              <w:rPr>
                <w:sz w:val="1"/>
                <w:szCs w:val="1"/>
                <w:color w:val="auto"/>
              </w:rPr>
            </w:pPr>
          </w:p>
        </w:tc>
      </w:tr>
      <w:tr>
        <w:trPr>
          <w:trHeight w:val="239"/>
        </w:trPr>
        <w:tc>
          <w:tcPr>
            <w:tcW w:w="38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11,821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556"/>
        </w:trPr>
        <w:tc>
          <w:tcPr>
            <w:tcW w:w="7480" w:type="dxa"/>
            <w:vAlign w:val="bottom"/>
            <w:gridSpan w:val="11"/>
          </w:tcPr>
          <w:p>
            <w:pPr>
              <w:ind w:left="26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gridSpan w:val="5"/>
            <w:vMerge w:val="restart"/>
          </w:tcPr>
          <w:p>
            <w:pPr>
              <w:jc w:val="right"/>
              <w:ind w:right="122"/>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gridSpan w:val="8"/>
          </w:tcPr>
          <w:p>
            <w:pPr>
              <w:jc w:val="right"/>
              <w:spacing w:after="0"/>
              <w:rPr>
                <w:sz w:val="20"/>
                <w:szCs w:val="20"/>
                <w:color w:val="auto"/>
              </w:rPr>
            </w:pPr>
            <w:r>
              <w:rPr>
                <w:rFonts w:ascii="Arial" w:cs="Arial" w:eastAsia="Arial" w:hAnsi="Arial"/>
                <w:sz w:val="14"/>
                <w:szCs w:val="14"/>
                <w:b w:val="1"/>
                <w:bCs w:val="1"/>
                <w:color w:val="auto"/>
              </w:rPr>
              <w:t>Retiree Medical and</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10"/>
          </w:tcPr>
          <w:p>
            <w:pPr>
              <w:jc w:val="right"/>
              <w:ind w:right="37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84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18,782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Accumulated postretirement benefit obligation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906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552"/>
        </w:trPr>
        <w:tc>
          <w:tcPr>
            <w:tcW w:w="38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Net Periodic Benefit Cost (Income)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gridSpan w:val="8"/>
          </w:tcPr>
          <w:p>
            <w:pPr>
              <w:jc w:val="center"/>
              <w:spacing w:after="0"/>
              <w:rPr>
                <w:sz w:val="20"/>
                <w:szCs w:val="20"/>
                <w:color w:val="auto"/>
              </w:rPr>
            </w:pPr>
            <w:r>
              <w:rPr>
                <w:rFonts w:ascii="Arial" w:cs="Arial" w:eastAsia="Arial" w:hAnsi="Arial"/>
                <w:sz w:val="14"/>
                <w:szCs w:val="14"/>
                <w:b w:val="1"/>
                <w:bCs w:val="1"/>
                <w:color w:val="auto"/>
              </w:rPr>
              <w:t>Retiree Medical and</w:t>
            </w: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rPr>
              <w:t>Other Postretirement Benefits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gridSpan w:val="2"/>
          </w:tcPr>
          <w:p>
            <w:pPr>
              <w:spacing w:after="0"/>
              <w:rPr>
                <w:sz w:val="16"/>
                <w:szCs w:val="16"/>
                <w:color w:val="auto"/>
              </w:rPr>
            </w:pPr>
          </w:p>
        </w:tc>
        <w:tc>
          <w:tcPr>
            <w:tcW w:w="11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8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plans: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
              <w:spacing w:after="0"/>
              <w:rPr>
                <w:sz w:val="20"/>
                <w:szCs w:val="20"/>
                <w:color w:val="auto"/>
              </w:rPr>
            </w:pPr>
            <w:r>
              <w:rPr>
                <w:rFonts w:ascii="Arial" w:cs="Arial" w:eastAsia="Arial" w:hAnsi="Arial"/>
                <w:sz w:val="18"/>
                <w:szCs w:val="18"/>
                <w:color w:val="auto"/>
              </w:rPr>
              <w:t>2</w:t>
            </w:r>
          </w:p>
        </w:tc>
        <w:tc>
          <w:tcPr>
            <w:tcW w:w="700" w:type="dxa"/>
            <w:vAlign w:val="bottom"/>
            <w:gridSpan w:val="3"/>
          </w:tcPr>
          <w:p>
            <w:pPr>
              <w:jc w:val="right"/>
              <w:ind w:right="3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64"/>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 termination benefits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Prior service cost (benefit)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(30)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Net periodic benefit cost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(187)</w:t>
            </w:r>
          </w:p>
        </w:tc>
        <w:tc>
          <w:tcPr>
            <w:tcW w:w="100" w:type="dxa"/>
            <w:vAlign w:val="bottom"/>
            <w:gridSpan w:val="2"/>
          </w:tcPr>
          <w:p>
            <w:pPr>
              <w:spacing w:after="0"/>
              <w:rPr>
                <w:sz w:val="19"/>
                <w:szCs w:val="19"/>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net on American’s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Assumptions</w:t>
      </w:r>
    </w:p>
    <w:p>
      <w:pPr>
        <w:spacing w:after="0" w:line="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following actuarial assumptions were used to determine American’s benefit obligations and net periodic benefit cost (income) for the periods presented: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restart"/>
          </w:tcPr>
          <w:p>
            <w:pPr>
              <w:ind w:left="280"/>
              <w:spacing w:after="0"/>
              <w:rPr>
                <w:sz w:val="20"/>
                <w:szCs w:val="20"/>
                <w:color w:val="auto"/>
              </w:rPr>
            </w:pPr>
            <w:r>
              <w:rPr>
                <w:rFonts w:ascii="Arial" w:cs="Arial" w:eastAsia="Arial" w:hAnsi="Arial"/>
                <w:sz w:val="14"/>
                <w:szCs w:val="14"/>
                <w:b w:val="1"/>
                <w:bCs w:val="1"/>
                <w:color w:val="auto"/>
              </w:rPr>
              <w:t>Pension Benefits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7"/>
          </w:tcPr>
          <w:p>
            <w:pPr>
              <w:jc w:val="center"/>
              <w:ind w:right="65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8"/>
            <w:vMerge w:val="continue"/>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8"/>
          </w:tcPr>
          <w:p>
            <w:pPr>
              <w:jc w:val="center"/>
              <w:ind w:right="37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7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Benefit obligations:</w:t>
            </w: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gridSpan w:val="2"/>
          </w:tcPr>
          <w:p>
            <w:pPr>
              <w:jc w:val="right"/>
              <w:ind w:right="399"/>
              <w:spacing w:after="0"/>
              <w:rPr>
                <w:sz w:val="20"/>
                <w:szCs w:val="20"/>
                <w:color w:val="auto"/>
              </w:rPr>
            </w:pPr>
            <w:r>
              <w:rPr>
                <w:rFonts w:ascii="Arial" w:cs="Arial" w:eastAsia="Arial" w:hAnsi="Arial"/>
                <w:sz w:val="18"/>
                <w:szCs w:val="18"/>
                <w:color w:val="auto"/>
                <w:w w:val="97"/>
              </w:rPr>
              <w:t>5.6%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3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436"/>
              <w:spacing w:after="0"/>
              <w:rPr>
                <w:sz w:val="20"/>
                <w:szCs w:val="20"/>
                <w:color w:val="auto"/>
              </w:rPr>
            </w:pPr>
            <w:r>
              <w:rPr>
                <w:rFonts w:ascii="Arial" w:cs="Arial" w:eastAsia="Arial" w:hAnsi="Arial"/>
                <w:sz w:val="18"/>
                <w:szCs w:val="18"/>
                <w:color w:val="auto"/>
                <w:w w:val="92"/>
              </w:rPr>
              <w:t>2.8%</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rPr>
              <w:t>Pension Benefits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7"/>
          </w:tcPr>
          <w:p>
            <w:pPr>
              <w:jc w:val="center"/>
              <w:ind w:left="119"/>
              <w:spacing w:after="0"/>
              <w:rPr>
                <w:sz w:val="20"/>
                <w:szCs w:val="20"/>
                <w:color w:val="auto"/>
              </w:rPr>
            </w:pPr>
            <w:r>
              <w:rPr>
                <w:rFonts w:ascii="Arial" w:cs="Arial" w:eastAsia="Arial" w:hAnsi="Arial"/>
                <w:sz w:val="14"/>
                <w:szCs w:val="14"/>
                <w:b w:val="1"/>
                <w:bCs w:val="1"/>
                <w:color w:val="auto"/>
              </w:rPr>
              <w:t>Retiree Medical and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center"/>
              <w:ind w:right="15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90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060" w:type="dxa"/>
            <w:vAlign w:val="bottom"/>
            <w:gridSpan w:val="4"/>
          </w:tcPr>
          <w:p>
            <w:pPr>
              <w:jc w:val="center"/>
              <w:ind w:left="65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9"/>
              </w:rPr>
              <w:t>Net periodic benefit cost (income):</w:t>
            </w: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7"/>
              </w:rPr>
              <w:t>3.0%</w:t>
            </w:r>
          </w:p>
        </w:tc>
        <w:tc>
          <w:tcPr>
            <w:tcW w:w="900" w:type="dxa"/>
            <w:vAlign w:val="bottom"/>
            <w:gridSpan w:val="2"/>
          </w:tcPr>
          <w:p>
            <w:pPr>
              <w:jc w:val="center"/>
              <w:ind w:left="199"/>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rPr>
              <w:t>2.8%</w:t>
            </w:r>
          </w:p>
        </w:tc>
        <w:tc>
          <w:tcPr>
            <w:tcW w:w="1400" w:type="dxa"/>
            <w:vAlign w:val="bottom"/>
            <w:gridSpan w:val="5"/>
          </w:tcPr>
          <w:p>
            <w:pPr>
              <w:jc w:val="center"/>
              <w:ind w:left="299"/>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expected rate of return on plan assets</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8.0%</w:t>
            </w:r>
          </w:p>
        </w:tc>
        <w:tc>
          <w:tcPr>
            <w:tcW w:w="90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400" w:type="dxa"/>
            <w:vAlign w:val="bottom"/>
            <w:gridSpan w:val="5"/>
            <w:shd w:val="clear" w:color="auto" w:fill="CCEEFF"/>
          </w:tcPr>
          <w:p>
            <w:pPr>
              <w:jc w:val="center"/>
              <w:ind w:left="299"/>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Weighted average health care cost trend rate assumed for</w:t>
            </w:r>
          </w:p>
        </w:tc>
        <w:tc>
          <w:tcPr>
            <w:tcW w:w="1000" w:type="dxa"/>
            <w:vAlign w:val="bottom"/>
            <w:gridSpan w:val="2"/>
            <w:vMerge w:val="restart"/>
          </w:tcPr>
          <w:p>
            <w:pPr>
              <w:ind w:lef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5"/>
                <w:szCs w:val="15"/>
                <w:color w:val="auto"/>
              </w:rPr>
            </w:pPr>
          </w:p>
        </w:tc>
        <w:tc>
          <w:tcPr>
            <w:tcW w:w="1100" w:type="dxa"/>
            <w:vAlign w:val="bottom"/>
            <w:gridSpan w:val="4"/>
            <w:vMerge w:val="restart"/>
          </w:tcPr>
          <w:p>
            <w:pPr>
              <w:jc w:val="center"/>
              <w:ind w:right="120"/>
              <w:spacing w:after="0"/>
              <w:rPr>
                <w:sz w:val="20"/>
                <w:szCs w:val="20"/>
                <w:color w:val="auto"/>
              </w:rPr>
            </w:pPr>
            <w:r>
              <w:rPr>
                <w:rFonts w:ascii="Arial" w:cs="Arial" w:eastAsia="Arial" w:hAnsi="Arial"/>
                <w:sz w:val="18"/>
                <w:szCs w:val="18"/>
                <w:color w:val="auto"/>
                <w:w w:val="99"/>
              </w:rPr>
              <w:t>N/A</w:t>
            </w:r>
          </w:p>
        </w:tc>
        <w:tc>
          <w:tcPr>
            <w:tcW w:w="1340" w:type="dxa"/>
            <w:vAlign w:val="bottom"/>
            <w:gridSpan w:val="4"/>
            <w:vMerge w:val="restart"/>
          </w:tcPr>
          <w:p>
            <w:pPr>
              <w:ind w:left="340"/>
              <w:spacing w:after="0"/>
              <w:rPr>
                <w:sz w:val="20"/>
                <w:szCs w:val="20"/>
                <w:color w:val="auto"/>
              </w:rPr>
            </w:pPr>
            <w:r>
              <w:rPr>
                <w:rFonts w:ascii="Arial" w:cs="Arial" w:eastAsia="Arial" w:hAnsi="Arial"/>
                <w:sz w:val="18"/>
                <w:szCs w:val="18"/>
                <w:color w:val="auto"/>
              </w:rPr>
              <w:t>N/A</w:t>
            </w: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rPr>
              <w:t>5.8%</w:t>
            </w:r>
          </w:p>
        </w:tc>
        <w:tc>
          <w:tcPr>
            <w:tcW w:w="1400" w:type="dxa"/>
            <w:vAlign w:val="bottom"/>
            <w:gridSpan w:val="5"/>
            <w:vMerge w:val="restart"/>
          </w:tcPr>
          <w:p>
            <w:pPr>
              <w:jc w:val="center"/>
              <w:ind w:left="299"/>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rPr>
              <w:t xml:space="preserve">next year </w:t>
            </w:r>
            <w:r>
              <w:rPr>
                <w:rFonts w:ascii="Arial" w:cs="Arial" w:eastAsia="Arial" w:hAnsi="Arial"/>
                <w:sz w:val="23"/>
                <w:szCs w:val="23"/>
                <w:color w:val="auto"/>
                <w:vertAlign w:val="superscript"/>
              </w:rPr>
              <w:t>(1)</w:t>
            </w:r>
          </w:p>
        </w:tc>
        <w:tc>
          <w:tcPr>
            <w:tcW w:w="1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1340" w:type="dxa"/>
            <w:vAlign w:val="bottom"/>
            <w:gridSpan w:val="4"/>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4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3112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8" w:lineRule="exact"/>
        <w:rPr>
          <w:sz w:val="20"/>
          <w:szCs w:val="20"/>
          <w:color w:val="auto"/>
        </w:rPr>
      </w:pPr>
    </w:p>
    <w:p>
      <w:pPr>
        <w:ind w:left="340" w:hanging="332"/>
        <w:spacing w:after="0" w:line="231" w:lineRule="auto"/>
        <w:tabs>
          <w:tab w:leader="none" w:pos="334" w:val="left"/>
        </w:tabs>
        <w:numPr>
          <w:ilvl w:val="0"/>
          <w:numId w:val="72"/>
        </w:numPr>
        <w:rPr>
          <w:rFonts w:ascii="Arial" w:cs="Arial" w:eastAsia="Arial" w:hAnsi="Arial"/>
          <w:sz w:val="23"/>
          <w:szCs w:val="23"/>
          <w:color w:val="auto"/>
          <w:vertAlign w:val="superscript"/>
        </w:rPr>
      </w:pPr>
      <w:r>
        <w:rPr>
          <w:rFonts w:ascii="Arial" w:cs="Arial" w:eastAsia="Arial" w:hAnsi="Arial"/>
          <w:sz w:val="18"/>
          <w:szCs w:val="18"/>
          <w:color w:val="auto"/>
        </w:rPr>
        <w:t>The weighted average health care cost trend rate at December 31, 2022 is assumed to decline gradually to 4.4% by 2029 and remain level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2022, American’s estimate of the long-term rate of return on plan assets was 8.0%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10 years, current and expected market conditions, and expected value to be generated through active management and securities lending programs.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the Employee Retirement Income Security Act of 1974 (ERISA) and various other laws for U.S. based plans as well as underfunding rules specific to countries where American maintains defined benefit plans. Based on current funding assumptions, American has minimum required contributions of $ 67 million for 2023. American’s funding obligations will depend on the performance of American’s investments held in a trust by the pension plans, interest rates for determining liabilities, the amount of and timing of any supplemental contributions and American’s actuarial experience.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2028-2032</w:t>
            </w:r>
          </w:p>
        </w:tc>
        <w:tc>
          <w:tcPr>
            <w:tcW w:w="40" w:type="dxa"/>
            <w:vAlign w:val="bottom"/>
          </w:tcPr>
          <w:p>
            <w:pPr>
              <w:spacing w:after="0"/>
              <w:rPr>
                <w:sz w:val="17"/>
                <w:szCs w:val="17"/>
                <w:color w:val="auto"/>
              </w:rPr>
            </w:pP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40" w:type="dxa"/>
            <w:vAlign w:val="bottom"/>
          </w:tcPr>
          <w:p>
            <w:pPr>
              <w:spacing w:after="0"/>
              <w:rPr>
                <w:sz w:val="19"/>
                <w:szCs w:val="19"/>
                <w:color w:val="auto"/>
              </w:rPr>
            </w:pP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20"/>
                <w:szCs w:val="20"/>
                <w:color w:val="auto"/>
              </w:rPr>
            </w:pPr>
          </w:p>
        </w:tc>
      </w:tr>
      <w:tr>
        <w:trPr>
          <w:trHeight w:val="737"/>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75"/>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 Assets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gridSpan w:val="2"/>
          </w:tcPr>
          <w:p>
            <w:pPr>
              <w:spacing w:after="0"/>
              <w:rPr>
                <w:sz w:val="20"/>
                <w:szCs w:val="20"/>
                <w:color w:val="auto"/>
              </w:rPr>
            </w:pPr>
            <w:r>
              <w:rPr>
                <w:rFonts w:ascii="Arial" w:cs="Arial" w:eastAsia="Arial" w:hAnsi="Arial"/>
                <w:sz w:val="14"/>
                <w:szCs w:val="14"/>
                <w:b w:val="1"/>
                <w:bCs w:val="1"/>
                <w:color w:val="auto"/>
              </w:rPr>
              <w:t>Asset Class/Sub-Class</w:t>
            </w:r>
          </w:p>
        </w:tc>
        <w:tc>
          <w:tcPr>
            <w:tcW w:w="19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Allowed Range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w:t>
            </w: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rPr>
                <w:sz w:val="20"/>
                <w:szCs w:val="20"/>
                <w:color w:val="auto"/>
              </w:rPr>
            </w:pPr>
            <w:r>
              <w:rPr>
                <w:rFonts w:ascii="Arial" w:cs="Arial" w:eastAsia="Arial" w:hAnsi="Arial"/>
                <w:sz w:val="18"/>
                <w:szCs w:val="18"/>
                <w:color w:val="auto"/>
              </w:rPr>
              <w:t>Public:</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Large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w:t>
            </w:r>
          </w:p>
        </w:tc>
      </w:tr>
      <w:tr>
        <w:trPr>
          <w:trHeight w:val="229"/>
        </w:trPr>
        <w:tc>
          <w:tcPr>
            <w:tcW w:w="20" w:type="dxa"/>
            <w:vAlign w:val="bottom"/>
          </w:tcPr>
          <w:p>
            <w:pPr>
              <w:spacing w:after="0"/>
              <w:rPr>
                <w:sz w:val="19"/>
                <w:szCs w:val="19"/>
                <w:color w:val="auto"/>
              </w:rPr>
            </w:pPr>
          </w:p>
        </w:tc>
        <w:tc>
          <w:tcPr>
            <w:tcW w:w="9280" w:type="dxa"/>
            <w:vAlign w:val="bottom"/>
            <w:gridSpan w:val="2"/>
          </w:tcPr>
          <w:p>
            <w:pPr>
              <w:ind w:left="200"/>
              <w:spacing w:after="0"/>
              <w:rPr>
                <w:sz w:val="20"/>
                <w:szCs w:val="20"/>
                <w:color w:val="auto"/>
              </w:rPr>
            </w:pPr>
            <w:r>
              <w:rPr>
                <w:rFonts w:ascii="Arial" w:cs="Arial" w:eastAsia="Arial" w:hAnsi="Arial"/>
                <w:sz w:val="18"/>
                <w:szCs w:val="18"/>
                <w:color w:val="auto"/>
              </w:rPr>
              <w:t>U.S. Small/Mid</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r>
      <w:tr>
        <w:trPr>
          <w:trHeight w:val="230"/>
        </w:trPr>
        <w:tc>
          <w:tcPr>
            <w:tcW w:w="20" w:type="dxa"/>
            <w:vAlign w:val="bottom"/>
          </w:tcPr>
          <w:p>
            <w:pPr>
              <w:spacing w:after="0"/>
              <w:rPr>
                <w:sz w:val="19"/>
                <w:szCs w:val="19"/>
                <w:color w:val="auto"/>
              </w:rPr>
            </w:pPr>
          </w:p>
        </w:tc>
        <w:tc>
          <w:tcPr>
            <w:tcW w:w="9280" w:type="dxa"/>
            <w:vAlign w:val="bottom"/>
            <w:gridSpan w:val="2"/>
          </w:tcPr>
          <w:p>
            <w:pPr>
              <w:ind w:left="200"/>
              <w:spacing w:after="0"/>
              <w:rPr>
                <w:sz w:val="20"/>
                <w:szCs w:val="20"/>
                <w:color w:val="auto"/>
              </w:rPr>
            </w:pPr>
            <w:r>
              <w:rPr>
                <w:rFonts w:ascii="Arial" w:cs="Arial" w:eastAsia="Arial" w:hAnsi="Arial"/>
                <w:sz w:val="18"/>
                <w:szCs w:val="18"/>
                <w:color w:val="auto"/>
              </w:rPr>
              <w:t>International Small/Mid</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Emerging Markets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rPr>
                <w:sz w:val="20"/>
                <w:szCs w:val="20"/>
                <w:color w:val="auto"/>
              </w:rPr>
            </w:pPr>
            <w:r>
              <w:rPr>
                <w:rFonts w:ascii="Arial" w:cs="Arial" w:eastAsia="Arial" w:hAnsi="Arial"/>
                <w:sz w:val="18"/>
                <w:szCs w:val="18"/>
                <w:color w:val="auto"/>
              </w:rPr>
              <w:t>Private Equity</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- 55%</w:t>
            </w: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rPr>
                <w:sz w:val="20"/>
                <w:szCs w:val="20"/>
                <w:color w:val="auto"/>
              </w:rPr>
            </w:pPr>
            <w:r>
              <w:rPr>
                <w:rFonts w:ascii="Arial" w:cs="Arial" w:eastAsia="Arial" w:hAnsi="Arial"/>
                <w:sz w:val="18"/>
                <w:szCs w:val="18"/>
                <w:color w:val="auto"/>
              </w:rPr>
              <w:t>Public:</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Long Duration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- 45%</w:t>
            </w:r>
          </w:p>
        </w:tc>
      </w:tr>
      <w:tr>
        <w:trPr>
          <w:trHeight w:val="229"/>
        </w:trPr>
        <w:tc>
          <w:tcPr>
            <w:tcW w:w="20" w:type="dxa"/>
            <w:vAlign w:val="bottom"/>
          </w:tcPr>
          <w:p>
            <w:pPr>
              <w:spacing w:after="0"/>
              <w:rPr>
                <w:sz w:val="19"/>
                <w:szCs w:val="19"/>
                <w:color w:val="auto"/>
              </w:rPr>
            </w:pPr>
          </w:p>
        </w:tc>
        <w:tc>
          <w:tcPr>
            <w:tcW w:w="9280" w:type="dxa"/>
            <w:vAlign w:val="bottom"/>
            <w:gridSpan w:val="2"/>
          </w:tcPr>
          <w:p>
            <w:pPr>
              <w:ind w:left="200"/>
              <w:spacing w:after="0"/>
              <w:rPr>
                <w:sz w:val="20"/>
                <w:szCs w:val="20"/>
                <w:color w:val="auto"/>
              </w:rPr>
            </w:pPr>
            <w:r>
              <w:rPr>
                <w:rFonts w:ascii="Arial" w:cs="Arial" w:eastAsia="Arial" w:hAnsi="Arial"/>
                <w:sz w:val="18"/>
                <w:szCs w:val="18"/>
                <w:color w:val="auto"/>
              </w:rPr>
              <w:t>High Yield and Emerging Markets</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Private Income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r>
      <w:tr>
        <w:trPr>
          <w:trHeight w:val="230"/>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 - 5%</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r>
    </w:tbl>
    <w:p>
      <w:pPr>
        <w:spacing w:after="0" w:line="2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Public equity investments are intended to provide a real return over a full market cycle and, therefore, to contribute to the pension plan’s long-term objective. Public fixed income investments are intended to provide income to the plan and offer the potential for long term capital appreciation. Private investments, such as private equity and private income, are used to provide higher expected returns than public markets over the long-term by assuming reduced levels of liquidity and higher levels of risk. The pension plan’s master trust participates in securities lending programs to generate additional income by loaning plan assets to borrowers on a fully collateralized basis. The pension plan’s master trust will also engage in derivative instruments to equitize residual levels of cash as well as hedge the pension plan’s exposure to interest rates. Such programs are subject to market risk and counterparty risk.</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Investments in limited partnerships are carried at estimated net asset value (NAV) as determined by and reported by the general partners of the partnerships and represent the proportionate share of the estimated fair value of the underlying assets of the limited partnerships. Mutual funds are valued once daily through a NAV calculation provided at the end of each trade day. Common/collective trusts are valued at NAV based on the fair values of the underlying investments of the trusts as determined by the sponsor of the trusts. No changes in valuation techniques or inputs occurred during the year.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fair value of American’s pension plan assets at December 31, 2022 and 2021, by asset category, were as follows (in millions)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24"/>
        </w:trPr>
        <w:tc>
          <w:tcPr>
            <w:tcW w:w="28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3"/>
                <w:szCs w:val="23"/>
                <w:color w:val="auto"/>
                <w:vertAlign w:val="superscript"/>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29"/>
        </w:trPr>
        <w:tc>
          <w:tcPr>
            <w:tcW w:w="2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4,147</w:t>
            </w:r>
          </w:p>
        </w:tc>
      </w:tr>
      <w:tr>
        <w:trPr>
          <w:trHeight w:val="229"/>
        </w:trPr>
        <w:tc>
          <w:tcPr>
            <w:tcW w:w="2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2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Measured at NAV </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8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Common collective trusts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30"/>
        </w:trPr>
        <w:tc>
          <w:tcPr>
            <w:tcW w:w="28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Private investments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2,827</w:t>
            </w:r>
          </w:p>
        </w:tc>
      </w:tr>
      <w:tr>
        <w:trPr>
          <w:trHeight w:val="248"/>
        </w:trPr>
        <w:tc>
          <w:tcPr>
            <w:tcW w:w="28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plan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50"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See Note 6 for a description of the levels within the fair value hierarchy.</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Equity investments include domestic and international common stock, preferred stock and exchange traded funds invested in equity securities.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Fixed income investments include corporate, government and U.S. municipal bonds, as well as mutual funds invested in fixed income securities.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Other primarily includes a short-term investment fund, cash and cash equivalents, and net receivables and payables of the master trust for dividends, interest and amounts due to or from the sale and purchase of securities.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Includes investments that were measured at NAV per share (or its equivalent) as a practical expedient that have not been classified in the fair value hierarchy.</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Common collective trusts include commingled funds primarily invested in equity securities. For some trusts, requests for withdrawals must meet specific requirements with advance notice of redemption preferred.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Private investments include limited partnerships that invest primarily in domestic private equity and private income opportunities. The pension plan’s master trust does not have the right to redeem its limited partnership investment at its NAV, but rather receives distributions as the underlying assets are liquidated. It is estimated that the underlying assets of these funds will be gradually liquidated over the next 10 years. As of December 31, 2022, the pension plan’s master trust has future funding commitments to these limited partnerships of approximately $1.5 billion over the next five years.</w:t>
      </w:r>
    </w:p>
    <w:p>
      <w:pPr>
        <w:spacing w:after="0" w:line="140" w:lineRule="exact"/>
        <w:rPr>
          <w:sz w:val="20"/>
          <w:szCs w:val="20"/>
          <w:color w:val="auto"/>
        </w:rPr>
      </w:pPr>
    </w:p>
    <w:p>
      <w:pPr>
        <w:jc w:val="both"/>
        <w:ind w:firstLine="220"/>
        <w:spacing w:after="0" w:line="287" w:lineRule="auto"/>
        <w:rPr>
          <w:sz w:val="20"/>
          <w:szCs w:val="20"/>
          <w:color w:val="auto"/>
        </w:rPr>
      </w:pPr>
      <w:r>
        <w:rPr>
          <w:rFonts w:ascii="Arial" w:cs="Arial" w:eastAsia="Arial" w:hAnsi="Arial"/>
          <w:sz w:val="18"/>
          <w:szCs w:val="18"/>
          <w:color w:val="auto"/>
        </w:rPr>
        <w:t>Changes in fair value measurements of Level 3 investments during the years ended December 31, 2022 and 2021, were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Actual gain on plan assets:</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Relating to assets still held at the reporting date</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Transfers out</w:t>
            </w: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Plan assets in the retiree medical and other postretirement benefits plans’ are primarily Level 2 mutual funds valued by quoted prices on the active market, which is fair value, and represents the NAV of the shares of such funds as of the close of business at the end of the period. NAV is based on the fair market value of the funds’ underlying assets and liabilities at the date of determination.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and Multiemployer Plans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costs associated with American’s defined contribution plans were $916 million, $893 million and $835 million for the years ended December 31, 2022, 2021 and 2020, respectively.</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participates in the International Association of Machinists &amp; Aerospace Workers (IAM) National Pension Fund, Employer Identification No. 51-6031295 and Plan No. 002 (the IAM Pension Fund). American’s contributions to the IAM Pension Fund were $46 million, $43 million and $40 million for the years ended December 31, 2022, 2021 and 2020, respectively. The IAM Pension Fund reported $507 million in employers’ contributions for the year ended December 31, 2021, which is the most recent year for which such information is available. For 2021, American’s contributions represented more than 5% of total contributions to the IAM Pension Fund.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AOCI are as follows (in millions):</w:t>
      </w:r>
    </w:p>
    <w:p>
      <w:pPr>
        <w:spacing w:after="0" w:line="142"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Pension,</w:t>
      </w:r>
    </w:p>
    <w:p>
      <w:pPr>
        <w:jc w:val="center"/>
        <w:ind w:left="1400"/>
        <w:spacing w:after="0" w:line="221" w:lineRule="auto"/>
        <w:rPr>
          <w:sz w:val="20"/>
          <w:szCs w:val="20"/>
          <w:color w:val="auto"/>
        </w:rPr>
      </w:pPr>
      <w:r>
        <w:rPr>
          <w:rFonts w:ascii="Arial" w:cs="Arial" w:eastAsia="Arial" w:hAnsi="Arial"/>
          <w:sz w:val="14"/>
          <w:szCs w:val="14"/>
          <w:b w:val="1"/>
          <w:bCs w:val="1"/>
          <w:color w:val="auto"/>
        </w:rPr>
        <w:t>Retiree</w:t>
      </w:r>
    </w:p>
    <w:tbl>
      <w:tblPr>
        <w:tblLayout w:type="fixed"/>
        <w:tblInd w:w="0" w:type="dxa"/>
        <w:tblCellMar>
          <w:top w:w="0" w:type="dxa"/>
          <w:left w:w="0" w:type="dxa"/>
          <w:bottom w:w="0" w:type="dxa"/>
          <w:right w:w="0" w:type="dxa"/>
        </w:tblCellMar>
      </w:tblPr>
      <w:tr>
        <w:trPr>
          <w:trHeight w:val="135"/>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Medical and</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Pr>
          <w:p>
            <w:pPr>
              <w:spacing w:after="0"/>
              <w:rPr>
                <w:sz w:val="12"/>
                <w:szCs w:val="12"/>
                <w:color w:val="auto"/>
              </w:rPr>
            </w:pPr>
          </w:p>
        </w:tc>
        <w:tc>
          <w:tcPr>
            <w:tcW w:w="11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Postretirement</w:t>
            </w: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Investments</w:t>
            </w:r>
          </w:p>
        </w:tc>
        <w:tc>
          <w:tcPr>
            <w:tcW w:w="180" w:type="dxa"/>
            <w:vAlign w:val="bottom"/>
          </w:tcPr>
          <w:p>
            <w:pPr>
              <w:spacing w:after="0"/>
              <w:rPr>
                <w:sz w:val="16"/>
                <w:szCs w:val="16"/>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3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American’s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for the years ended December 31, 2022 and 2021 are as follows (in millions):</w:t>
      </w:r>
    </w:p>
    <w:p>
      <w:pPr>
        <w:sectPr>
          <w:pgSz w:w="11900" w:h="16838" w:orient="portrait"/>
          <w:cols w:equalWidth="0" w:num="1">
            <w:col w:w="11240"/>
          </w:cols>
          <w:pgMar w:left="320" w:top="122" w:right="339" w:bottom="1440" w:gutter="0" w:footer="0" w:header="0"/>
        </w:sectPr>
      </w:pP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2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7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Amounts reclassified from AOCI</w:t>
            </w:r>
          </w:p>
        </w:tc>
      </w:tr>
      <w:tr>
        <w:trPr>
          <w:trHeight w:val="195"/>
        </w:trPr>
        <w:tc>
          <w:tcPr>
            <w:tcW w:w="12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7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Year Ended December 31,</w:t>
            </w:r>
          </w:p>
        </w:tc>
      </w:tr>
      <w:tr>
        <w:trPr>
          <w:trHeight w:val="158"/>
        </w:trPr>
        <w:tc>
          <w:tcPr>
            <w:tcW w:w="52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AOCI Components</w:t>
            </w:r>
          </w:p>
        </w:tc>
        <w:tc>
          <w:tcPr>
            <w:tcW w:w="1380" w:type="dxa"/>
            <w:vAlign w:val="bottom"/>
          </w:tcPr>
          <w:p>
            <w:pPr>
              <w:ind w:left="500"/>
              <w:spacing w:after="0" w:line="157" w:lineRule="exact"/>
              <w:rPr>
                <w:sz w:val="20"/>
                <w:szCs w:val="20"/>
                <w:color w:val="auto"/>
              </w:rPr>
            </w:pPr>
            <w:r>
              <w:rPr>
                <w:rFonts w:ascii="Arial" w:cs="Arial" w:eastAsia="Arial" w:hAnsi="Arial"/>
                <w:sz w:val="14"/>
                <w:szCs w:val="14"/>
                <w:b w:val="1"/>
                <w:bCs w:val="1"/>
                <w:color w:val="auto"/>
              </w:rPr>
              <w:t>2022</w:t>
            </w:r>
          </w:p>
        </w:tc>
        <w:tc>
          <w:tcPr>
            <w:tcW w:w="1380" w:type="dxa"/>
            <w:vAlign w:val="bottom"/>
          </w:tcPr>
          <w:p>
            <w:pPr>
              <w:jc w:val="right"/>
              <w:ind w:right="428"/>
              <w:spacing w:after="0" w:line="157" w:lineRule="exact"/>
              <w:rPr>
                <w:sz w:val="20"/>
                <w:szCs w:val="20"/>
                <w:color w:val="auto"/>
              </w:rPr>
            </w:pPr>
            <w:r>
              <w:rPr>
                <w:rFonts w:ascii="Arial" w:cs="Arial" w:eastAsia="Arial" w:hAnsi="Arial"/>
                <w:sz w:val="14"/>
                <w:szCs w:val="14"/>
                <w:b w:val="1"/>
                <w:bCs w:val="1"/>
                <w:color w:val="auto"/>
              </w:rPr>
              <w:t>2021</w:t>
            </w:r>
          </w:p>
        </w:tc>
      </w:tr>
      <w:tr>
        <w:trPr>
          <w:trHeight w:val="20"/>
        </w:trPr>
        <w:tc>
          <w:tcPr>
            <w:tcW w:w="1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Affected line items on the</w:t>
      </w:r>
    </w:p>
    <w:p>
      <w:pPr>
        <w:jc w:val="center"/>
        <w:ind w:right="620"/>
        <w:spacing w:after="0" w:line="221" w:lineRule="auto"/>
        <w:rPr>
          <w:sz w:val="20"/>
          <w:szCs w:val="20"/>
          <w:color w:val="auto"/>
        </w:rPr>
      </w:pPr>
      <w:r>
        <w:rPr>
          <w:rFonts w:ascii="Arial" w:cs="Arial" w:eastAsia="Arial" w:hAnsi="Arial"/>
          <w:sz w:val="14"/>
          <w:szCs w:val="14"/>
          <w:b w:val="1"/>
          <w:bCs w:val="1"/>
          <w:color w:val="auto"/>
        </w:rPr>
        <w:t>consolidated statements of</w:t>
      </w:r>
    </w:p>
    <w:p>
      <w:pPr>
        <w:jc w:val="center"/>
        <w:ind w:right="620"/>
        <w:spacing w:after="0"/>
        <w:rPr>
          <w:sz w:val="20"/>
          <w:szCs w:val="20"/>
          <w:color w:val="auto"/>
        </w:rPr>
      </w:pPr>
      <w:r>
        <w:rPr>
          <w:rFonts w:ascii="Arial" w:cs="Arial" w:eastAsia="Arial" w:hAnsi="Arial"/>
          <w:sz w:val="14"/>
          <w:szCs w:val="14"/>
          <w:b w:val="1"/>
          <w:bCs w:val="1"/>
          <w:color w:val="auto"/>
        </w:rPr>
        <w:t>operations</w:t>
      </w:r>
    </w:p>
    <w:p>
      <w:pPr>
        <w:spacing w:after="0" w:line="4" w:lineRule="exact"/>
        <w:rPr>
          <w:sz w:val="20"/>
          <w:szCs w:val="20"/>
          <w:color w:val="auto"/>
        </w:rPr>
      </w:pPr>
    </w:p>
    <w:p>
      <w:pPr>
        <w:sectPr>
          <w:pgSz w:w="11900" w:h="16838" w:orient="portrait"/>
          <w:cols w:equalWidth="0" w:num="2">
            <w:col w:w="8040" w:space="700"/>
            <w:col w:w="2500"/>
          </w:cols>
          <w:pgMar w:left="320" w:top="122"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Amortization of pension, retiree medical and other postretirement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15175" cy="265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benefits: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3200" w:type="dxa"/>
            <w:vAlign w:val="bottom"/>
            <w:gridSpan w:val="2"/>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 net</w:t>
            </w:r>
          </w:p>
        </w:tc>
        <w:tc>
          <w:tcPr>
            <w:tcW w:w="20" w:type="dxa"/>
            <w:vAlign w:val="bottom"/>
          </w:tcPr>
          <w:p>
            <w:pPr>
              <w:spacing w:after="0"/>
              <w:rPr>
                <w:sz w:val="19"/>
                <w:szCs w:val="19"/>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5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Amounts allocated to other comprehensive income (loss) for income taxes will remain in AOCI until American ceases all related activities, such as termination of the pension plan.</w:t>
      </w:r>
    </w:p>
    <w:p>
      <w:pPr>
        <w:spacing w:after="0" w:line="180" w:lineRule="exact"/>
        <w:rPr>
          <w:sz w:val="20"/>
          <w:szCs w:val="20"/>
          <w:color w:val="auto"/>
        </w:rPr>
      </w:pPr>
    </w:p>
    <w:p>
      <w:pPr>
        <w:ind w:left="300" w:hanging="292"/>
        <w:spacing w:after="0"/>
        <w:tabs>
          <w:tab w:leader="none" w:pos="3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2" w:lineRule="exact"/>
        <w:rPr>
          <w:rFonts w:ascii="Arial" w:cs="Arial" w:eastAsia="Arial" w:hAnsi="Arial"/>
          <w:sz w:val="18"/>
          <w:szCs w:val="18"/>
          <w:b w:val="1"/>
          <w:bCs w:val="1"/>
          <w:color w:val="auto"/>
        </w:rPr>
      </w:pPr>
    </w:p>
    <w:p>
      <w:pPr>
        <w:ind w:left="520" w:hanging="269"/>
        <w:spacing w:after="0"/>
        <w:tabs>
          <w:tab w:leader="none" w:pos="520" w:val="left"/>
        </w:tabs>
        <w:numPr>
          <w:ilvl w:val="1"/>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Engine and Other Purchase Commitments</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Under all of American’s aircraft and engine purchase agreements, its total future commitments as of December 31, 2022 are expected to be as follows (approximately,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2028 and</w:t>
            </w:r>
          </w:p>
        </w:tc>
        <w:tc>
          <w:tcPr>
            <w:tcW w:w="9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Thereafter</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80" w:type="dxa"/>
            <w:vAlign w:val="bottom"/>
            <w:tcBorders>
              <w:top w:val="single" w:sz="8" w:color="CCEEFF"/>
            </w:tcBorders>
            <w:shd w:val="clear" w:color="auto" w:fill="CCEEFF"/>
          </w:tcPr>
          <w:p>
            <w:pPr>
              <w:jc w:val="right"/>
              <w:ind w:right="66"/>
              <w:spacing w:after="0" w:line="156" w:lineRule="exact"/>
              <w:rPr>
                <w:sz w:val="20"/>
                <w:szCs w:val="20"/>
                <w:color w:val="auto"/>
              </w:rPr>
            </w:pPr>
            <w:r>
              <w:rPr>
                <w:rFonts w:ascii="Arial" w:cs="Arial" w:eastAsia="Arial" w:hAnsi="Arial"/>
                <w:sz w:val="18"/>
                <w:szCs w:val="18"/>
                <w:color w:val="auto"/>
                <w:w w:val="99"/>
              </w:rPr>
              <w:t>Payments for aircraft and engine commitments</w:t>
            </w: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80" w:type="dxa"/>
            <w:vAlign w:val="bottom"/>
            <w:shd w:val="clear" w:color="auto" w:fill="CCEEFF"/>
          </w:tcPr>
          <w:p>
            <w:pPr>
              <w:jc w:val="right"/>
              <w:ind w:right="3466"/>
              <w:spacing w:after="0" w:line="122" w:lineRule="exact"/>
              <w:rPr>
                <w:sz w:val="20"/>
                <w:szCs w:val="20"/>
                <w:color w:val="auto"/>
              </w:rPr>
            </w:pPr>
            <w:r>
              <w:rPr>
                <w:rFonts w:ascii="Arial" w:cs="Arial" w:eastAsia="Arial" w:hAnsi="Arial"/>
                <w:sz w:val="12"/>
                <w:szCs w:val="12"/>
                <w:color w:val="auto"/>
              </w:rPr>
              <w:t>(1)</w:t>
            </w:r>
          </w:p>
        </w:tc>
        <w:tc>
          <w:tcPr>
            <w:tcW w:w="220" w:type="dxa"/>
            <w:vAlign w:val="bottom"/>
            <w:vMerge w:val="restart"/>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3,896</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2"/>
              <w:spacing w:after="0" w:line="176"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  12,326</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These amounts are net of purchase deposits currently held by the manufacturers. American’s purchase deposits held by all manufacturers totaled $613 million and $517 million as of December 31, 2022 and 2021, respectively.</w:t>
      </w:r>
    </w:p>
    <w:p>
      <w:pPr>
        <w:spacing w:after="0" w:line="140" w:lineRule="exact"/>
        <w:rPr>
          <w:rFonts w:ascii="Arial" w:cs="Arial" w:eastAsia="Arial" w:hAnsi="Arial"/>
          <w:sz w:val="23"/>
          <w:szCs w:val="23"/>
          <w:color w:val="auto"/>
          <w:vertAlign w:val="superscript"/>
        </w:rPr>
      </w:pPr>
    </w:p>
    <w:p>
      <w:pPr>
        <w:jc w:val="both"/>
        <w:ind w:left="340"/>
        <w:spacing w:after="0" w:line="262" w:lineRule="auto"/>
        <w:rPr>
          <w:rFonts w:ascii="Arial" w:cs="Arial" w:eastAsia="Arial" w:hAnsi="Arial"/>
          <w:sz w:val="23"/>
          <w:szCs w:val="23"/>
          <w:color w:val="auto"/>
          <w:vertAlign w:val="superscript"/>
        </w:rPr>
      </w:pPr>
      <w:r>
        <w:rPr>
          <w:rFonts w:ascii="Arial" w:cs="Arial" w:eastAsia="Arial" w:hAnsi="Arial"/>
          <w:sz w:val="18"/>
          <w:szCs w:val="18"/>
          <w:color w:val="auto"/>
        </w:rPr>
        <w:t>Due to the uncertainty surrounding the timing of delivery of certain aircraft, the amounts in the table represent American’s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w:t>
      </w:r>
    </w:p>
    <w:p>
      <w:pPr>
        <w:spacing w:after="0" w:line="12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Additionally, the amounts in the table exclude four Boeing 787-8 aircraft scheduled to be delivered in 2023 and five Boeing 787-9 aircraft scheduled to be delivered in 2024, for which American has obtained committed lease financing. See Note 4 for information regarding this operating lease commitment.</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American has purchase commitments related to aircraft fuel, flight equipment maintenance, information technology support and construction projects as follows (approximately): $5.7 billion in 2023, $3.0 billion in 2024, $1.7 billion in 2025, $231 million in 2026, $126 million in 2027 and $941 million in 2028 and thereafter. These amounts exclude obligations under certain fuel offtake agreements or other agreements for which the timing of the related expenditure is uncertain, or which are subject to material contingencies, such as the construction of a production facility.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25"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As of December 31, 2022, American’s capacity purchase agreements with third-party regional carriers had expiration dates ranging from 2023 to 2033, with rights of American to extend the respective terms of certain agreements.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As of December 31, 2022, American’s minimum obligations under its capacity purchase agreements with third-party regional carriers are as follows (approximately,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2028 and</w:t>
            </w: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4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Minimum obligations under capacity purchase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1,791</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1,950</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1,866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1,399</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9,248</w:t>
            </w: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3"/>
                <w:szCs w:val="23"/>
                <w:color w:val="auto"/>
                <w:vertAlign w:val="superscript"/>
              </w:rPr>
              <w:t>(1)</w:t>
            </w: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tabs>
          <w:tab w:leader="none" w:pos="334"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Excludes rental payments under operating leases for certain aircraft flown under these capacity purchase agreements, which are reflected in the operating lease obligations in Note 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From time to time, airports where American has operations engage in construction projects, often substantial, that result in new or improved facilities that are ultimately funded through increases in the rent and other occupancy costs payable by airlines using the airport. Unlike this construction and funding model, American is managing a project at LAX where it has legal title to the assets during construction. In 2018, American executed a lease agreement with Los Angeles World Airports (LAWA), which owns and operates LAX, in connection with a $1.6 billion modernization project related to LAX Terminals 4 and 5. Construction, which started in October 2018 and is expected to be completed in 2028, will occur in a phased approach. The modernization project will include a unified departure hall to the entranceway of Terminals 4 and 5, reconfigured ticket counter and check-in areas with seamless access to security screening areas, 10 new security screening lanes with automated technology in addition to the existing Terminal 5 lanes, and a new Terminal 4 South concourse with more open and upgraded amenities at gate areas. The project will also include renovated break rooms, multi-use meeting rooms and team gathering spaces throughout the terminals to support American’s team members at LAX. In 2022, American completed construction of the Terminal 4 and 5 core, which provides a central location between the terminals and allows direct access to the check-in lobby and baggage claim in Terminal 5.</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each phase is completed and ready for use, the assets will be sold and transferred to LAWA, including the site improvements and non-proprietary improvements. As American controls the assets during construction, they are recognized on its balance sheet until the assets are sold and transferred to LAWA. As of December 31, 2022, American has incurred approximately $579 million in costs relating to the LAX modernization project, of which $ 241 million were incurred in 2022 and have been included within operating property and equipment on its consolidated balance sheets and included within airport construction projects, net of reimbursements on its consolidated statements of cash flows. As of December 31, 2022, American has sold and transferred $176 million of non-proprietary improvements to LAWA, of which $44 million occurred during 2022. For non-proprietary improvements which are not yet ready for use, any cash payments received from LAWA will be reflected as a financial liability. As of December 31, 2022, American has received $141 million in cash proceeds for non-proprietary improvements which are not yet ready for use, and therefore have not been sold and transferred back to LAWA. These proceeds are currently included in other accrued liabilities and noncurrent other liabilities on American’s consolidated balance sheet and are reflected as financing activities on its consolidated statement of cash flows.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JFK</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2020, American and British Airways announced the start of construction projects to upgrade New York's JFK Terminal 8. The renovation projects at Terminal 8 include: (i) the reconfiguration or elimination of certain existing gates and the construction of widebody gates, (ii) the construction of approximately 51,000 square feet of new terminal building space and the refurbishment of 73,300 square feet of existing terminal space, (iii) the expansion of the baggage system capacity of Terminal 8, (iv) improvements to the premium passenger lounges, check-in and, potentially, security access areas, and (v) bathroom refreshment, new signage, and other upgrades. The construction project is substantially complete and remaining construction on the baggage handling system expansion and bathroom refurbishments are expected to be fully completed in early 2023. As of December 31, 2022, American has incurred $348 million in construction costs to upgrade Terminal 8, of which $172 million was incurred in 2022. These costs have been included in airport construction projects, net of reimbursements on American’s consolidated statements of cash flows.</w:t>
      </w:r>
    </w:p>
    <w:p>
      <w:pPr>
        <w:spacing w:after="0" w:line="210" w:lineRule="exact"/>
        <w:rPr>
          <w:sz w:val="20"/>
          <w:szCs w:val="20"/>
          <w:color w:val="auto"/>
        </w:rPr>
      </w:pPr>
    </w:p>
    <w:p>
      <w:pPr>
        <w:ind w:left="260" w:right="7900" w:hanging="9"/>
        <w:spacing w:after="0" w:line="343" w:lineRule="auto"/>
        <w:tabs>
          <w:tab w:leader="none" w:pos="54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Pass-Through Trusts</w:t>
      </w:r>
    </w:p>
    <w:p>
      <w:pPr>
        <w:jc w:val="both"/>
        <w:ind w:firstLine="243"/>
        <w:spacing w:after="0" w:line="256" w:lineRule="auto"/>
        <w:rPr>
          <w:sz w:val="20"/>
          <w:szCs w:val="20"/>
          <w:color w:val="auto"/>
        </w:rPr>
      </w:pPr>
      <w:r>
        <w:rPr>
          <w:rFonts w:ascii="Arial" w:cs="Arial" w:eastAsia="Arial" w:hAnsi="Arial"/>
          <w:sz w:val="18"/>
          <w:szCs w:val="18"/>
          <w:color w:val="auto"/>
        </w:rPr>
        <w:t>American currently has 352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payments, that reduce the risks to the purchasers of the trust certificates and, as a result, reduce the cost of aircraft financing to American.</w:t>
      </w:r>
    </w:p>
    <w:p>
      <w:pPr>
        <w:spacing w:after="0" w:line="9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of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2022, $9.2 billion associated with these mortgage financings is reflected as debt in the accompanying consolidated balance sheet.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provides financial assurance, such as letters of credit and surety bonds, primarily to support airport commitments. As of December 31, 2022, American had $218 million of letters of credit and surety bonds securing various obligations, of which $100 million is collateralized with American’s restricted cash. The letters of credit and surety bonds that are subject to expiration will expire on various dates through 2026.</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 Related to the Merger. </w:t>
      </w:r>
      <w:r>
        <w:rPr>
          <w:rFonts w:ascii="Arial" w:cs="Arial" w:eastAsia="Arial" w:hAnsi="Arial"/>
          <w:sz w:val="18"/>
          <w:szCs w:val="18"/>
          <w:color w:val="auto"/>
        </w:rPr>
        <w:t>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On March 25, 2022, the U.S. District Court for the Southern District of New York entered judgment affirming the Bankruptcy Court's decision. On April 21, 2022, plaintiffs appealed that decision to the United States Court of Appeals for the Second Circuit. The appeal is fully briefed and scheduled for oral argument on March 13, 2023. American believes this lawsuit is without merit and intends to continue to vigorously defend against it, including against any further appeals by the plaintiffs.</w:t>
      </w:r>
    </w:p>
    <w:p>
      <w:pPr>
        <w:spacing w:after="0" w:line="1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(the</w:t>
      </w:r>
      <w:r>
        <w:rPr>
          <w:rFonts w:ascii="Arial" w:cs="Arial" w:eastAsia="Arial" w:hAnsi="Arial"/>
          <w:sz w:val="18"/>
          <w:szCs w:val="18"/>
          <w:i w:val="1"/>
          <w:iCs w:val="1"/>
          <w:color w:val="auto"/>
        </w:rPr>
        <w:t xml:space="preserve"> </w:t>
      </w:r>
      <w:r>
        <w:rPr>
          <w:rFonts w:ascii="Arial" w:cs="Arial" w:eastAsia="Arial" w:hAnsi="Arial"/>
          <w:sz w:val="18"/>
          <w:szCs w:val="18"/>
          <w:color w:val="auto"/>
        </w:rPr>
        <w:t>DOJ), joined by Attorneys General from six states and the District of Columbia, filed an antitrust complaint against American and JetBlue Airways Corporation (JetBlue) in the District of Massachusetts alleging that American and JetBlue violated U.S. antitrust law in connection with the previously disclosed Northeast Alliance arrangement (NEA). The parties presented their respective cases in a bench trial that commenced on September 27, 2022. Closing arguments from both parties were presented on November 18, 2022. A decision is expected in the first quarter of 2023.</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defer to the DOJ to resolve the antitrust concerns that the DOJ has identified with respect to the NEA. The DOT simultaneously published a Notice Staying Proceeding in relation to a complaint by Spirit Airlines, Inc. regarding the NEA, pending resolution of the DOJ action described above. On September 30, 2022, the DOT issued a further statement referencing the prior Clarification Notice and, among other things, indicating its intention to continue working with the DOJ in its efforts to resolve the ongoing proceedings regarding the NEA.</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In February 2023, private party plaintiffs filed two additional putative class action antitrust complaints against American and JetBlue in the District of Massachusetts and the Eastern District of New York, respectively. American believes these lawsuits are without merit and is defending against them vigorously.</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is a party to many routine contracts in which it provides general indemnities in the normal course of business to third parties for various risks. American is not able to estimate the potential amount of any liability resulting from the indemnities. These indemnities are discussed in the following paragraphs.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17" w:lineRule="exact"/>
        <w:rPr>
          <w:sz w:val="20"/>
          <w:szCs w:val="20"/>
          <w:color w:val="auto"/>
        </w:rPr>
      </w:pPr>
    </w:p>
    <w:p>
      <w:pPr>
        <w:jc w:val="both"/>
        <w:ind w:right="20" w:firstLine="243"/>
        <w:spacing w:after="0" w:line="257" w:lineRule="auto"/>
        <w:rPr>
          <w:sz w:val="20"/>
          <w:szCs w:val="20"/>
          <w:color w:val="auto"/>
        </w:rPr>
      </w:pPr>
      <w:r>
        <w:rPr>
          <w:rFonts w:ascii="Arial" w:cs="Arial" w:eastAsia="Arial" w:hAnsi="Arial"/>
          <w:sz w:val="18"/>
          <w:szCs w:val="18"/>
          <w:color w:val="auto"/>
        </w:rPr>
        <w:t>American’s loan agreements and certain other financing transactions may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w:t>
      </w:r>
    </w:p>
    <w:p>
      <w:pPr>
        <w:spacing w:after="0" w:line="1" w:lineRule="exact"/>
        <w:rPr>
          <w:sz w:val="20"/>
          <w:szCs w:val="20"/>
          <w:color w:val="auto"/>
        </w:rPr>
      </w:pPr>
    </w:p>
    <w:p>
      <w:pPr>
        <w:jc w:val="both"/>
        <w:ind w:firstLine="8"/>
        <w:spacing w:after="0" w:line="258" w:lineRule="auto"/>
        <w:tabs>
          <w:tab w:leader="none" w:pos="2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capital adequacy requirements. In addition, American’s loan agreements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for some of the obligations it has undertaken under these indemnities.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American. As of December 31, 2022, the remaining lease payments through 2035 guaranteeing the principal and interest on these bonds are $538 million and the current carrying amount of the associated operating lease liability in the accompanying consolidated balance sheet is $321 million.</w:t>
      </w:r>
    </w:p>
    <w:p>
      <w:pPr>
        <w:spacing w:after="0" w:line="12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2022, American had issued guarantees covering AAG’s $1.8 billion aggregate principal amount of the PSP1 Promissory Note due April 2030, $1.0 billion aggregate principal amount of the PSP2 Promissory Note due January 2031, $959 million aggregate principal amount of the PSP3 Promissory Note due April 2031, $ 1.0 billion aggregate principal amount of 6.50% convertible senior notes due July 2025 and $500 million aggregate principal amount of 3.75% senior notes due March 2025.</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has agreements with companies that process customer credit card transactions for the sale of air travel and other services. American’s agreements allow these credit card processing companies, under certain conditions, to hold an amount of its cash (referred to as a holdback) equal to all or a portion of advance ticket sales that have been processed by that company, but for which American has not yet provided the air transportation. These holdback requirements can be implemented at the discretion of the credit card processing companies upon the occurrence of specific events, including material adverse changes in American’s financial condition or the triggering of a liquidity covenant. These credit card processing companies are not currently entitled to maintain any holdbacks. The imposition of holdback requirements would reduce American’s liquidity.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Labor Negotiations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2022, American employed approximately 102,000 active full-time equivalent (FTE) employees. Of the total active FTE employees, 87% are covered by collective bargaining agreements (CBAs) with various labor unions and 53% are covered by CBAs that are currently amendable or that will become amendable within one year. CBAs covering American’s mainline pilots, flight attendants and passenger service are now amendable.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Equity investments</w:t>
            </w:r>
          </w:p>
        </w:tc>
        <w:tc>
          <w:tcPr>
            <w:tcW w:w="24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 of bankruptcy obligations</w:t>
            </w:r>
          </w:p>
        </w:tc>
        <w:tc>
          <w:tcPr>
            <w:tcW w:w="1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Deferred financing costs paid through issuance of debt</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Interest paid, net</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1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733"/>
        </w:trPr>
        <w:tc>
          <w:tcPr>
            <w:tcW w:w="5020" w:type="dxa"/>
            <w:vAlign w:val="bottom"/>
          </w:tcPr>
          <w:p>
            <w:pPr>
              <w:spacing w:after="0"/>
              <w:rPr>
                <w:sz w:val="24"/>
                <w:szCs w:val="24"/>
                <w:color w:val="auto"/>
              </w:rPr>
            </w:pPr>
          </w:p>
        </w:tc>
        <w:tc>
          <w:tcPr>
            <w:tcW w:w="1460" w:type="dxa"/>
            <w:vAlign w:val="bottom"/>
          </w:tcPr>
          <w:p>
            <w:pPr>
              <w:jc w:val="right"/>
              <w:ind w:right="616"/>
              <w:spacing w:after="0"/>
              <w:rPr>
                <w:sz w:val="20"/>
                <w:szCs w:val="20"/>
                <w:color w:val="auto"/>
              </w:rPr>
            </w:pPr>
            <w:r>
              <w:rPr>
                <w:rFonts w:ascii="Arial" w:cs="Arial" w:eastAsia="Arial" w:hAnsi="Arial"/>
                <w:sz w:val="18"/>
                <w:szCs w:val="18"/>
                <w:color w:val="auto"/>
              </w:rPr>
              <w:t>172</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Segments and Related Disclosures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is managed as a single business unit that provides air transportation for passengers and cargo. This allows it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regional carriers. The objective in making operational decisions is to maximize consolidated financial results, not the individual results of American or American Eagle.</w:t>
      </w:r>
    </w:p>
    <w:p>
      <w:pPr>
        <w:spacing w:after="0" w:line="13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1(m) for American’s passenger revenue by geographic region. American’s tangible assets consist primarily of flight equipment, which are mobile across geographic markets and, therefore, have not been allocated.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2013 AAG Incentive Award Plan (the 2013 Plan) provides that awards may be in the form of an option, restricted stock award, restricted stock unit award, performance award, dividend equivalent award, deferred stock award, deferred stock unit award, stock payment award or stock appreciation right. The 2013 Plan initially authorized the grant of awards for the issuance of up to 40 million shares. Any shares underlying awards granted under the 2013 Plan that are forfeited, terminate or are settled in cash (in whole or in part) without the delivery of shares will again be available for grant.</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the years ended December 31, 2022, 2021 and 2020, American recorded $75 million, $95 million and $91 million, respectively, of share-based compensation costs principally in salaries, wages and benefits expense on its consolidated statements of operations.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2022, 2021 and 2020, AAG withheld approximately 1.2 million, 1.0 million and 0.7 million shares of AAG common stock, respectively, and paid approximately $21 million, $18 million and $15 million, respectively, in satisfaction of certain tax withholding obligations associated with employee equity awards.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majority of American’s RSUs have service conditions (time vested primarily over three years). The grant-date fair value of these RSUs is equal to the market price of the underlying shares of AAG common stock on the date of grant. The expense for these RSUs is recognized on a straight-line basis over the vesting period for the entire award. RSUs are classified as equity awards as the vesting results in the issuance of shares of AAG common stock.</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RSU award activity for all plans for the years ended December 31, 2022, 2021 and 2020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Grant Date</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40" w:type="dxa"/>
            <w:vAlign w:val="bottom"/>
          </w:tcPr>
          <w:p>
            <w:pPr>
              <w:jc w:val="right"/>
              <w:ind w:right="43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286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5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86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5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86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5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1150"/>
              <w:spacing w:after="0"/>
              <w:rPr>
                <w:sz w:val="20"/>
                <w:szCs w:val="20"/>
                <w:color w:val="auto"/>
              </w:rPr>
            </w:pPr>
            <w:r>
              <w:rPr>
                <w:rFonts w:ascii="Arial" w:cs="Arial" w:eastAsia="Arial" w:hAnsi="Arial"/>
                <w:sz w:val="18"/>
                <w:szCs w:val="18"/>
                <w:color w:val="auto"/>
              </w:rPr>
              <w:t>173</w:t>
            </w: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1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3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2022, there was $93 million of unrecognized compensation cost related to RSUs. These costs are expected to be recognized over a weighted average period of one year. The total fair value of RSUs vested during the years ended December 31, 2022, 2021 and 2020 was $70 million, $62 million and $51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Balance at</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Additions Charged to</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Statement of</w:t>
            </w:r>
          </w:p>
        </w:tc>
        <w:tc>
          <w:tcPr>
            <w:tcW w:w="260" w:type="dxa"/>
            <w:vAlign w:val="bottom"/>
          </w:tcPr>
          <w:p>
            <w:pPr>
              <w:spacing w:after="0"/>
              <w:rPr>
                <w:sz w:val="12"/>
                <w:szCs w:val="12"/>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 Year</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Operations Accounts</w:t>
            </w: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17"/>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obsolescence of spare parts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240" w:type="dxa"/>
            <w:vAlign w:val="bottom"/>
          </w:tcPr>
          <w:p>
            <w:pPr>
              <w:jc w:val="right"/>
              <w:ind w:right="4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from or to related parties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54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224"/>
        </w:trPr>
        <w:tc>
          <w:tcPr>
            <w:tcW w:w="75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AAG</w:t>
            </w:r>
            <w:r>
              <w:rPr>
                <w:rFonts w:ascii="Arial" w:cs="Arial" w:eastAsia="Arial" w:hAnsi="Arial"/>
                <w:sz w:val="10"/>
                <w:szCs w:val="10"/>
                <w:color w:val="auto"/>
              </w:rPr>
              <w:t xml:space="preserve">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8,692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7,613</w:t>
            </w:r>
          </w:p>
        </w:tc>
      </w:tr>
      <w:tr>
        <w:trPr>
          <w:trHeight w:val="229"/>
        </w:trPr>
        <w:tc>
          <w:tcPr>
            <w:tcW w:w="75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(2,104)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(2,066)</w:t>
            </w:r>
          </w:p>
        </w:tc>
      </w:tr>
      <w:tr>
        <w:trPr>
          <w:trHeight w:val="248"/>
        </w:trPr>
        <w:tc>
          <w:tcPr>
            <w:tcW w:w="7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6,588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7"/>
              </w:rPr>
              <w:t>5,547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financing transactions.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140"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Pursuant to a capacity purchase agreement between American and AAG’s wholly-owned regional airlines operating as American Eagle, American purchases all of the capacity from these carriers and recognizes passenger revenue from flights operated by American Eagle. In 2022, 2021 and 2020, American recognized expense of approximately $2.5 billion, $2.1 billion and $1.8 billion, respectively, related to wholly-owned regional airline capacity purchase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Term Loan Facility Refinancing</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February 2023, American and AAG entered into the Seventh Amendment to Amended and Restated Credit and Guaranty Agreement (the Seventh Amendment) to the 2013 Credit Agreement, pursuant to which American extended the maturity date of all remaining term loans outstanding under the 2013 Term Loan Facility to February 2028 from June 2025. The Seventh Amendment also amended certain other terms of the 2013 Credit Agreement, including the interest rate for the 2013 Term Loan Facility, amortization schedule, the requirements for delivery of appraisals and certain covenants relating to dispositions of collateral. Additionally, the Seventh Amendment transitioned the benchmark interest rate from LIBOR to SOFR. As a result, the 2013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and an applicable margin of 2.75%. After giving effect to the issuance of the 7.25% Senior Secured Notes (as discussed below) and the application of the proceeds therefrom, there was $1.0 billion aggregate principal outstanding under the 2013 Term Loan Facility.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7.25% Senior Secured Notes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February 2023, American issued $750 million aggregate principal amount of 7.25% senior secured notes due 2028 (the 7.25% Senior Secured Notes). The 7.25% Senior Secured Notes bear interest at a rate of 7.25% per annum (subject to increase if the collateral coverage ratio described below is not met). Interest on the 7.25% Senior Secured Notes is payable semiannually in arrears on February 15 and August 15 of each year, beginning on August 15, 2023. The 7.25%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outstanding under the 2013 Term Loan Facility and to pay related fees and expenses.</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Trustee). The 7.25% Senior Secured Notes are American’s senior secured obligations and are secured on a first lien basis by security interests in certain assets, rights and properties that American uses to provide non-stop scheduled air carrier services between certain airports in the United States and airports in countries in South America and New Zealand (the 7.25% Senior Secured Notes Collateral). The 7.25% Senior Secured Notes Collateral presently secures (and will continue to secure), on a first lien, pari passu basis with the 7.25% Senior Secured Notes, the 2013 Credit Facilities under the 2013 Credit Agreement.</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under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2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Further, if certain change of control transactions occur, each holder of 7.25% Senior Secured Notes may require American to repurchase the 7.25% Senior Secured Notes in whole or in part at a repurchase price of 101% of the aggregate principal amount thereof, plus accrued and unpaid interest, if any, to but not including the repurchase date.</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is required to deliver an appraisal of the 7.25% Senior Secured Notes Collateral and officer’s certificate twice a year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December 31, 2022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December 31, 2022 at the reasonable assurance level.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 the three months ended December 31, 2022, there have been no changes in AAG’s or American’s internal control over financial reporting that has materially affected, or is reasonably likely to materially affect, AAG’s and American’s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December 31,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41" w:lineRule="exact"/>
        <w:rPr>
          <w:sz w:val="20"/>
          <w:szCs w:val="20"/>
          <w:color w:val="auto"/>
        </w:rPr>
      </w:pPr>
    </w:p>
    <w:p>
      <w:pPr>
        <w:ind w:left="660" w:hanging="409"/>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AAG or American, respectively;</w:t>
      </w:r>
    </w:p>
    <w:p>
      <w:pPr>
        <w:spacing w:after="0" w:line="17" w:lineRule="exact"/>
        <w:rPr>
          <w:rFonts w:ascii="Arial" w:cs="Arial" w:eastAsia="Arial" w:hAnsi="Arial"/>
          <w:sz w:val="18"/>
          <w:szCs w:val="18"/>
          <w:color w:val="auto"/>
        </w:rPr>
      </w:pPr>
    </w:p>
    <w:p>
      <w:pPr>
        <w:jc w:val="both"/>
        <w:ind w:left="660" w:hanging="409"/>
        <w:spacing w:after="0" w:line="268"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35" w:lineRule="exact"/>
        <w:rPr>
          <w:rFonts w:ascii="Arial" w:cs="Arial" w:eastAsia="Arial" w:hAnsi="Arial"/>
          <w:sz w:val="18"/>
          <w:szCs w:val="18"/>
          <w:color w:val="auto"/>
        </w:rPr>
      </w:pPr>
    </w:p>
    <w:p>
      <w:pPr>
        <w:ind w:left="660" w:right="20" w:hanging="409"/>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AAG’s or American’s assets that could have a material effect on the financial statements.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Management assessed the effectiveness of AAG’s and American’s internal control over financial reporting as of December 31, 2022. In making this assessment, management used the criteria set forth by the Committee of Sponsoring Organizations of the Treadway Commission in its Internal Control – Integrated Framework (2013 Framework).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Based on our assessment and those criteria, AAG’s and American’s management concludes that AAG and American, respectively, maintained effective internal control over financial reporting as of December 31, 2022.</w:t>
      </w:r>
    </w:p>
    <w:p>
      <w:pPr>
        <w:spacing w:after="0" w:line="99"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AAG’s and American’s independent registered public accounting firm has issued an attestation report on the effectiveness of AAG’s and American’s internal control over financial reporting. That report has been included herein.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American Airlines Group Inc.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cash flows, and stockholders’ equity (deficit) for each of the years in the three-year period ended December 31, 2022, and the related notes (collectively, the consolidated financial statements), and our report dated February 22, 2023 expressed an unqualified opinion on those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American Airlines, Inc. and subsidiaries’ (American)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American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American as of December 31, 2022 and 2021, the related consolidated statements of operations, comprehensive income (loss), cash flows, and stockholder’s equity for each of the years in the three-year period ended December 31, 2022, and the related notes (collectively, the consolidated financial statements), and our report dated February 22, 2023 expressed an unqualified opinion on those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ind w:right="3040"/>
        <w:spacing w:after="0" w:line="381"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“Proposal 1 – Election of Directors,” “Executive Officers,” “Board Composition” and “Information About the Board of Directors and Corporate Governance” and is incorporated by reference into this Annual Report on Form 10-K.</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AAG and American have adopted Standards of Business Conduct (the Ethics Standards) within the meaning of Item 406(b) of Regulation S-K. The Ethics Standards apply to all officers and employees of AAG and its subsidiaries, including American. The Ethics Standards are available on our website at </w:t>
      </w:r>
      <w:r>
        <w:rPr>
          <w:rFonts w:ascii="Arial" w:cs="Arial" w:eastAsia="Arial" w:hAnsi="Arial"/>
          <w:sz w:val="18"/>
          <w:szCs w:val="18"/>
          <w:i w:val="1"/>
          <w:iCs w:val="1"/>
          <w:color w:val="auto"/>
        </w:rPr>
        <w:t>www.aa.com</w:t>
      </w:r>
      <w:r>
        <w:rPr>
          <w:rFonts w:ascii="Arial" w:cs="Arial" w:eastAsia="Arial" w:hAnsi="Arial"/>
          <w:sz w:val="18"/>
          <w:szCs w:val="18"/>
          <w:color w:val="auto"/>
        </w:rPr>
        <w:t>. If we make substantive amendments to the Ethics Standards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captions “Information About the Board of Directors and Corporate Governance - Risk Assessment with Respect to Compensation Practices,” “Director Compensation,” “Compensation Discussion and Analysis,” “Executive Compensation” and “Compensation Committee Report” and is incorporated by reference into this Annual Report on Form 10-K.</w:t>
      </w:r>
    </w:p>
    <w:p>
      <w:pPr>
        <w:spacing w:after="0" w:line="203" w:lineRule="exact"/>
        <w:rPr>
          <w:sz w:val="20"/>
          <w:szCs w:val="20"/>
          <w:color w:val="auto"/>
        </w:rPr>
      </w:pPr>
    </w:p>
    <w:p>
      <w:pPr>
        <w:ind w:right="64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following consolidated financial statements of American Airlines Group Inc. and Independent Auditors’ Report are filed as part of this report:</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Borders>
              <w:bottom w:val="single" w:sz="8" w:color="435363"/>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85"/>
        </w:trPr>
        <w:tc>
          <w:tcPr>
            <w:tcW w:w="10660" w:type="dxa"/>
            <w:vAlign w:val="bottom"/>
            <w:gridSpan w:val="7"/>
          </w:tcPr>
          <w:p>
            <w:pPr>
              <w:spacing w:after="0" w:line="184"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Dallas, TX, Auditor Firm ID: 185)</w:t>
            </w:r>
          </w:p>
        </w:tc>
        <w:tc>
          <w:tcPr>
            <w:tcW w:w="56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0000FF"/>
              </w:rPr>
              <w:t>85</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720" w:type="dxa"/>
            <w:vAlign w:val="bottom"/>
            <w:gridSpan w:val="4"/>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2022, 2021 and 2020</w:t>
            </w:r>
          </w:p>
        </w:tc>
        <w:tc>
          <w:tcPr>
            <w:tcW w:w="294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87</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2022, 2021 and 2020</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0000FF"/>
              </w:rPr>
              <w:t>88</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0" w:type="dxa"/>
            <w:vAlign w:val="bottom"/>
            <w:gridSpan w:val="3"/>
          </w:tcPr>
          <w:p>
            <w:pPr>
              <w:spacing w:after="0"/>
              <w:rPr>
                <w:sz w:val="20"/>
                <w:szCs w:val="20"/>
                <w:color w:val="auto"/>
              </w:rPr>
            </w:pPr>
            <w:r>
              <w:rPr>
                <w:rFonts w:ascii="Arial" w:cs="Arial" w:eastAsia="Arial" w:hAnsi="Arial"/>
                <w:sz w:val="18"/>
                <w:szCs w:val="18"/>
                <w:color w:val="0000FF"/>
                <w:w w:val="99"/>
              </w:rPr>
              <w:t>Consolidated Balance Sheets at December 31, 2022 and 2021</w:t>
            </w:r>
          </w:p>
        </w:tc>
        <w:tc>
          <w:tcPr>
            <w:tcW w:w="4280" w:type="dxa"/>
            <w:vAlign w:val="bottom"/>
            <w:gridSpan w:val="3"/>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89</w:t>
            </w:r>
          </w:p>
        </w:tc>
      </w:tr>
      <w:tr>
        <w:trPr>
          <w:trHeight w:val="20"/>
        </w:trPr>
        <w:tc>
          <w:tcPr>
            <w:tcW w:w="3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720" w:type="dxa"/>
            <w:vAlign w:val="bottom"/>
            <w:gridSpan w:val="4"/>
          </w:tcPr>
          <w:p>
            <w:pPr>
              <w:spacing w:after="0"/>
              <w:rPr>
                <w:sz w:val="20"/>
                <w:szCs w:val="20"/>
                <w:color w:val="auto"/>
              </w:rPr>
            </w:pPr>
            <w:r>
              <w:rPr>
                <w:rFonts w:ascii="Arial" w:cs="Arial" w:eastAsia="Arial" w:hAnsi="Arial"/>
                <w:sz w:val="18"/>
                <w:szCs w:val="18"/>
                <w:color w:val="0000FF"/>
                <w:w w:val="98"/>
              </w:rPr>
              <w:t>Consolidated Statements of Cash Flows for the Years Ended December 31, 2022, 2021 and 2020</w:t>
            </w:r>
          </w:p>
        </w:tc>
        <w:tc>
          <w:tcPr>
            <w:tcW w:w="294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90</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140" w:type="dxa"/>
            <w:vAlign w:val="bottom"/>
            <w:gridSpan w:val="5"/>
          </w:tcPr>
          <w:p>
            <w:pPr>
              <w:spacing w:after="0"/>
              <w:rPr>
                <w:sz w:val="20"/>
                <w:szCs w:val="20"/>
                <w:color w:val="auto"/>
              </w:rPr>
            </w:pPr>
            <w:r>
              <w:rPr>
                <w:rFonts w:ascii="Arial" w:cs="Arial" w:eastAsia="Arial" w:hAnsi="Arial"/>
                <w:sz w:val="18"/>
                <w:szCs w:val="18"/>
                <w:color w:val="0000FF"/>
                <w:w w:val="99"/>
              </w:rPr>
              <w:t>Consolidated Statements of Stockholders’ Equity (Deficit) for the Years Ended December 31, 2022, 2021 and 2020</w:t>
            </w:r>
          </w:p>
        </w:tc>
        <w:tc>
          <w:tcPr>
            <w:tcW w:w="15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91</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140" w:type="dxa"/>
            <w:vAlign w:val="bottom"/>
            <w:gridSpan w:val="5"/>
          </w:tcPr>
          <w:p>
            <w:pPr>
              <w:spacing w:after="0"/>
              <w:rPr>
                <w:sz w:val="20"/>
                <w:szCs w:val="20"/>
                <w:color w:val="auto"/>
              </w:rPr>
            </w:pPr>
            <w:r>
              <w:rPr>
                <w:rFonts w:ascii="Arial" w:cs="Arial" w:eastAsia="Arial" w:hAnsi="Arial"/>
                <w:sz w:val="18"/>
                <w:szCs w:val="18"/>
                <w:color w:val="0000FF"/>
              </w:rPr>
              <w:t>Notes to Consolidated Financial Statements</w:t>
            </w:r>
          </w:p>
        </w:tc>
        <w:tc>
          <w:tcPr>
            <w:tcW w:w="15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92</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consolidated financial statements of American Airlines, Inc. and Independent Auditors’ Report are filed as part of this report: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Borders>
              <w:bottom w:val="single" w:sz="8" w:color="435363"/>
            </w:tcBorders>
            <w:gridSpan w:val="3"/>
          </w:tcPr>
          <w:p>
            <w:pPr>
              <w:ind w:left="100"/>
              <w:spacing w:after="0"/>
              <w:rPr>
                <w:sz w:val="20"/>
                <w:szCs w:val="20"/>
                <w:color w:val="auto"/>
              </w:rPr>
            </w:pPr>
            <w:r>
              <w:rPr>
                <w:rFonts w:ascii="Arial" w:cs="Arial" w:eastAsia="Arial" w:hAnsi="Arial"/>
                <w:sz w:val="14"/>
                <w:szCs w:val="14"/>
                <w:b w:val="1"/>
                <w:bCs w:val="1"/>
                <w:color w:val="auto"/>
              </w:rPr>
              <w:t>Page</w:t>
            </w:r>
          </w:p>
        </w:tc>
      </w:tr>
      <w:tr>
        <w:trPr>
          <w:trHeight w:val="184"/>
        </w:trPr>
        <w:tc>
          <w:tcPr>
            <w:tcW w:w="10660" w:type="dxa"/>
            <w:vAlign w:val="bottom"/>
            <w:gridSpan w:val="8"/>
          </w:tcPr>
          <w:p>
            <w:pPr>
              <w:spacing w:after="0" w:line="184"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Dallas, TX, Auditor Firm ID: 185)</w:t>
            </w:r>
          </w:p>
        </w:tc>
        <w:tc>
          <w:tcPr>
            <w:tcW w:w="540" w:type="dxa"/>
            <w:vAlign w:val="bottom"/>
            <w:gridSpan w:val="2"/>
          </w:tcPr>
          <w:p>
            <w:pPr>
              <w:jc w:val="right"/>
              <w:spacing w:after="0" w:line="184" w:lineRule="exact"/>
              <w:rPr>
                <w:sz w:val="20"/>
                <w:szCs w:val="20"/>
                <w:color w:val="auto"/>
              </w:rPr>
            </w:pPr>
            <w:r>
              <w:rPr>
                <w:rFonts w:ascii="Arial" w:cs="Arial" w:eastAsia="Arial" w:hAnsi="Arial"/>
                <w:sz w:val="18"/>
                <w:szCs w:val="18"/>
                <w:color w:val="0000FF"/>
              </w:rPr>
              <w:t>132</w:t>
            </w:r>
          </w:p>
        </w:tc>
        <w:tc>
          <w:tcPr>
            <w:tcW w:w="20" w:type="dxa"/>
            <w:vAlign w:val="bottom"/>
          </w:tcPr>
          <w:p>
            <w:pPr>
              <w:spacing w:after="0"/>
              <w:rPr>
                <w:sz w:val="16"/>
                <w:szCs w:val="16"/>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2022, 2021 and 2020</w:t>
            </w:r>
          </w:p>
        </w:tc>
        <w:tc>
          <w:tcPr>
            <w:tcW w:w="294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134</w:t>
            </w:r>
          </w:p>
        </w:tc>
        <w:tc>
          <w:tcPr>
            <w:tcW w:w="20" w:type="dxa"/>
            <w:vAlign w:val="bottom"/>
          </w:tcPr>
          <w:p>
            <w:pPr>
              <w:spacing w:after="0"/>
              <w:rPr>
                <w:sz w:val="18"/>
                <w:szCs w:val="18"/>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2022, 2021 and 2020</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135</w:t>
            </w:r>
          </w:p>
        </w:tc>
        <w:tc>
          <w:tcPr>
            <w:tcW w:w="20" w:type="dxa"/>
            <w:vAlign w:val="bottom"/>
          </w:tcPr>
          <w:p>
            <w:pPr>
              <w:spacing w:after="0"/>
              <w:rPr>
                <w:sz w:val="18"/>
                <w:szCs w:val="18"/>
                <w:color w:val="auto"/>
              </w:rPr>
            </w:pPr>
          </w:p>
        </w:tc>
      </w:tr>
      <w:tr>
        <w:trPr>
          <w:trHeight w:val="210"/>
        </w:trPr>
        <w:tc>
          <w:tcPr>
            <w:tcW w:w="50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Balance Sheets at December 31, 2022 and 2021</w:t>
            </w:r>
          </w:p>
        </w:tc>
        <w:tc>
          <w:tcPr>
            <w:tcW w:w="4280" w:type="dxa"/>
            <w:vAlign w:val="bottom"/>
            <w:tcBorders>
              <w:top w:val="single" w:sz="8" w:color="0000FF"/>
            </w:tcBorders>
            <w:gridSpan w:val="4"/>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93"/>
              </w:rPr>
              <w:t>136</w:t>
            </w:r>
          </w:p>
        </w:tc>
        <w:tc>
          <w:tcPr>
            <w:tcW w:w="20" w:type="dxa"/>
            <w:vAlign w:val="bottom"/>
          </w:tcPr>
          <w:p>
            <w:pPr>
              <w:spacing w:after="0"/>
              <w:rPr>
                <w:sz w:val="18"/>
                <w:szCs w:val="18"/>
                <w:color w:val="auto"/>
              </w:rPr>
            </w:pPr>
          </w:p>
        </w:tc>
      </w:tr>
      <w:tr>
        <w:trPr>
          <w:trHeight w:val="209"/>
        </w:trPr>
        <w:tc>
          <w:tcPr>
            <w:tcW w:w="7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2022, 2021 and 2020</w:t>
            </w:r>
          </w:p>
        </w:tc>
        <w:tc>
          <w:tcPr>
            <w:tcW w:w="28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137</w:t>
            </w:r>
          </w:p>
        </w:tc>
        <w:tc>
          <w:tcPr>
            <w:tcW w:w="20" w:type="dxa"/>
            <w:vAlign w:val="bottom"/>
          </w:tcPr>
          <w:p>
            <w:pPr>
              <w:spacing w:after="0"/>
              <w:rPr>
                <w:sz w:val="18"/>
                <w:szCs w:val="18"/>
                <w:color w:val="auto"/>
              </w:rPr>
            </w:pPr>
          </w:p>
        </w:tc>
      </w:tr>
      <w:tr>
        <w:trPr>
          <w:trHeight w:val="210"/>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 for the Years Ended December 31, 2022, 2021 and 2020</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138</w:t>
            </w:r>
          </w:p>
        </w:tc>
        <w:tc>
          <w:tcPr>
            <w:tcW w:w="20" w:type="dxa"/>
            <w:vAlign w:val="bottom"/>
          </w:tcPr>
          <w:p>
            <w:pPr>
              <w:spacing w:after="0"/>
              <w:rPr>
                <w:sz w:val="18"/>
                <w:szCs w:val="18"/>
                <w:color w:val="auto"/>
              </w:rPr>
            </w:pPr>
          </w:p>
        </w:tc>
      </w:tr>
      <w:tr>
        <w:trPr>
          <w:trHeight w:val="209"/>
        </w:trPr>
        <w:tc>
          <w:tcPr>
            <w:tcW w:w="84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93"/>
              </w:rPr>
              <w:t>139</w:t>
            </w:r>
          </w:p>
        </w:tc>
        <w:tc>
          <w:tcPr>
            <w:tcW w:w="20" w:type="dxa"/>
            <w:vAlign w:val="bottom"/>
          </w:tcPr>
          <w:p>
            <w:pPr>
              <w:spacing w:after="0"/>
              <w:rPr>
                <w:sz w:val="18"/>
                <w:szCs w:val="18"/>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 w:lineRule="exact"/>
        <w:rPr>
          <w:sz w:val="20"/>
          <w:szCs w:val="20"/>
          <w:color w:val="auto"/>
        </w:rPr>
      </w:pPr>
    </w:p>
    <w:p>
      <w:pPr>
        <w:ind w:left="2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268">
        <w:r>
          <w:rPr>
            <w:rFonts w:ascii="Arial" w:cs="Arial" w:eastAsia="Arial" w:hAnsi="Arial"/>
            <w:sz w:val="18"/>
            <w:szCs w:val="18"/>
            <w:u w:val="single" w:color="auto"/>
            <w:color w:val="0000FF"/>
          </w:rPr>
          <w:t>Confirmation Order and Plan (incorporated by reference to Exhibit 2.1 to AMR’s Current Report on Form 8-K filed on October 23,</w:t>
        </w:r>
      </w:hyperlink>
    </w:p>
    <w:p>
      <w:pPr>
        <w:ind w:left="920"/>
        <w:spacing w:after="0"/>
        <w:rPr>
          <w:rFonts w:ascii="Arial" w:cs="Arial" w:eastAsia="Arial" w:hAnsi="Arial"/>
          <w:sz w:val="18"/>
          <w:szCs w:val="18"/>
          <w:u w:val="single" w:color="auto"/>
          <w:color w:val="0000FF"/>
        </w:rPr>
      </w:pPr>
      <w:hyperlink r:id="rId268">
        <w:r>
          <w:rPr>
            <w:rFonts w:ascii="Arial" w:cs="Arial" w:eastAsia="Arial" w:hAnsi="Arial"/>
            <w:sz w:val="18"/>
            <w:szCs w:val="18"/>
            <w:u w:val="single" w:color="auto"/>
            <w:color w:val="0000FF"/>
          </w:rPr>
          <w:t>2013 (Commission File No. 1-8400)).</w:t>
        </w:r>
      </w:hyperlink>
    </w:p>
    <w:p>
      <w:pPr>
        <w:spacing w:after="0" w:line="18" w:lineRule="exact"/>
        <w:rPr>
          <w:sz w:val="20"/>
          <w:szCs w:val="20"/>
          <w:color w:val="auto"/>
        </w:rPr>
      </w:pPr>
    </w:p>
    <w:p>
      <w:pPr>
        <w:jc w:val="both"/>
        <w:ind w:left="920" w:right="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269">
        <w:r>
          <w:rPr>
            <w:rFonts w:ascii="Arial" w:cs="Arial" w:eastAsia="Arial" w:hAnsi="Arial"/>
            <w:sz w:val="18"/>
            <w:szCs w:val="18"/>
            <w:u w:val="single" w:color="auto"/>
            <w:color w:val="0000FF"/>
          </w:rPr>
          <w:t>Agreement and Plan of Merger, dated as of December 28, 2015, between American Airlines, Inc. and US Airways, Inc.</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(incorporated by reference to Exhibit 2.1 to AAG’s Current Report on Form 8-K filed on December 31, 2015 (Commission File</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No. 1-8400)).</w:t>
        </w:r>
      </w:hyperlink>
    </w:p>
    <w:p>
      <w:pPr>
        <w:spacing w:after="0" w:line="14" w:lineRule="exact"/>
        <w:rPr>
          <w:sz w:val="20"/>
          <w:szCs w:val="20"/>
          <w:color w:val="auto"/>
        </w:rPr>
      </w:pPr>
    </w:p>
    <w:p>
      <w:pPr>
        <w:jc w:val="both"/>
        <w:ind w:left="920" w:right="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70">
        <w:r>
          <w:rPr>
            <w:rFonts w:ascii="Arial" w:cs="Arial" w:eastAsia="Arial" w:hAnsi="Arial"/>
            <w:sz w:val="18"/>
            <w:szCs w:val="18"/>
            <w:u w:val="single" w:color="auto"/>
            <w:color w:val="0000FF"/>
          </w:rPr>
          <w:t>Restated Certificate of Incorporation of American Airlines Group Inc., including the Certificate of Designations, Powers,</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Preferences and Rights of the American Airlines Group Inc. Series A Convertible Preferred Stock attached as Annex I thereto</w:t>
        </w:r>
      </w:hyperlink>
    </w:p>
    <w:p>
      <w:pPr>
        <w:spacing w:after="0" w:line="1" w:lineRule="exact"/>
        <w:rPr>
          <w:sz w:val="20"/>
          <w:szCs w:val="20"/>
          <w:color w:val="auto"/>
        </w:rPr>
      </w:pPr>
    </w:p>
    <w:p>
      <w:pPr>
        <w:ind w:left="920" w:right="40"/>
        <w:spacing w:after="0" w:line="229" w:lineRule="auto"/>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(incorporated by reference to Exhibit 3.1 to AAG’s Current Report on Form 8-K filed on December 9, 2013 (Commission File</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No. 1-8400)).</w:t>
        </w:r>
      </w:hyperlink>
    </w:p>
    <w:p>
      <w:pPr>
        <w:spacing w:after="0" w:line="1" w:lineRule="exact"/>
        <w:rPr>
          <w:sz w:val="20"/>
          <w:szCs w:val="20"/>
          <w:color w:val="auto"/>
        </w:rPr>
      </w:pPr>
    </w:p>
    <w:p>
      <w:pPr>
        <w:jc w:val="both"/>
        <w:ind w:left="920" w:right="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71">
        <w:r>
          <w:rPr>
            <w:rFonts w:ascii="Arial" w:cs="Arial" w:eastAsia="Arial" w:hAnsi="Arial"/>
            <w:sz w:val="18"/>
            <w:szCs w:val="18"/>
            <w:u w:val="single" w:color="auto"/>
            <w:color w:val="0000FF"/>
          </w:rPr>
          <w:t>Certificate of Amendment of Restated Certificate of Incorporation of American Airlines Group Inc. (incorporated by reference to</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Exhibit 3.1 to AAG’s Current Report on Form 8-K filed on June 13, 2018 (Commission File No. 1-8400)).</w:t>
        </w:r>
      </w:hyperlink>
    </w:p>
    <w:p>
      <w:pPr>
        <w:spacing w:after="0" w:line="6"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0000FF"/>
        </w:rPr>
        <w:t>Third Amended and Restated Bylaws of American Airlines Group Inc.</w:t>
      </w:r>
    </w:p>
    <w:p>
      <w:pPr>
        <w:spacing w:after="0" w:line="32" w:lineRule="exact"/>
        <w:rPr>
          <w:sz w:val="20"/>
          <w:szCs w:val="20"/>
          <w:color w:val="auto"/>
        </w:rPr>
      </w:pPr>
    </w:p>
    <w:p>
      <w:pPr>
        <w:jc w:val="both"/>
        <w:ind w:left="920" w:right="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272">
        <w:r>
          <w:rPr>
            <w:rFonts w:ascii="Arial" w:cs="Arial" w:eastAsia="Arial" w:hAnsi="Arial"/>
            <w:sz w:val="18"/>
            <w:szCs w:val="18"/>
            <w:u w:val="single" w:color="auto"/>
            <w:color w:val="0000FF"/>
          </w:rPr>
          <w:t>Amended and Restated Certificate of Incorporation of American Airlines, Inc. (incorporated by reference to Exhibit 3.3 to AAG’s</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Annual Report on Form 10-K for the year ended December 31, 2013 (Commission File No. 1-8400)).</w:t>
        </w:r>
      </w:hyperlink>
    </w:p>
    <w:p>
      <w:pPr>
        <w:spacing w:after="0" w:line="6" w:lineRule="exact"/>
        <w:rPr>
          <w:sz w:val="20"/>
          <w:szCs w:val="20"/>
          <w:color w:val="auto"/>
        </w:rPr>
      </w:pPr>
    </w:p>
    <w:p>
      <w:pPr>
        <w:jc w:val="both"/>
        <w:ind w:left="920" w:right="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hyperlink r:id="rId273">
        <w:r>
          <w:rPr>
            <w:rFonts w:ascii="Arial" w:cs="Arial" w:eastAsia="Arial" w:hAnsi="Arial"/>
            <w:sz w:val="18"/>
            <w:szCs w:val="18"/>
            <w:u w:val="single" w:color="auto"/>
            <w:color w:val="0000FF"/>
          </w:rPr>
          <w:t>Amended and Restated Bylaws of American Airlines, Inc. (incorporated by reference to Exhibit 3.4 to AAG’s Annual Report on</w:t>
        </w:r>
      </w:hyperlink>
      <w:r>
        <w:rPr>
          <w:rFonts w:ascii="Arial" w:cs="Arial" w:eastAsia="Arial" w:hAnsi="Arial"/>
          <w:sz w:val="18"/>
          <w:szCs w:val="18"/>
          <w:u w:val="single" w:color="auto"/>
          <w:color w:val="0000FF"/>
        </w:rPr>
        <w:t xml:space="preserve"> </w:t>
      </w:r>
      <w:hyperlink r:id="rId273">
        <w:r>
          <w:rPr>
            <w:rFonts w:ascii="Arial" w:cs="Arial" w:eastAsia="Arial" w:hAnsi="Arial"/>
            <w:sz w:val="18"/>
            <w:szCs w:val="18"/>
            <w:u w:val="single" w:color="auto"/>
            <w:color w:val="0000FF"/>
          </w:rPr>
          <w:t>Form 10-K for the year ended December 31, 2013 (Commission File No. 1-8400)).</w:t>
        </w:r>
      </w:hyperlink>
    </w:p>
    <w:p>
      <w:pPr>
        <w:spacing w:after="0" w:line="5" w:lineRule="exact"/>
        <w:rPr>
          <w:sz w:val="20"/>
          <w:szCs w:val="20"/>
          <w:color w:val="auto"/>
        </w:rPr>
      </w:pPr>
    </w:p>
    <w:p>
      <w:pPr>
        <w:jc w:val="both"/>
        <w:ind w:left="920" w:right="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hyperlink r:id="rId274">
        <w:r>
          <w:rPr>
            <w:rFonts w:ascii="Arial" w:cs="Arial" w:eastAsia="Arial" w:hAnsi="Arial"/>
            <w:sz w:val="18"/>
            <w:szCs w:val="18"/>
            <w:u w:val="single" w:color="auto"/>
            <w:color w:val="0000FF"/>
          </w:rPr>
          <w:t>Certificate of Designations of Series B Junior Participating Preferred Stock of American Airlines Group Inc., filed with the</w:t>
        </w:r>
      </w:hyperlink>
      <w:r>
        <w:rPr>
          <w:rFonts w:ascii="Arial" w:cs="Arial" w:eastAsia="Arial" w:hAnsi="Arial"/>
          <w:sz w:val="18"/>
          <w:szCs w:val="18"/>
          <w:u w:val="single" w:color="auto"/>
          <w:color w:val="0000FF"/>
        </w:rPr>
        <w:t xml:space="preserve"> </w:t>
      </w:r>
      <w:hyperlink r:id="rId274">
        <w:r>
          <w:rPr>
            <w:rFonts w:ascii="Arial" w:cs="Arial" w:eastAsia="Arial" w:hAnsi="Arial"/>
            <w:sz w:val="18"/>
            <w:szCs w:val="18"/>
            <w:u w:val="single" w:color="auto"/>
            <w:color w:val="0000FF"/>
          </w:rPr>
          <w:t>Secretary of State of the State of Delaware on December 21, 2021 (incorporated by reference to Exhibit 3.1 to AAG’s Current</w:t>
        </w:r>
      </w:hyperlink>
      <w:r>
        <w:rPr>
          <w:rFonts w:ascii="Arial" w:cs="Arial" w:eastAsia="Arial" w:hAnsi="Arial"/>
          <w:sz w:val="18"/>
          <w:szCs w:val="18"/>
          <w:u w:val="single" w:color="auto"/>
          <w:color w:val="0000FF"/>
        </w:rPr>
        <w:t xml:space="preserve"> </w:t>
      </w:r>
      <w:hyperlink r:id="rId274">
        <w:r>
          <w:rPr>
            <w:rFonts w:ascii="Arial" w:cs="Arial" w:eastAsia="Arial" w:hAnsi="Arial"/>
            <w:sz w:val="18"/>
            <w:szCs w:val="18"/>
            <w:u w:val="single" w:color="auto"/>
            <w:color w:val="0000FF"/>
          </w:rPr>
          <w:t>Report on Form 8-K filed on December 22, 2021 (Commission File No. 1-8400)).</w:t>
        </w:r>
      </w:hyperlink>
    </w:p>
    <w:p>
      <w:pPr>
        <w:spacing w:after="0" w:line="7" w:lineRule="exact"/>
        <w:rPr>
          <w:rFonts w:ascii="Arial" w:cs="Arial" w:eastAsia="Arial" w:hAnsi="Arial"/>
          <w:sz w:val="18"/>
          <w:szCs w:val="18"/>
          <w:u w:val="single" w:color="auto"/>
          <w:color w:val="0000FF"/>
        </w:rPr>
      </w:pPr>
    </w:p>
    <w:p>
      <w:pPr>
        <w:jc w:val="both"/>
        <w:ind w:left="920" w:right="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275">
        <w:r>
          <w:rPr>
            <w:rFonts w:ascii="Arial" w:cs="Arial" w:eastAsia="Arial" w:hAnsi="Arial"/>
            <w:sz w:val="18"/>
            <w:szCs w:val="18"/>
            <w:u w:val="single" w:color="auto"/>
            <w:color w:val="0000FF"/>
          </w:rPr>
          <w:t>Description of securities registered under Section 12 of the Exchange Act (incorporated by reference to Exhibit 4.1 to AAG’s</w:t>
        </w:r>
      </w:hyperlink>
      <w:r>
        <w:rPr>
          <w:rFonts w:ascii="Arial" w:cs="Arial" w:eastAsia="Arial" w:hAnsi="Arial"/>
          <w:sz w:val="18"/>
          <w:szCs w:val="18"/>
          <w:u w:val="single" w:color="auto"/>
          <w:color w:val="0000FF"/>
        </w:rPr>
        <w:t xml:space="preserve"> </w:t>
      </w:r>
      <w:hyperlink r:id="rId275">
        <w:r>
          <w:rPr>
            <w:rFonts w:ascii="Arial" w:cs="Arial" w:eastAsia="Arial" w:hAnsi="Arial"/>
            <w:sz w:val="18"/>
            <w:szCs w:val="18"/>
            <w:u w:val="single" w:color="auto"/>
            <w:color w:val="0000FF"/>
          </w:rPr>
          <w:t>Annual Report on Form 10-K for the year ended December 31, 2021 (Commission File No. 1-8400)).</w:t>
        </w:r>
      </w:hyperlink>
    </w:p>
    <w:p>
      <w:pPr>
        <w:spacing w:after="0" w:line="5" w:lineRule="exact"/>
        <w:rPr>
          <w:sz w:val="20"/>
          <w:szCs w:val="20"/>
          <w:color w:val="auto"/>
        </w:rPr>
      </w:pPr>
    </w:p>
    <w:p>
      <w:pPr>
        <w:jc w:val="both"/>
        <w:ind w:left="920" w:right="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276">
        <w:r>
          <w:rPr>
            <w:rFonts w:ascii="Arial" w:cs="Arial" w:eastAsia="Arial" w:hAnsi="Arial"/>
            <w:sz w:val="18"/>
            <w:szCs w:val="18"/>
            <w:u w:val="single" w:color="auto"/>
            <w:color w:val="0000FF"/>
          </w:rPr>
          <w:t>Pass Through Trust Agreement, dated as of September 16, 2014, between American Airlines, Inc. and Wilmington Trust</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Company, as Trustee (incorporated by reference to Exhibit 4.1 to American’s Current Report on Form 8-K filed on September 17,</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76">
        <w:r>
          <w:rPr>
            <w:rFonts w:ascii="Arial" w:cs="Arial" w:eastAsia="Arial" w:hAnsi="Arial"/>
            <w:sz w:val="18"/>
            <w:szCs w:val="18"/>
            <w:u w:val="single" w:color="auto"/>
            <w:color w:val="0000FF"/>
          </w:rPr>
          <w:t>2014 (Commission File No. 1-2691)).</w:t>
        </w:r>
      </w:hyperlink>
    </w:p>
    <w:p>
      <w:pPr>
        <w:spacing w:after="0" w:line="14" w:lineRule="exact"/>
        <w:rPr>
          <w:sz w:val="20"/>
          <w:szCs w:val="20"/>
          <w:color w:val="auto"/>
        </w:rPr>
      </w:pPr>
    </w:p>
    <w:p>
      <w:pPr>
        <w:jc w:val="both"/>
        <w:ind w:left="920" w:right="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277">
        <w:r>
          <w:rPr>
            <w:rFonts w:ascii="Arial" w:cs="Arial" w:eastAsia="Arial" w:hAnsi="Arial"/>
            <w:sz w:val="18"/>
            <w:szCs w:val="18"/>
            <w:u w:val="single" w:color="auto"/>
            <w:color w:val="0000FF"/>
          </w:rPr>
          <w:t>Trust Supplement No. 2014-1A, dated as of September 16, 2014, between American Airlines, Inc. and Wilmington Trust</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77">
        <w:r>
          <w:rPr>
            <w:rFonts w:ascii="Arial" w:cs="Arial" w:eastAsia="Arial" w:hAnsi="Arial"/>
            <w:sz w:val="18"/>
            <w:szCs w:val="18"/>
            <w:u w:val="single" w:color="auto"/>
            <w:color w:val="0000FF"/>
          </w:rPr>
          <w:t>Exhibit 4.2 to American’s Current Report on Form 8-K filed on September 17, 2014 (Commission File No. 1-2691)).</w:t>
        </w:r>
      </w:hyperlink>
    </w:p>
    <w:p>
      <w:pPr>
        <w:spacing w:after="0" w:line="14" w:lineRule="exact"/>
        <w:rPr>
          <w:sz w:val="20"/>
          <w:szCs w:val="20"/>
          <w:color w:val="auto"/>
        </w:rPr>
      </w:pPr>
    </w:p>
    <w:p>
      <w:pPr>
        <w:jc w:val="both"/>
        <w:ind w:left="920" w:right="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278">
        <w:r>
          <w:rPr>
            <w:rFonts w:ascii="Arial" w:cs="Arial" w:eastAsia="Arial" w:hAnsi="Arial"/>
            <w:sz w:val="18"/>
            <w:szCs w:val="18"/>
            <w:u w:val="single" w:color="auto"/>
            <w:color w:val="0000FF"/>
          </w:rPr>
          <w:t>Trust Supplement No. 2014-1B, dated as of September 16, 2014, between American Airlines, Inc. and Wilmington Trust</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78">
        <w:r>
          <w:rPr>
            <w:rFonts w:ascii="Arial" w:cs="Arial" w:eastAsia="Arial" w:hAnsi="Arial"/>
            <w:sz w:val="18"/>
            <w:szCs w:val="18"/>
            <w:u w:val="single" w:color="auto"/>
            <w:color w:val="0000FF"/>
          </w:rPr>
          <w:t>Exhibit 4.3 to American’s Current Report on Form 8-K filed on September 17, 2014 (Commission File No. 1-2691)).</w:t>
        </w:r>
      </w:hyperlink>
    </w:p>
    <w:p>
      <w:pPr>
        <w:spacing w:after="0" w:line="14" w:lineRule="exact"/>
        <w:rPr>
          <w:sz w:val="20"/>
          <w:szCs w:val="20"/>
          <w:color w:val="auto"/>
        </w:rPr>
      </w:pPr>
    </w:p>
    <w:p>
      <w:pPr>
        <w:jc w:val="both"/>
        <w:ind w:left="920" w:right="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279">
        <w:r>
          <w:rPr>
            <w:rFonts w:ascii="Arial" w:cs="Arial" w:eastAsia="Arial" w:hAnsi="Arial"/>
            <w:sz w:val="18"/>
            <w:szCs w:val="18"/>
            <w:u w:val="single" w:color="auto"/>
            <w:color w:val="0000FF"/>
          </w:rPr>
          <w:t>Intercreditor Agreement (2014-1), dated as of September 16, 2014, among Wilmington Trust Company, as Trustee of the</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American Airlines Pass Through Trust 2014 -1A and as Trustee of the American Airlines Pass Through Trust 2014-1B, Crédit</w:t>
        </w:r>
      </w:hyperlink>
    </w:p>
    <w:p>
      <w:pPr>
        <w:spacing w:after="0" w:line="1" w:lineRule="exact"/>
        <w:rPr>
          <w:sz w:val="20"/>
          <w:szCs w:val="20"/>
          <w:color w:val="auto"/>
        </w:rPr>
      </w:pPr>
    </w:p>
    <w:p>
      <w:pPr>
        <w:jc w:val="both"/>
        <w:ind w:left="920" w:right="20"/>
        <w:spacing w:after="0" w:line="221" w:lineRule="auto"/>
        <w:rPr>
          <w:rFonts w:ascii="Arial" w:cs="Arial" w:eastAsia="Arial" w:hAnsi="Arial"/>
          <w:sz w:val="18"/>
          <w:szCs w:val="18"/>
          <w:u w:val="single" w:color="auto"/>
          <w:color w:val="0000FF"/>
        </w:rPr>
      </w:pPr>
      <w:hyperlink r:id="rId279">
        <w:r>
          <w:rPr>
            <w:rFonts w:ascii="Arial" w:cs="Arial" w:eastAsia="Arial" w:hAnsi="Arial"/>
            <w:sz w:val="18"/>
            <w:szCs w:val="18"/>
            <w:u w:val="single" w:color="auto"/>
            <w:color w:val="0000FF"/>
          </w:rPr>
          <w:t>Agricole Corporate and Investment Bank, acting through its New York Branch, as Class A Liquidity Provider and Class B Liquidity</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Provider, and Wilmington Trust Company, as Subordination Agent (incorporated by reference to Exhibit 4.4 to American’s Current</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Report on Form 8-K filed on September 17, 2014 (Commission File No. 1-2691)).</w:t>
        </w:r>
      </w:hyperlink>
    </w:p>
    <w:p>
      <w:pPr>
        <w:spacing w:after="0" w:line="4" w:lineRule="exact"/>
        <w:rPr>
          <w:rFonts w:ascii="Arial" w:cs="Arial" w:eastAsia="Arial" w:hAnsi="Arial"/>
          <w:sz w:val="18"/>
          <w:szCs w:val="18"/>
          <w:u w:val="single" w:color="auto"/>
          <w:color w:val="0000FF"/>
        </w:rPr>
      </w:pPr>
    </w:p>
    <w:p>
      <w:pPr>
        <w:jc w:val="right"/>
        <w:ind w:left="20" w:righ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280">
        <w:r>
          <w:rPr>
            <w:rFonts w:ascii="Arial" w:cs="Arial" w:eastAsia="Arial" w:hAnsi="Arial"/>
            <w:sz w:val="18"/>
            <w:szCs w:val="18"/>
            <w:u w:val="single" w:color="auto"/>
            <w:color w:val="0000FF"/>
          </w:rPr>
          <w:t>Amendment No. 1 to Intercreditor Agreement (2014-1), dated as of June 24, 2015, among American Airlines, Inc., Credit Agricole</w:t>
        </w:r>
      </w:hyperlink>
      <w:r>
        <w:rPr>
          <w:rFonts w:ascii="Arial" w:cs="Arial" w:eastAsia="Arial" w:hAnsi="Arial"/>
          <w:sz w:val="18"/>
          <w:szCs w:val="18"/>
          <w:color w:val="auto"/>
        </w:rPr>
        <w:t xml:space="preserve"> </w:t>
      </w:r>
      <w:hyperlink r:id="rId280">
        <w:r>
          <w:rPr>
            <w:rFonts w:ascii="Arial" w:cs="Arial" w:eastAsia="Arial" w:hAnsi="Arial"/>
            <w:sz w:val="18"/>
            <w:szCs w:val="18"/>
            <w:u w:val="single" w:color="auto"/>
            <w:color w:val="0000FF"/>
          </w:rPr>
          <w:t>Corporate and Investment Bank, as Class A and Class B liquidity provider and Wilmington Trust Company, as subordination</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280">
        <w:r>
          <w:rPr>
            <w:rFonts w:ascii="Arial" w:cs="Arial" w:eastAsia="Arial" w:hAnsi="Arial"/>
            <w:sz w:val="18"/>
            <w:szCs w:val="18"/>
            <w:u w:val="single" w:color="auto"/>
            <w:color w:val="0000FF"/>
          </w:rPr>
          <w:t>agent and trustee (incorporated by reference to Exhibit 10.6 to AAG’s Quarterly Report on Form 10-Q for the quarter ended</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June 30, 2015 (Commission File No. 1-8400)).</w:t>
        </w:r>
      </w:hyperlink>
    </w:p>
    <w:p>
      <w:pPr>
        <w:spacing w:after="0" w:line="1" w:lineRule="exact"/>
        <w:rPr>
          <w:sz w:val="20"/>
          <w:szCs w:val="20"/>
          <w:color w:val="auto"/>
        </w:rPr>
      </w:pPr>
    </w:p>
    <w:p>
      <w:pPr>
        <w:jc w:val="right"/>
        <w:ind w:left="20" w:righ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281">
        <w:r>
          <w:rPr>
            <w:rFonts w:ascii="Arial" w:cs="Arial" w:eastAsia="Arial" w:hAnsi="Arial"/>
            <w:sz w:val="18"/>
            <w:szCs w:val="18"/>
            <w:u w:val="single" w:color="auto"/>
            <w:color w:val="0000FF"/>
          </w:rPr>
          <w:t>Note Purchase Agreement, dated as of September 16, 2014, among American Airlines, Inc., Wilmington Trust Company, as Pass</w:t>
        </w:r>
      </w:hyperlink>
      <w:r>
        <w:rPr>
          <w:rFonts w:ascii="Arial" w:cs="Arial" w:eastAsia="Arial" w:hAnsi="Arial"/>
          <w:sz w:val="18"/>
          <w:szCs w:val="18"/>
          <w:color w:val="auto"/>
        </w:rPr>
        <w:t xml:space="preserve"> </w:t>
      </w:r>
      <w:hyperlink r:id="rId28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281">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reference to Exhibit 4.9 to American’s Current Report on Form 8-K filed on September 17, 2014 (Commission File No. 1-2691)).</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283">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283">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2"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283">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(Exhibit B to Note Purchase Agreement) (incorporated by reference to Exhibit 4.10 to American’s Current Report on Form 8-K</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filed on September 17, 2014 (Commission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284">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284">
        <w:r>
          <w:rPr>
            <w:rFonts w:ascii="Arial" w:cs="Arial" w:eastAsia="Arial" w:hAnsi="Arial"/>
            <w:sz w:val="18"/>
            <w:szCs w:val="18"/>
            <w:u w:val="single" w:color="auto"/>
            <w:color w:val="0000FF"/>
          </w:rPr>
          <w:t>Trust Company, as Loan Trustee) (Exhibit C to Note Purchase Agreement) (incorporated by reference to Exhibit 4.11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84">
        <w:r>
          <w:rPr>
            <w:rFonts w:ascii="Arial" w:cs="Arial" w:eastAsia="Arial" w:hAnsi="Arial"/>
            <w:sz w:val="18"/>
            <w:szCs w:val="18"/>
            <w:u w:val="single" w:color="auto"/>
            <w:color w:val="0000FF"/>
          </w:rPr>
          <w:t>American’s Current Report on Form 8-K filed on September 17, 2014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285">
        <w:r>
          <w:rPr>
            <w:rFonts w:ascii="Arial" w:cs="Arial" w:eastAsia="Arial" w:hAnsi="Arial"/>
            <w:sz w:val="18"/>
            <w:szCs w:val="18"/>
            <w:u w:val="single" w:color="auto"/>
            <w:color w:val="0000FF"/>
          </w:rPr>
          <w:t>Revolving Credit Agreement (2014-1A), dated as of September 16, 2014, between Wilmington Trust Company, as Subordination</w:t>
        </w:r>
      </w:hyperlink>
      <w:r>
        <w:rPr>
          <w:rFonts w:ascii="Arial" w:cs="Arial" w:eastAsia="Arial" w:hAnsi="Arial"/>
          <w:sz w:val="18"/>
          <w:szCs w:val="18"/>
          <w:color w:val="auto"/>
        </w:rPr>
        <w:t xml:space="preserve"> </w:t>
      </w:r>
      <w:hyperlink r:id="rId285">
        <w:r>
          <w:rPr>
            <w:rFonts w:ascii="Arial" w:cs="Arial" w:eastAsia="Arial" w:hAnsi="Arial"/>
            <w:sz w:val="18"/>
            <w:szCs w:val="18"/>
            <w:u w:val="single" w:color="auto"/>
            <w:color w:val="0000FF"/>
          </w:rPr>
          <w:t>Agent, as agent and trustee for the trustee of the American Airlines Pass Through Trust 2014-1A, as Borrower, and Crédit</w:t>
        </w:r>
      </w:hyperlink>
    </w:p>
    <w:p>
      <w:pPr>
        <w:spacing w:after="0" w:line="1" w:lineRule="exact"/>
        <w:rPr>
          <w:sz w:val="20"/>
          <w:szCs w:val="20"/>
          <w:color w:val="auto"/>
        </w:rPr>
      </w:pPr>
    </w:p>
    <w:p>
      <w:pPr>
        <w:jc w:val="both"/>
        <w:ind w:left="920" w:right="20"/>
        <w:spacing w:after="0" w:line="229" w:lineRule="auto"/>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Exhibit 4.14 to American’s Current Report on Form 8-K filed on September 17, 2014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w:t>
      </w:r>
      <w:hyperlink r:id="rId286">
        <w:r>
          <w:rPr>
            <w:rFonts w:ascii="Arial" w:cs="Arial" w:eastAsia="Arial" w:hAnsi="Arial"/>
            <w:sz w:val="18"/>
            <w:szCs w:val="18"/>
            <w:u w:val="single" w:color="auto"/>
            <w:color w:val="0000FF"/>
          </w:rPr>
          <w:t>Revolving Credit Agreement (2014-1B), dated as of September 16, 2014, between Wilmington Trust Company, as Subordination</w:t>
        </w:r>
      </w:hyperlink>
      <w:r>
        <w:rPr>
          <w:rFonts w:ascii="Arial" w:cs="Arial" w:eastAsia="Arial" w:hAnsi="Arial"/>
          <w:sz w:val="18"/>
          <w:szCs w:val="18"/>
          <w:color w:val="auto"/>
        </w:rPr>
        <w:t xml:space="preserve"> </w:t>
      </w:r>
      <w:hyperlink r:id="rId286">
        <w:r>
          <w:rPr>
            <w:rFonts w:ascii="Arial" w:cs="Arial" w:eastAsia="Arial" w:hAnsi="Arial"/>
            <w:sz w:val="18"/>
            <w:szCs w:val="18"/>
            <w:u w:val="single" w:color="auto"/>
            <w:color w:val="0000FF"/>
          </w:rPr>
          <w:t>Agent, as agent and trustee for the trustee of the American Airlines Pass Through Trust 2014-1B, as Borrower, and Crédit</w:t>
        </w:r>
      </w:hyperlink>
    </w:p>
    <w:p>
      <w:pPr>
        <w:spacing w:after="0" w:line="1" w:lineRule="exact"/>
        <w:rPr>
          <w:sz w:val="20"/>
          <w:szCs w:val="20"/>
          <w:color w:val="auto"/>
        </w:rPr>
      </w:pPr>
    </w:p>
    <w:p>
      <w:pPr>
        <w:jc w:val="both"/>
        <w:ind w:left="920" w:right="20"/>
        <w:spacing w:after="0" w:line="229" w:lineRule="auto"/>
        <w:rPr>
          <w:rFonts w:ascii="Arial" w:cs="Arial" w:eastAsia="Arial" w:hAnsi="Arial"/>
          <w:sz w:val="18"/>
          <w:szCs w:val="18"/>
          <w:u w:val="single" w:color="auto"/>
          <w:color w:val="0000FF"/>
        </w:rPr>
      </w:pPr>
      <w:hyperlink r:id="rId286">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Exhibit 4.15 to American’s Current Report on Form 8-K filed on September 17, 2014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287">
        <w:r>
          <w:rPr>
            <w:rFonts w:ascii="Arial" w:cs="Arial" w:eastAsia="Arial" w:hAnsi="Arial"/>
            <w:sz w:val="18"/>
            <w:szCs w:val="18"/>
            <w:u w:val="single" w:color="auto"/>
            <w:color w:val="0000FF"/>
          </w:rPr>
          <w:t>First Supplemental Indenture, dated as of December 30, 2015, among American Airlines Group Inc., American Airlines, Inc. and</w:t>
        </w:r>
      </w:hyperlink>
      <w:r>
        <w:rPr>
          <w:rFonts w:ascii="Arial" w:cs="Arial" w:eastAsia="Arial" w:hAnsi="Arial"/>
          <w:sz w:val="18"/>
          <w:szCs w:val="18"/>
          <w:color w:val="auto"/>
        </w:rPr>
        <w:t xml:space="preserve"> </w:t>
      </w:r>
      <w:hyperlink r:id="rId287">
        <w:r>
          <w:rPr>
            <w:rFonts w:ascii="Arial" w:cs="Arial" w:eastAsia="Arial" w:hAnsi="Arial"/>
            <w:sz w:val="18"/>
            <w:szCs w:val="18"/>
            <w:u w:val="single" w:color="auto"/>
            <w:color w:val="0000FF"/>
          </w:rPr>
          <w:t>Wilmington Trust, National Association, as trustee, to the Indenture dated as of March 5, 2015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87">
        <w:r>
          <w:rPr>
            <w:rFonts w:ascii="Arial" w:cs="Arial" w:eastAsia="Arial" w:hAnsi="Arial"/>
            <w:sz w:val="18"/>
            <w:szCs w:val="18"/>
            <w:u w:val="single" w:color="auto"/>
            <w:color w:val="0000FF"/>
          </w:rPr>
          <w:t>Exhibit 4.3 to AAG’s Current Report on Form 8-K filed on December 31, 2015 (Commission File No. 1-8400)).</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      </w:t>
      </w:r>
      <w:hyperlink r:id="rId288">
        <w:r>
          <w:rPr>
            <w:rFonts w:ascii="Arial" w:cs="Arial" w:eastAsia="Arial" w:hAnsi="Arial"/>
            <w:sz w:val="18"/>
            <w:szCs w:val="18"/>
            <w:u w:val="single" w:color="auto"/>
            <w:color w:val="0000FF"/>
          </w:rPr>
          <w:t>Trust Supplement No. 2015-1A, dated as of March 16, 2015, between American Airlines, Inc. and Wilmington Trust Company, as</w:t>
        </w:r>
      </w:hyperlink>
      <w:r>
        <w:rPr>
          <w:rFonts w:ascii="Arial" w:cs="Arial" w:eastAsia="Arial" w:hAnsi="Arial"/>
          <w:sz w:val="18"/>
          <w:szCs w:val="18"/>
          <w:color w:val="auto"/>
        </w:rPr>
        <w:t xml:space="preserve"> </w:t>
      </w:r>
      <w:hyperlink r:id="rId288">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88">
        <w:r>
          <w:rPr>
            <w:rFonts w:ascii="Arial" w:cs="Arial" w:eastAsia="Arial" w:hAnsi="Arial"/>
            <w:sz w:val="18"/>
            <w:szCs w:val="18"/>
            <w:u w:val="single" w:color="auto"/>
            <w:color w:val="0000FF"/>
          </w:rPr>
          <w:t>American’s Current Report on Form 8-K filed on March 16,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      </w:t>
      </w:r>
      <w:hyperlink r:id="rId289">
        <w:r>
          <w:rPr>
            <w:rFonts w:ascii="Arial" w:cs="Arial" w:eastAsia="Arial" w:hAnsi="Arial"/>
            <w:sz w:val="18"/>
            <w:szCs w:val="18"/>
            <w:u w:val="single" w:color="auto"/>
            <w:color w:val="0000FF"/>
          </w:rPr>
          <w:t>Trust Supplement No. 2015-1B, dated as of March 16, 2015, between American Airlines, Inc. and Wilmington Trust Company, as</w:t>
        </w:r>
      </w:hyperlink>
      <w:r>
        <w:rPr>
          <w:rFonts w:ascii="Arial" w:cs="Arial" w:eastAsia="Arial" w:hAnsi="Arial"/>
          <w:sz w:val="18"/>
          <w:szCs w:val="18"/>
          <w:color w:val="auto"/>
        </w:rPr>
        <w:t xml:space="preserve"> </w:t>
      </w:r>
      <w:hyperlink r:id="rId289">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89">
        <w:r>
          <w:rPr>
            <w:rFonts w:ascii="Arial" w:cs="Arial" w:eastAsia="Arial" w:hAnsi="Arial"/>
            <w:sz w:val="18"/>
            <w:szCs w:val="18"/>
            <w:u w:val="single" w:color="auto"/>
            <w:color w:val="0000FF"/>
          </w:rPr>
          <w:t>American’s Current Report on Form 8-K filed on March 16,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      </w:t>
      </w:r>
      <w:hyperlink r:id="rId290">
        <w:r>
          <w:rPr>
            <w:rFonts w:ascii="Arial" w:cs="Arial" w:eastAsia="Arial" w:hAnsi="Arial"/>
            <w:sz w:val="18"/>
            <w:szCs w:val="18"/>
            <w:u w:val="single" w:color="auto"/>
            <w:color w:val="0000FF"/>
          </w:rPr>
          <w:t>Intercreditor Agreement (2015-1), dated as of March 16, 2015, among Wilmington Trust Company, as Trustee of the American</w:t>
        </w:r>
      </w:hyperlink>
      <w:r>
        <w:rPr>
          <w:rFonts w:ascii="Arial" w:cs="Arial" w:eastAsia="Arial" w:hAnsi="Arial"/>
          <w:sz w:val="18"/>
          <w:szCs w:val="18"/>
          <w:color w:val="auto"/>
        </w:rPr>
        <w:t xml:space="preserve"> </w:t>
      </w:r>
      <w:hyperlink r:id="rId290">
        <w:r>
          <w:rPr>
            <w:rFonts w:ascii="Arial" w:cs="Arial" w:eastAsia="Arial" w:hAnsi="Arial"/>
            <w:sz w:val="18"/>
            <w:szCs w:val="18"/>
            <w:u w:val="single" w:color="auto"/>
            <w:color w:val="0000FF"/>
          </w:rPr>
          <w:t>Airlines Pass Through Trust 2015-1A and as Trustee of the American Airlines Pass Through Trust 2015-1B, Crédit Agricole</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290">
        <w:r>
          <w:rPr>
            <w:rFonts w:ascii="Arial" w:cs="Arial" w:eastAsia="Arial" w:hAnsi="Arial"/>
            <w:sz w:val="18"/>
            <w:szCs w:val="18"/>
            <w:u w:val="single" w:color="auto"/>
            <w:color w:val="0000FF"/>
          </w:rPr>
          <w:t>Corporate and Investment Bank, acting through its New York Branch, as Class A Liquidity Provider and Class B Liquidity</w:t>
        </w:r>
      </w:hyperlink>
      <w:r>
        <w:rPr>
          <w:rFonts w:ascii="Arial" w:cs="Arial" w:eastAsia="Arial" w:hAnsi="Arial"/>
          <w:sz w:val="18"/>
          <w:szCs w:val="18"/>
          <w:u w:val="single" w:color="auto"/>
          <w:color w:val="0000FF"/>
        </w:rPr>
        <w:t xml:space="preserve"> </w:t>
      </w:r>
      <w:hyperlink r:id="rId290">
        <w:r>
          <w:rPr>
            <w:rFonts w:ascii="Arial" w:cs="Arial" w:eastAsia="Arial" w:hAnsi="Arial"/>
            <w:sz w:val="18"/>
            <w:szCs w:val="18"/>
            <w:u w:val="single" w:color="auto"/>
            <w:color w:val="0000FF"/>
          </w:rPr>
          <w:t>Provider, and Wilmington Trust Company, as Subordination Agent (incorporated by reference to Exhibit 4.4 to American’s Current</w:t>
        </w:r>
      </w:hyperlink>
      <w:r>
        <w:rPr>
          <w:rFonts w:ascii="Arial" w:cs="Arial" w:eastAsia="Arial" w:hAnsi="Arial"/>
          <w:sz w:val="18"/>
          <w:szCs w:val="18"/>
          <w:u w:val="single" w:color="auto"/>
          <w:color w:val="0000FF"/>
        </w:rPr>
        <w:t xml:space="preserve"> </w:t>
      </w:r>
      <w:hyperlink r:id="rId290">
        <w:r>
          <w:rPr>
            <w:rFonts w:ascii="Arial" w:cs="Arial" w:eastAsia="Arial" w:hAnsi="Arial"/>
            <w:sz w:val="18"/>
            <w:szCs w:val="18"/>
            <w:u w:val="single" w:color="auto"/>
            <w:color w:val="0000FF"/>
          </w:rPr>
          <w:t>Report on Form 8-K filed on March 16, 2015 (Commission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291">
        <w:r>
          <w:rPr>
            <w:rFonts w:ascii="Arial" w:cs="Arial" w:eastAsia="Arial" w:hAnsi="Arial"/>
            <w:sz w:val="18"/>
            <w:szCs w:val="18"/>
            <w:u w:val="single" w:color="auto"/>
            <w:color w:val="0000FF"/>
          </w:rPr>
          <w:t>Note Purchase Agreement, dated as of March 16, 2015, among American Airlines, Inc., Wilmington Trust Company, as Pass</w:t>
        </w:r>
      </w:hyperlink>
      <w:r>
        <w:rPr>
          <w:rFonts w:ascii="Arial" w:cs="Arial" w:eastAsia="Arial" w:hAnsi="Arial"/>
          <w:sz w:val="18"/>
          <w:szCs w:val="18"/>
          <w:color w:val="auto"/>
        </w:rPr>
        <w:t xml:space="preserve"> </w:t>
      </w:r>
      <w:hyperlink r:id="rId29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291">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reference to Exhibit 4.9 to American’s Current Report on Form 8-K filed on March 16,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      </w:t>
      </w:r>
      <w:hyperlink r:id="rId292">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292">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292">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92">
        <w:r>
          <w:rPr>
            <w:rFonts w:ascii="Arial" w:cs="Arial" w:eastAsia="Arial" w:hAnsi="Arial"/>
            <w:sz w:val="18"/>
            <w:szCs w:val="18"/>
            <w:u w:val="single" w:color="auto"/>
            <w:color w:val="0000FF"/>
          </w:rPr>
          <w:t>(incorporated by reference to Exhibit 4.10 to American’s Current Report on Form 8-K filed on March 16, 2015 (Commission File</w:t>
        </w:r>
      </w:hyperlink>
      <w:r>
        <w:rPr>
          <w:rFonts w:ascii="Arial" w:cs="Arial" w:eastAsia="Arial" w:hAnsi="Arial"/>
          <w:sz w:val="18"/>
          <w:szCs w:val="18"/>
          <w:u w:val="single" w:color="auto"/>
          <w:color w:val="0000FF"/>
        </w:rPr>
        <w:t xml:space="preserve"> </w:t>
      </w:r>
      <w:hyperlink r:id="rId292">
        <w:r>
          <w:rPr>
            <w:rFonts w:ascii="Arial" w:cs="Arial" w:eastAsia="Arial" w:hAnsi="Arial"/>
            <w:sz w:val="18"/>
            <w:szCs w:val="18"/>
            <w:u w:val="single" w:color="auto"/>
            <w:color w:val="0000FF"/>
          </w:rPr>
          <w:t>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4.18      </w:t>
      </w:r>
      <w:hyperlink r:id="rId293">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293">
        <w:r>
          <w:rPr>
            <w:rFonts w:ascii="Arial" w:cs="Arial" w:eastAsia="Arial" w:hAnsi="Arial"/>
            <w:sz w:val="18"/>
            <w:szCs w:val="18"/>
            <w:u w:val="single" w:color="auto"/>
            <w:color w:val="0000FF"/>
          </w:rPr>
          <w:t>Trust Company, as Loan Trustee) (incorporated by reference to Exhibit 4.11 to American’s Current Report on Form 8-K filed on</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93">
        <w:r>
          <w:rPr>
            <w:rFonts w:ascii="Arial" w:cs="Arial" w:eastAsia="Arial" w:hAnsi="Arial"/>
            <w:sz w:val="18"/>
            <w:szCs w:val="18"/>
            <w:u w:val="single" w:color="auto"/>
            <w:color w:val="0000FF"/>
          </w:rPr>
          <w:t>March 16, 2015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hyperlink r:id="rId288">
        <w:r>
          <w:rPr>
            <w:rFonts w:ascii="Arial" w:cs="Arial" w:eastAsia="Arial" w:hAnsi="Arial"/>
            <w:sz w:val="18"/>
            <w:szCs w:val="18"/>
            <w:u w:val="single" w:color="auto"/>
            <w:color w:val="0000FF"/>
          </w:rPr>
          <w:t>Form of Pass Through Trust Certificate, Series 2015-1A (incorporated by reference to Exhibit A to Exhibit 4.2 to American’s</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Current Report on Form 8-K filed on March 16, 2015 (Commission File No. 1-2691)).</w:t>
        </w:r>
      </w:hyperlink>
    </w:p>
    <w:p>
      <w:pPr>
        <w:spacing w:after="0" w:line="6"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w:t>
      </w:r>
      <w:r>
        <w:rPr>
          <w:sz w:val="20"/>
          <w:szCs w:val="20"/>
          <w:color w:val="auto"/>
        </w:rPr>
        <w:tab/>
      </w:r>
      <w:hyperlink r:id="rId289">
        <w:r>
          <w:rPr>
            <w:rFonts w:ascii="Arial" w:cs="Arial" w:eastAsia="Arial" w:hAnsi="Arial"/>
            <w:sz w:val="18"/>
            <w:szCs w:val="18"/>
            <w:u w:val="single" w:color="auto"/>
            <w:color w:val="0000FF"/>
          </w:rPr>
          <w:t>Form of Pass Through Trust Certificate, Series 2015-1B (incorporated by reference to Exhibit A to Exhibit 4.3 to American’s</w:t>
        </w:r>
      </w:hyperlink>
      <w:r>
        <w:rPr>
          <w:rFonts w:ascii="Arial" w:cs="Arial" w:eastAsia="Arial" w:hAnsi="Arial"/>
          <w:sz w:val="18"/>
          <w:szCs w:val="18"/>
          <w:u w:val="single" w:color="auto"/>
          <w:color w:val="0000FF"/>
        </w:rPr>
        <w:t xml:space="preserve"> </w:t>
      </w:r>
      <w:hyperlink r:id="rId289">
        <w:r>
          <w:rPr>
            <w:rFonts w:ascii="Arial" w:cs="Arial" w:eastAsia="Arial" w:hAnsi="Arial"/>
            <w:sz w:val="18"/>
            <w:szCs w:val="18"/>
            <w:u w:val="single" w:color="auto"/>
            <w:color w:val="0000FF"/>
          </w:rPr>
          <w:t>Current Report on Form 8-K filed on March 16, 2015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4.21      </w:t>
      </w:r>
      <w:hyperlink r:id="rId294">
        <w:r>
          <w:rPr>
            <w:rFonts w:ascii="Arial" w:cs="Arial" w:eastAsia="Arial" w:hAnsi="Arial"/>
            <w:sz w:val="18"/>
            <w:szCs w:val="18"/>
            <w:u w:val="single" w:color="auto"/>
            <w:color w:val="0000FF"/>
          </w:rPr>
          <w:t>Revolving Credit Agreement (2015-1A), dated as of March 16, 2015, between Wilmington Trust Company, as Subordination</w:t>
        </w:r>
      </w:hyperlink>
      <w:r>
        <w:rPr>
          <w:rFonts w:ascii="Arial" w:cs="Arial" w:eastAsia="Arial" w:hAnsi="Arial"/>
          <w:sz w:val="18"/>
          <w:szCs w:val="18"/>
          <w:color w:val="auto"/>
        </w:rPr>
        <w:t xml:space="preserve"> </w:t>
      </w:r>
      <w:hyperlink r:id="rId294">
        <w:r>
          <w:rPr>
            <w:rFonts w:ascii="Arial" w:cs="Arial" w:eastAsia="Arial" w:hAnsi="Arial"/>
            <w:sz w:val="18"/>
            <w:szCs w:val="18"/>
            <w:u w:val="single" w:color="auto"/>
            <w:color w:val="0000FF"/>
          </w:rPr>
          <w:t>Agent, as agent and trustee for the trustee of the American Airlines Pass Through Trust 2015-1A, as Borrower, and Crédit</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294">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Exhibit 4.14 to American’s Current Report on Form 8-K filed on March 16, 2015 (Commission File No. 1-2691)).</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4.22      </w:t>
      </w:r>
      <w:hyperlink r:id="rId296">
        <w:r>
          <w:rPr>
            <w:rFonts w:ascii="Arial" w:cs="Arial" w:eastAsia="Arial" w:hAnsi="Arial"/>
            <w:sz w:val="18"/>
            <w:szCs w:val="18"/>
            <w:u w:val="single" w:color="auto"/>
            <w:color w:val="0000FF"/>
          </w:rPr>
          <w:t>Revolving Credit Agreement (2015-1B), dated as of March 16, 2015, between Wilmington Trust Company, as Subordination</w:t>
        </w:r>
      </w:hyperlink>
      <w:r>
        <w:rPr>
          <w:rFonts w:ascii="Arial" w:cs="Arial" w:eastAsia="Arial" w:hAnsi="Arial"/>
          <w:sz w:val="18"/>
          <w:szCs w:val="18"/>
          <w:color w:val="auto"/>
        </w:rPr>
        <w:t xml:space="preserve"> </w:t>
      </w:r>
      <w:hyperlink r:id="rId296">
        <w:r>
          <w:rPr>
            <w:rFonts w:ascii="Arial" w:cs="Arial" w:eastAsia="Arial" w:hAnsi="Arial"/>
            <w:sz w:val="18"/>
            <w:szCs w:val="18"/>
            <w:u w:val="single" w:color="auto"/>
            <w:color w:val="0000FF"/>
          </w:rPr>
          <w:t>Agent, as agent and trustee for the trustee of the American Airlines Pass Through Trust 2015-1B, as Borrower, and Crédit</w:t>
        </w:r>
      </w:hyperlink>
    </w:p>
    <w:p>
      <w:pPr>
        <w:spacing w:after="0" w:line="2" w:lineRule="exact"/>
        <w:rPr>
          <w:sz w:val="20"/>
          <w:szCs w:val="20"/>
          <w:color w:val="auto"/>
        </w:rPr>
      </w:pPr>
    </w:p>
    <w:p>
      <w:pPr>
        <w:jc w:val="both"/>
        <w:ind w:left="920" w:right="20"/>
        <w:spacing w:after="0" w:line="229" w:lineRule="auto"/>
        <w:rPr>
          <w:rFonts w:ascii="Arial" w:cs="Arial" w:eastAsia="Arial" w:hAnsi="Arial"/>
          <w:sz w:val="18"/>
          <w:szCs w:val="18"/>
          <w:u w:val="single" w:color="auto"/>
          <w:color w:val="0000FF"/>
        </w:rPr>
      </w:pPr>
      <w:hyperlink r:id="rId296">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96">
        <w:r>
          <w:rPr>
            <w:rFonts w:ascii="Arial" w:cs="Arial" w:eastAsia="Arial" w:hAnsi="Arial"/>
            <w:sz w:val="18"/>
            <w:szCs w:val="18"/>
            <w:u w:val="single" w:color="auto"/>
            <w:color w:val="0000FF"/>
          </w:rPr>
          <w:t>Exhibit 4.15 to American’s Current Report on Form 8-K filed on March 16,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4.23      </w:t>
      </w:r>
      <w:hyperlink r:id="rId297">
        <w:r>
          <w:rPr>
            <w:rFonts w:ascii="Arial" w:cs="Arial" w:eastAsia="Arial" w:hAnsi="Arial"/>
            <w:sz w:val="18"/>
            <w:szCs w:val="18"/>
            <w:u w:val="single" w:color="auto"/>
            <w:color w:val="0000FF"/>
          </w:rPr>
          <w:t>Trust Supplement No. 2015-2AA, dated as of September 24, 2015, between American Airlines, Inc. and Wilmington Trust</w:t>
        </w:r>
      </w:hyperlink>
      <w:r>
        <w:rPr>
          <w:rFonts w:ascii="Arial" w:cs="Arial" w:eastAsia="Arial" w:hAnsi="Arial"/>
          <w:sz w:val="18"/>
          <w:szCs w:val="18"/>
          <w:color w:val="auto"/>
        </w:rPr>
        <w:t xml:space="preserve"> </w:t>
      </w:r>
      <w:hyperlink r:id="rId297">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97">
        <w:r>
          <w:rPr>
            <w:rFonts w:ascii="Arial" w:cs="Arial" w:eastAsia="Arial" w:hAnsi="Arial"/>
            <w:sz w:val="18"/>
            <w:szCs w:val="18"/>
            <w:u w:val="single" w:color="auto"/>
            <w:color w:val="0000FF"/>
          </w:rPr>
          <w:t>Exhibit 4.2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4.24      </w:t>
      </w:r>
      <w:hyperlink r:id="rId298">
        <w:r>
          <w:rPr>
            <w:rFonts w:ascii="Arial" w:cs="Arial" w:eastAsia="Arial" w:hAnsi="Arial"/>
            <w:sz w:val="18"/>
            <w:szCs w:val="18"/>
            <w:u w:val="single" w:color="auto"/>
            <w:color w:val="0000FF"/>
          </w:rPr>
          <w:t>Trust Supplement No. 2015-2A, dated as of September 24, 2015, between American Airlines, Inc. and Wilmington Trust</w:t>
        </w:r>
      </w:hyperlink>
      <w:r>
        <w:rPr>
          <w:rFonts w:ascii="Arial" w:cs="Arial" w:eastAsia="Arial" w:hAnsi="Arial"/>
          <w:sz w:val="18"/>
          <w:szCs w:val="18"/>
          <w:color w:val="auto"/>
        </w:rPr>
        <w:t xml:space="preserve"> </w:t>
      </w:r>
      <w:hyperlink r:id="rId298">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98">
        <w:r>
          <w:rPr>
            <w:rFonts w:ascii="Arial" w:cs="Arial" w:eastAsia="Arial" w:hAnsi="Arial"/>
            <w:sz w:val="18"/>
            <w:szCs w:val="18"/>
            <w:u w:val="single" w:color="auto"/>
            <w:color w:val="0000FF"/>
          </w:rPr>
          <w:t>Exhibit 4.3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4.25      </w:t>
      </w:r>
      <w:hyperlink r:id="rId299">
        <w:r>
          <w:rPr>
            <w:rFonts w:ascii="Arial" w:cs="Arial" w:eastAsia="Arial" w:hAnsi="Arial"/>
            <w:sz w:val="18"/>
            <w:szCs w:val="18"/>
            <w:u w:val="single" w:color="auto"/>
            <w:color w:val="0000FF"/>
          </w:rPr>
          <w:t>Trust Supplement No. 2015-2B, dated as of September 24, 2015, between American Airlines, Inc. and Wilmington Trust</w:t>
        </w:r>
      </w:hyperlink>
      <w:r>
        <w:rPr>
          <w:rFonts w:ascii="Arial" w:cs="Arial" w:eastAsia="Arial" w:hAnsi="Arial"/>
          <w:sz w:val="18"/>
          <w:szCs w:val="18"/>
          <w:color w:val="auto"/>
        </w:rPr>
        <w:t xml:space="preserve"> </w:t>
      </w:r>
      <w:hyperlink r:id="rId299">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99">
        <w:r>
          <w:rPr>
            <w:rFonts w:ascii="Arial" w:cs="Arial" w:eastAsia="Arial" w:hAnsi="Arial"/>
            <w:sz w:val="18"/>
            <w:szCs w:val="18"/>
            <w:u w:val="single" w:color="auto"/>
            <w:color w:val="0000FF"/>
          </w:rPr>
          <w:t>Exhibit 4.4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4.26      </w:t>
      </w:r>
      <w:hyperlink r:id="rId300">
        <w:r>
          <w:rPr>
            <w:rFonts w:ascii="Arial" w:cs="Arial" w:eastAsia="Arial" w:hAnsi="Arial"/>
            <w:sz w:val="18"/>
            <w:szCs w:val="18"/>
            <w:u w:val="single" w:color="auto"/>
            <w:color w:val="0000FF"/>
          </w:rPr>
          <w:t>Intercreditor Agreement (2015-2), dated as of September 24, 2015, among Wilmington Trust Company, as Trustee of the</w:t>
        </w:r>
      </w:hyperlink>
      <w:r>
        <w:rPr>
          <w:rFonts w:ascii="Arial" w:cs="Arial" w:eastAsia="Arial" w:hAnsi="Arial"/>
          <w:sz w:val="18"/>
          <w:szCs w:val="18"/>
          <w:color w:val="auto"/>
        </w:rPr>
        <w:t xml:space="preserve"> </w:t>
      </w:r>
      <w:hyperlink r:id="rId300">
        <w:r>
          <w:rPr>
            <w:rFonts w:ascii="Arial" w:cs="Arial" w:eastAsia="Arial" w:hAnsi="Arial"/>
            <w:sz w:val="18"/>
            <w:szCs w:val="18"/>
            <w:u w:val="single" w:color="auto"/>
            <w:color w:val="0000FF"/>
          </w:rPr>
          <w:t>American Airlines Pass Through Trust 2015-2AA, as Trustee of the American Airlines Pass Through Trust 2015-2A and as</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300">
        <w:r>
          <w:rPr>
            <w:rFonts w:ascii="Arial" w:cs="Arial" w:eastAsia="Arial" w:hAnsi="Arial"/>
            <w:sz w:val="18"/>
            <w:szCs w:val="18"/>
            <w:u w:val="single" w:color="auto"/>
            <w:color w:val="0000FF"/>
          </w:rPr>
          <w:t>Trustee of the American Airlines Pass Through Trust 2015-2B, Commonwealth Bank of Australia, New York Branch, as Class AA</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Liquidity Provider, Crédit Agricole Corporate and Investment Bank, acting through its New York Branch, as Class A Liquidity</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Provider and Class B Liquidity Provider, and Wilmington Trust Company, as Subordination Agent (incorporated by reference to</w:t>
        </w:r>
      </w:hyperlink>
    </w:p>
    <w:p>
      <w:pPr>
        <w:spacing w:after="0" w:line="2"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300">
        <w:r>
          <w:rPr>
            <w:rFonts w:ascii="Arial" w:cs="Arial" w:eastAsia="Arial" w:hAnsi="Arial"/>
            <w:sz w:val="18"/>
            <w:szCs w:val="18"/>
            <w:u w:val="single" w:color="auto"/>
            <w:color w:val="0000FF"/>
          </w:rPr>
          <w:t>Exhibit 4.5 to American’s Current Report on Form 8-K filed on September 24, 2015 (Commission File No. 1-2691)).</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4.27      </w:t>
      </w:r>
      <w:hyperlink r:id="rId301">
        <w:r>
          <w:rPr>
            <w:rFonts w:ascii="Arial" w:cs="Arial" w:eastAsia="Arial" w:hAnsi="Arial"/>
            <w:sz w:val="18"/>
            <w:szCs w:val="18"/>
            <w:u w:val="single" w:color="auto"/>
            <w:color w:val="0000FF"/>
          </w:rPr>
          <w:t>Note Purchase Agreement, dated as of September 24, 2015, among American Airlines, Inc., Wilmington Trust Company, as Pass</w:t>
        </w:r>
      </w:hyperlink>
      <w:r>
        <w:rPr>
          <w:rFonts w:ascii="Arial" w:cs="Arial" w:eastAsia="Arial" w:hAnsi="Arial"/>
          <w:sz w:val="18"/>
          <w:szCs w:val="18"/>
          <w:color w:val="auto"/>
        </w:rPr>
        <w:t xml:space="preserve"> </w:t>
      </w:r>
      <w:hyperlink r:id="rId301">
        <w:r>
          <w:rPr>
            <w:rFonts w:ascii="Arial" w:cs="Arial" w:eastAsia="Arial" w:hAnsi="Arial"/>
            <w:sz w:val="18"/>
            <w:szCs w:val="18"/>
            <w:u w:val="single" w:color="auto"/>
            <w:color w:val="0000FF"/>
          </w:rPr>
          <w:t>Through Trustee under each of the Pass Through Trust Agreements and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01">
        <w:r>
          <w:rPr>
            <w:rFonts w:ascii="Arial" w:cs="Arial" w:eastAsia="Arial" w:hAnsi="Arial"/>
            <w:sz w:val="18"/>
            <w:szCs w:val="18"/>
            <w:u w:val="single" w:color="auto"/>
            <w:color w:val="0000FF"/>
          </w:rPr>
          <w:t>(incorporated by reference to Exhibit 4.6 to American’s Current Report on Form 8-K filed on September 24, 2015 (Commission</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4.28      </w:t>
      </w:r>
      <w:hyperlink r:id="rId301">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0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01">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(incorporated by reference to Exhibit B to Exhibit 4.6 to American’s Current Report on Form 8-K filed on September 24, 2015</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4.29      </w:t>
      </w:r>
      <w:hyperlink r:id="rId301">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01">
        <w:r>
          <w:rPr>
            <w:rFonts w:ascii="Arial" w:cs="Arial" w:eastAsia="Arial" w:hAnsi="Arial"/>
            <w:sz w:val="18"/>
            <w:szCs w:val="18"/>
            <w:u w:val="single" w:color="auto"/>
            <w:color w:val="0000FF"/>
          </w:rPr>
          <w:t>Trust Company, as Loan Trustee) (incorporated by reference to Exhibit C to Exhibit 4.6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01">
        <w:r>
          <w:rPr>
            <w:rFonts w:ascii="Arial" w:cs="Arial" w:eastAsia="Arial" w:hAnsi="Arial"/>
            <w:sz w:val="18"/>
            <w:szCs w:val="18"/>
            <w:u w:val="single" w:color="auto"/>
            <w:color w:val="0000FF"/>
          </w:rPr>
          <w:t>K filed on September 24, 2015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4.30</w:t>
      </w:r>
      <w:r>
        <w:rPr>
          <w:sz w:val="20"/>
          <w:szCs w:val="20"/>
          <w:color w:val="auto"/>
        </w:rPr>
        <w:tab/>
      </w:r>
      <w:hyperlink r:id="rId297">
        <w:r>
          <w:rPr>
            <w:rFonts w:ascii="Arial" w:cs="Arial" w:eastAsia="Arial" w:hAnsi="Arial"/>
            <w:sz w:val="18"/>
            <w:szCs w:val="18"/>
            <w:u w:val="single" w:color="auto"/>
            <w:color w:val="0000FF"/>
          </w:rPr>
          <w:t>Form of Pass Through Trust Certificate, Series 2015-2AA (incorporated by reference to Exhibit A to Exhibit 4.2 to American’s</w:t>
        </w:r>
      </w:hyperlink>
      <w:r>
        <w:rPr>
          <w:rFonts w:ascii="Arial" w:cs="Arial" w:eastAsia="Arial" w:hAnsi="Arial"/>
          <w:sz w:val="18"/>
          <w:szCs w:val="18"/>
          <w:u w:val="single" w:color="auto"/>
          <w:color w:val="0000FF"/>
        </w:rPr>
        <w:t xml:space="preserve"> </w:t>
      </w:r>
      <w:hyperlink r:id="rId297">
        <w:r>
          <w:rPr>
            <w:rFonts w:ascii="Arial" w:cs="Arial" w:eastAsia="Arial" w:hAnsi="Arial"/>
            <w:sz w:val="18"/>
            <w:szCs w:val="18"/>
            <w:u w:val="single" w:color="auto"/>
            <w:color w:val="0000FF"/>
          </w:rPr>
          <w:t>Current Report on Form 8-K filed on September 24, 2015 (Commission File No. 1-2691)).</w:t>
        </w:r>
      </w:hyperlink>
    </w:p>
    <w:p>
      <w:pPr>
        <w:spacing w:after="0" w:line="6"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4.31</w:t>
      </w:r>
      <w:r>
        <w:rPr>
          <w:sz w:val="20"/>
          <w:szCs w:val="20"/>
          <w:color w:val="auto"/>
        </w:rPr>
        <w:tab/>
      </w:r>
      <w:hyperlink r:id="rId298">
        <w:r>
          <w:rPr>
            <w:rFonts w:ascii="Arial" w:cs="Arial" w:eastAsia="Arial" w:hAnsi="Arial"/>
            <w:sz w:val="18"/>
            <w:szCs w:val="18"/>
            <w:u w:val="single" w:color="auto"/>
            <w:color w:val="0000FF"/>
          </w:rPr>
          <w:t>Form of Pass Through Trust Certificate, Series 2015-2A (incorporated by reference to Exhibit A to Exhibit 4.3 to American’s</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Current Report on Form 8-K filed on September 24, 2015 (Commission File No. 1-2691)).</w:t>
        </w:r>
      </w:hyperlink>
    </w:p>
    <w:p>
      <w:pPr>
        <w:spacing w:after="0" w:line="5"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4.32</w:t>
      </w:r>
      <w:r>
        <w:rPr>
          <w:sz w:val="20"/>
          <w:szCs w:val="20"/>
          <w:color w:val="auto"/>
        </w:rPr>
        <w:tab/>
      </w:r>
      <w:hyperlink r:id="rId299">
        <w:r>
          <w:rPr>
            <w:rFonts w:ascii="Arial" w:cs="Arial" w:eastAsia="Arial" w:hAnsi="Arial"/>
            <w:sz w:val="18"/>
            <w:szCs w:val="18"/>
            <w:u w:val="single" w:color="auto"/>
            <w:color w:val="0000FF"/>
          </w:rPr>
          <w:t>Form of Pass Through Trust Certificate, Series 2015-2B (incorporated by reference to Exhibit A to Exhibit 4.4 to American’s</w:t>
        </w:r>
      </w:hyperlink>
      <w:r>
        <w:rPr>
          <w:rFonts w:ascii="Arial" w:cs="Arial" w:eastAsia="Arial" w:hAnsi="Arial"/>
          <w:sz w:val="18"/>
          <w:szCs w:val="18"/>
          <w:u w:val="single" w:color="auto"/>
          <w:color w:val="0000FF"/>
        </w:rPr>
        <w:t xml:space="preserve"> </w:t>
      </w:r>
      <w:hyperlink r:id="rId299">
        <w:r>
          <w:rPr>
            <w:rFonts w:ascii="Arial" w:cs="Arial" w:eastAsia="Arial" w:hAnsi="Arial"/>
            <w:sz w:val="18"/>
            <w:szCs w:val="18"/>
            <w:u w:val="single" w:color="auto"/>
            <w:color w:val="0000FF"/>
          </w:rPr>
          <w:t>Current Report on Form 8-K filed on September 24, 2015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4.33      </w:t>
      </w:r>
      <w:hyperlink r:id="rId302">
        <w:r>
          <w:rPr>
            <w:rFonts w:ascii="Arial" w:cs="Arial" w:eastAsia="Arial" w:hAnsi="Arial"/>
            <w:sz w:val="18"/>
            <w:szCs w:val="18"/>
            <w:u w:val="single" w:color="auto"/>
            <w:color w:val="0000FF"/>
          </w:rPr>
          <w:t>Revolving  Credit  Agreement  (2015-2AA),  dated  as  of  September  24,  2015,  between  Wilmington  Trust  Company,  as</w:t>
        </w:r>
      </w:hyperlink>
      <w:r>
        <w:rPr>
          <w:rFonts w:ascii="Arial" w:cs="Arial" w:eastAsia="Arial" w:hAnsi="Arial"/>
          <w:sz w:val="18"/>
          <w:szCs w:val="18"/>
          <w:color w:val="auto"/>
        </w:rPr>
        <w:t xml:space="preserve"> </w:t>
      </w:r>
      <w:hyperlink r:id="rId302">
        <w:r>
          <w:rPr>
            <w:rFonts w:ascii="Arial" w:cs="Arial" w:eastAsia="Arial" w:hAnsi="Arial"/>
            <w:sz w:val="18"/>
            <w:szCs w:val="18"/>
            <w:u w:val="single" w:color="auto"/>
            <w:color w:val="0000FF"/>
          </w:rPr>
          <w:t>Subordination Agent, as agent and trustee for the trustee of the American Airlines Pass Through Trust 2015-2AA,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02">
        <w:r>
          <w:rPr>
            <w:rFonts w:ascii="Arial" w:cs="Arial" w:eastAsia="Arial" w:hAnsi="Arial"/>
            <w:sz w:val="18"/>
            <w:szCs w:val="18"/>
            <w:u w:val="single" w:color="auto"/>
            <w:color w:val="0000FF"/>
          </w:rPr>
          <w:t>and Commonwealth Bank of Australia, New York Branch, as Liquidity Provider (incorporated by reference to Exhibit 4.12 to</w:t>
        </w:r>
      </w:hyperlink>
      <w:r>
        <w:rPr>
          <w:rFonts w:ascii="Arial" w:cs="Arial" w:eastAsia="Arial" w:hAnsi="Arial"/>
          <w:sz w:val="18"/>
          <w:szCs w:val="18"/>
          <w:u w:val="single" w:color="auto"/>
          <w:color w:val="0000FF"/>
        </w:rPr>
        <w:t xml:space="preserve"> </w:t>
      </w:r>
      <w:hyperlink r:id="rId302">
        <w:r>
          <w:rPr>
            <w:rFonts w:ascii="Arial" w:cs="Arial" w:eastAsia="Arial" w:hAnsi="Arial"/>
            <w:sz w:val="18"/>
            <w:szCs w:val="18"/>
            <w:u w:val="single" w:color="auto"/>
            <w:color w:val="0000FF"/>
          </w:rPr>
          <w:t>American’s Current Report on Form 8-K filed on September 24,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4.34      </w:t>
      </w:r>
      <w:hyperlink r:id="rId303">
        <w:r>
          <w:rPr>
            <w:rFonts w:ascii="Arial" w:cs="Arial" w:eastAsia="Arial" w:hAnsi="Arial"/>
            <w:sz w:val="18"/>
            <w:szCs w:val="18"/>
            <w:u w:val="single" w:color="auto"/>
            <w:color w:val="0000FF"/>
          </w:rPr>
          <w:t>Revolving Credit Agreement (2015-2A), dated as of September 24, 2015, between Wilmington Trust Company, as Subordination</w:t>
        </w:r>
      </w:hyperlink>
      <w:r>
        <w:rPr>
          <w:rFonts w:ascii="Arial" w:cs="Arial" w:eastAsia="Arial" w:hAnsi="Arial"/>
          <w:sz w:val="18"/>
          <w:szCs w:val="18"/>
          <w:color w:val="auto"/>
        </w:rPr>
        <w:t xml:space="preserve"> </w:t>
      </w:r>
      <w:hyperlink r:id="rId303">
        <w:r>
          <w:rPr>
            <w:rFonts w:ascii="Arial" w:cs="Arial" w:eastAsia="Arial" w:hAnsi="Arial"/>
            <w:sz w:val="18"/>
            <w:szCs w:val="18"/>
            <w:u w:val="single" w:color="auto"/>
            <w:color w:val="0000FF"/>
          </w:rPr>
          <w:t>Agent, as agent and trustee for the trustee of the American Airlines Pass Through Trust 2015-2A, as Borrower, and Crédit</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303">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03">
        <w:r>
          <w:rPr>
            <w:rFonts w:ascii="Arial" w:cs="Arial" w:eastAsia="Arial" w:hAnsi="Arial"/>
            <w:sz w:val="18"/>
            <w:szCs w:val="18"/>
            <w:u w:val="single" w:color="auto"/>
            <w:color w:val="0000FF"/>
          </w:rPr>
          <w:t>Exhibit 4.13 to American’s Current Report on Form 8-K filed on September 24,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4.35      </w:t>
      </w:r>
      <w:hyperlink r:id="rId304">
        <w:r>
          <w:rPr>
            <w:rFonts w:ascii="Arial" w:cs="Arial" w:eastAsia="Arial" w:hAnsi="Arial"/>
            <w:sz w:val="18"/>
            <w:szCs w:val="18"/>
            <w:u w:val="single" w:color="auto"/>
            <w:color w:val="0000FF"/>
          </w:rPr>
          <w:t>Revolving Credit Agreement (2015-2B), dated as of September 24, 2015, between Wilmington Trust Company, as Subordination</w:t>
        </w:r>
      </w:hyperlink>
      <w:r>
        <w:rPr>
          <w:rFonts w:ascii="Arial" w:cs="Arial" w:eastAsia="Arial" w:hAnsi="Arial"/>
          <w:sz w:val="18"/>
          <w:szCs w:val="18"/>
          <w:color w:val="auto"/>
        </w:rPr>
        <w:t xml:space="preserve"> </w:t>
      </w:r>
      <w:hyperlink r:id="rId304">
        <w:r>
          <w:rPr>
            <w:rFonts w:ascii="Arial" w:cs="Arial" w:eastAsia="Arial" w:hAnsi="Arial"/>
            <w:sz w:val="18"/>
            <w:szCs w:val="18"/>
            <w:u w:val="single" w:color="auto"/>
            <w:color w:val="0000FF"/>
          </w:rPr>
          <w:t>Agent, as agent and trustee for the trustee of the American Airlines Pass Through Trust 2015-2B, as Borrower, and Crédit</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304">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04">
        <w:r>
          <w:rPr>
            <w:rFonts w:ascii="Arial" w:cs="Arial" w:eastAsia="Arial" w:hAnsi="Arial"/>
            <w:sz w:val="18"/>
            <w:szCs w:val="18"/>
            <w:u w:val="single" w:color="auto"/>
            <w:color w:val="0000FF"/>
          </w:rPr>
          <w:t>Exhibit 4.14 to American’s Current Report on Form 8-K filed on September 24, 2015 (Commission File No. 1-2691)).</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4.36      </w:t>
      </w:r>
      <w:hyperlink r:id="rId306">
        <w:r>
          <w:rPr>
            <w:rFonts w:ascii="Arial" w:cs="Arial" w:eastAsia="Arial" w:hAnsi="Arial"/>
            <w:sz w:val="18"/>
            <w:szCs w:val="18"/>
            <w:u w:val="single" w:color="auto"/>
            <w:color w:val="0000FF"/>
          </w:rPr>
          <w:t>Note Purchase Agreement, dated as of April 24, 2013, among American Airlines, Inc. (as successor in interest to US Airways,</w:t>
        </w:r>
      </w:hyperlink>
      <w:r>
        <w:rPr>
          <w:rFonts w:ascii="Arial" w:cs="Arial" w:eastAsia="Arial" w:hAnsi="Arial"/>
          <w:sz w:val="18"/>
          <w:szCs w:val="18"/>
          <w:color w:val="auto"/>
        </w:rPr>
        <w:t xml:space="preserve"> </w:t>
      </w:r>
      <w:hyperlink r:id="rId306">
        <w:r>
          <w:rPr>
            <w:rFonts w:ascii="Arial" w:cs="Arial" w:eastAsia="Arial" w:hAnsi="Arial"/>
            <w:sz w:val="18"/>
            <w:szCs w:val="18"/>
            <w:u w:val="single" w:color="auto"/>
            <w:color w:val="0000FF"/>
          </w:rPr>
          <w:t>Inc.) Wilmington Trust Company, as Pass Through Trustee, Wilmington Trust Company, as Subordination Agent, Wilmington</w:t>
        </w:r>
      </w:hyperlink>
    </w:p>
    <w:p>
      <w:pPr>
        <w:spacing w:after="0" w:line="2"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06">
        <w:r>
          <w:rPr>
            <w:rFonts w:ascii="Arial" w:cs="Arial" w:eastAsia="Arial" w:hAnsi="Arial"/>
            <w:sz w:val="18"/>
            <w:szCs w:val="18"/>
            <w:u w:val="single" w:color="auto"/>
            <w:color w:val="0000FF"/>
          </w:rPr>
          <w:t>Trust, National Association, as Escrow Agent, and Wilmington Trust Company, as Paying Agent (incorporated by reference to</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Exhibit 4.12 to US Airways Group’s Current Report on Form 8-K filed on April 25,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4.37      </w:t>
      </w:r>
      <w:hyperlink r:id="rId307">
        <w:r>
          <w:rPr>
            <w:rFonts w:ascii="Arial" w:cs="Arial" w:eastAsia="Arial" w:hAnsi="Arial"/>
            <w:sz w:val="18"/>
            <w:szCs w:val="18"/>
            <w:u w:val="single" w:color="auto"/>
            <w:color w:val="0000FF"/>
          </w:rPr>
          <w:t>Assumption Agreement, dated as of December 30, 2015, by American Airlines, Inc. for the benefit of Wilmington Trust Company,</w:t>
        </w:r>
      </w:hyperlink>
      <w:r>
        <w:rPr>
          <w:rFonts w:ascii="Arial" w:cs="Arial" w:eastAsia="Arial" w:hAnsi="Arial"/>
          <w:sz w:val="18"/>
          <w:szCs w:val="18"/>
          <w:color w:val="auto"/>
        </w:rPr>
        <w:t xml:space="preserve"> </w:t>
      </w:r>
      <w:hyperlink r:id="rId307">
        <w:r>
          <w:rPr>
            <w:rFonts w:ascii="Arial" w:cs="Arial" w:eastAsia="Arial" w:hAnsi="Arial"/>
            <w:sz w:val="18"/>
            <w:szCs w:val="18"/>
            <w:u w:val="single" w:color="auto"/>
            <w:color w:val="0000FF"/>
          </w:rPr>
          <w:t>as pass through trustee, subordination agent, and paying agent, and Wilmington Trust, National Association, as escrow agent, in</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307">
        <w:r>
          <w:rPr>
            <w:rFonts w:ascii="Arial" w:cs="Arial" w:eastAsia="Arial" w:hAnsi="Arial"/>
            <w:sz w:val="18"/>
            <w:szCs w:val="18"/>
            <w:u w:val="single" w:color="auto"/>
            <w:color w:val="0000FF"/>
          </w:rPr>
          <w:t>each case, under the Note Purchase Agreement, dated as of April 24, 2013, among American Airlines, Inc. (as successor in</w:t>
        </w:r>
      </w:hyperlink>
      <w:r>
        <w:rPr>
          <w:rFonts w:ascii="Arial" w:cs="Arial" w:eastAsia="Arial" w:hAnsi="Arial"/>
          <w:sz w:val="18"/>
          <w:szCs w:val="18"/>
          <w:u w:val="single" w:color="auto"/>
          <w:color w:val="0000FF"/>
        </w:rPr>
        <w:t xml:space="preserve"> </w:t>
      </w:r>
      <w:hyperlink r:id="rId307">
        <w:r>
          <w:rPr>
            <w:rFonts w:ascii="Arial" w:cs="Arial" w:eastAsia="Arial" w:hAnsi="Arial"/>
            <w:sz w:val="18"/>
            <w:szCs w:val="18"/>
            <w:u w:val="single" w:color="auto"/>
            <w:color w:val="0000FF"/>
          </w:rPr>
          <w:t>interest to US Airways, Inc.), Wilmington Trust Company, Wilmington Trust, National Association and Wilmington Trust Company</w:t>
        </w:r>
      </w:hyperlink>
      <w:r>
        <w:rPr>
          <w:rFonts w:ascii="Arial" w:cs="Arial" w:eastAsia="Arial" w:hAnsi="Arial"/>
          <w:sz w:val="18"/>
          <w:szCs w:val="18"/>
          <w:u w:val="single" w:color="auto"/>
          <w:color w:val="0000FF"/>
        </w:rPr>
        <w:t xml:space="preserve"> </w:t>
      </w:r>
      <w:hyperlink r:id="rId307">
        <w:r>
          <w:rPr>
            <w:rFonts w:ascii="Arial" w:cs="Arial" w:eastAsia="Arial" w:hAnsi="Arial"/>
            <w:sz w:val="18"/>
            <w:szCs w:val="18"/>
            <w:u w:val="single" w:color="auto"/>
            <w:color w:val="0000FF"/>
          </w:rPr>
          <w:t>(incorporated by reference to Exhibit 10.2 to AAG’s Current Report on Form 8-K filed on December 31, 2015 (Commission File</w:t>
        </w:r>
      </w:hyperlink>
    </w:p>
    <w:p>
      <w:pPr>
        <w:spacing w:after="0" w:line="2"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307">
        <w:r>
          <w:rPr>
            <w:rFonts w:ascii="Arial" w:cs="Arial" w:eastAsia="Arial" w:hAnsi="Arial"/>
            <w:sz w:val="18"/>
            <w:szCs w:val="18"/>
            <w:u w:val="single" w:color="auto"/>
            <w:color w:val="0000FF"/>
          </w:rPr>
          <w:t>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4.38      </w:t>
      </w:r>
      <w:hyperlink r:id="rId308">
        <w:r>
          <w:rPr>
            <w:rFonts w:ascii="Arial" w:cs="Arial" w:eastAsia="Arial" w:hAnsi="Arial"/>
            <w:sz w:val="18"/>
            <w:szCs w:val="18"/>
            <w:u w:val="single" w:color="auto"/>
            <w:color w:val="0000FF"/>
          </w:rPr>
          <w:t>Form of Participation Agreement between American Airlines, Inc. (as successor in interest to US Airways, Inc.), as Owner, and</w:t>
        </w:r>
      </w:hyperlink>
      <w:r>
        <w:rPr>
          <w:rFonts w:ascii="Arial" w:cs="Arial" w:eastAsia="Arial" w:hAnsi="Arial"/>
          <w:sz w:val="18"/>
          <w:szCs w:val="18"/>
          <w:color w:val="auto"/>
        </w:rPr>
        <w:t xml:space="preserve"> </w:t>
      </w:r>
      <w:hyperlink r:id="rId308">
        <w:r>
          <w:rPr>
            <w:rFonts w:ascii="Arial" w:cs="Arial" w:eastAsia="Arial" w:hAnsi="Arial"/>
            <w:sz w:val="18"/>
            <w:szCs w:val="18"/>
            <w:u w:val="single" w:color="auto"/>
            <w:color w:val="0000FF"/>
          </w:rPr>
          <w:t>Wilmington Trust Company, as Indenture Trustee, Subordination Agent and Pass Through Trustee (incorporated by reference to</w:t>
        </w:r>
      </w:hyperlink>
    </w:p>
    <w:p>
      <w:pPr>
        <w:spacing w:after="0" w:line="1" w:lineRule="exact"/>
        <w:rPr>
          <w:sz w:val="20"/>
          <w:szCs w:val="20"/>
          <w:color w:val="auto"/>
        </w:rPr>
      </w:pPr>
    </w:p>
    <w:p>
      <w:pPr>
        <w:jc w:val="center"/>
        <w:ind w:right="-39"/>
        <w:spacing w:after="0"/>
        <w:rPr>
          <w:rFonts w:ascii="Arial" w:cs="Arial" w:eastAsia="Arial" w:hAnsi="Arial"/>
          <w:sz w:val="18"/>
          <w:szCs w:val="18"/>
          <w:u w:val="single" w:color="auto"/>
          <w:color w:val="0000FF"/>
        </w:rPr>
      </w:pPr>
      <w:hyperlink r:id="rId308">
        <w:r>
          <w:rPr>
            <w:rFonts w:ascii="Arial" w:cs="Arial" w:eastAsia="Arial" w:hAnsi="Arial"/>
            <w:sz w:val="18"/>
            <w:szCs w:val="18"/>
            <w:u w:val="single" w:color="auto"/>
            <w:color w:val="0000FF"/>
          </w:rPr>
          <w:t>Exhibit 4.13 to US Airways Group’s Current Report on Form 8-K filed on April 25, 2013 (Commission File No. 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4.39      </w:t>
      </w:r>
      <w:hyperlink r:id="rId309">
        <w:r>
          <w:rPr>
            <w:rFonts w:ascii="Arial" w:cs="Arial" w:eastAsia="Arial" w:hAnsi="Arial"/>
            <w:sz w:val="18"/>
            <w:szCs w:val="18"/>
            <w:u w:val="single" w:color="auto"/>
            <w:color w:val="0000FF"/>
          </w:rPr>
          <w:t>Form of Trust Indenture and Security Agreement among American Airlines, Inc. (as successor in interest to US Airways, Inc.), as</w:t>
        </w:r>
      </w:hyperlink>
      <w:r>
        <w:rPr>
          <w:rFonts w:ascii="Arial" w:cs="Arial" w:eastAsia="Arial" w:hAnsi="Arial"/>
          <w:sz w:val="18"/>
          <w:szCs w:val="18"/>
          <w:color w:val="auto"/>
        </w:rPr>
        <w:t xml:space="preserve"> </w:t>
      </w:r>
      <w:hyperlink r:id="rId309">
        <w:r>
          <w:rPr>
            <w:rFonts w:ascii="Arial" w:cs="Arial" w:eastAsia="Arial" w:hAnsi="Arial"/>
            <w:sz w:val="18"/>
            <w:szCs w:val="18"/>
            <w:u w:val="single" w:color="auto"/>
            <w:color w:val="0000FF"/>
          </w:rPr>
          <w:t>Owner, Wilmington Trust, National Association, as Securities Intermediary, and Wilmington Trust Company, as Indenture Trustee</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09">
        <w:r>
          <w:rPr>
            <w:rFonts w:ascii="Arial" w:cs="Arial" w:eastAsia="Arial" w:hAnsi="Arial"/>
            <w:sz w:val="18"/>
            <w:szCs w:val="18"/>
            <w:u w:val="single" w:color="auto"/>
            <w:color w:val="0000FF"/>
          </w:rPr>
          <w:t>(incorporated by reference to Exhibit 4.14 to US Airways Group’s Current Report on Form 8-K filed on April 25, 2013</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4.40      </w:t>
      </w:r>
      <w:hyperlink r:id="rId310">
        <w:r>
          <w:rPr>
            <w:rFonts w:ascii="Arial" w:cs="Arial" w:eastAsia="Arial" w:hAnsi="Arial"/>
            <w:sz w:val="18"/>
            <w:szCs w:val="18"/>
            <w:u w:val="single" w:color="auto"/>
            <w:color w:val="0000FF"/>
          </w:rPr>
          <w:t>Form of Amendment No. 1 to Participation Agreement between American Airlines, Inc. (as successor in interest to US Airways,</w:t>
        </w:r>
      </w:hyperlink>
      <w:r>
        <w:rPr>
          <w:rFonts w:ascii="Arial" w:cs="Arial" w:eastAsia="Arial" w:hAnsi="Arial"/>
          <w:sz w:val="18"/>
          <w:szCs w:val="18"/>
          <w:color w:val="auto"/>
        </w:rPr>
        <w:t xml:space="preserve"> </w:t>
      </w:r>
      <w:hyperlink r:id="rId310">
        <w:r>
          <w:rPr>
            <w:rFonts w:ascii="Arial" w:cs="Arial" w:eastAsia="Arial" w:hAnsi="Arial"/>
            <w:sz w:val="18"/>
            <w:szCs w:val="18"/>
            <w:u w:val="single" w:color="auto"/>
            <w:color w:val="0000FF"/>
          </w:rPr>
          <w:t>Inc.), as Owner, and Wilmington Trust Company, as Indenture Trustee, Subordination Agent and Pass Through Trustee (Exhibit A</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310">
        <w:r>
          <w:rPr>
            <w:rFonts w:ascii="Arial" w:cs="Arial" w:eastAsia="Arial" w:hAnsi="Arial"/>
            <w:sz w:val="18"/>
            <w:szCs w:val="18"/>
            <w:u w:val="single" w:color="auto"/>
            <w:color w:val="0000FF"/>
          </w:rPr>
          <w:t>to Note Purchase Agreement) (incorporated by reference to Exhibit 4.8 to US Airways Group’s Current Report on Form 8-K filed</w:t>
        </w:r>
      </w:hyperlink>
      <w:r>
        <w:rPr>
          <w:rFonts w:ascii="Arial" w:cs="Arial" w:eastAsia="Arial" w:hAnsi="Arial"/>
          <w:sz w:val="18"/>
          <w:szCs w:val="18"/>
          <w:u w:val="single" w:color="auto"/>
          <w:color w:val="0000FF"/>
        </w:rPr>
        <w:t xml:space="preserve"> </w:t>
      </w:r>
      <w:hyperlink r:id="rId310">
        <w:r>
          <w:rPr>
            <w:rFonts w:ascii="Arial" w:cs="Arial" w:eastAsia="Arial" w:hAnsi="Arial"/>
            <w:sz w:val="18"/>
            <w:szCs w:val="18"/>
            <w:u w:val="single" w:color="auto"/>
            <w:color w:val="0000FF"/>
          </w:rPr>
          <w:t>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4.41      </w:t>
      </w:r>
      <w:hyperlink r:id="rId311">
        <w:r>
          <w:rPr>
            <w:rFonts w:ascii="Arial" w:cs="Arial" w:eastAsia="Arial" w:hAnsi="Arial"/>
            <w:sz w:val="18"/>
            <w:szCs w:val="18"/>
            <w:u w:val="single" w:color="auto"/>
            <w:color w:val="0000FF"/>
          </w:rPr>
          <w:t>Form of Amendment No. 1 to Trust Indenture and Security Agreement among American Airlines, Inc. (as successor in interest to</w:t>
        </w:r>
      </w:hyperlink>
      <w:r>
        <w:rPr>
          <w:rFonts w:ascii="Arial" w:cs="Arial" w:eastAsia="Arial" w:hAnsi="Arial"/>
          <w:sz w:val="18"/>
          <w:szCs w:val="18"/>
          <w:color w:val="auto"/>
        </w:rPr>
        <w:t xml:space="preserve"> </w:t>
      </w:r>
      <w:hyperlink r:id="rId311">
        <w:r>
          <w:rPr>
            <w:rFonts w:ascii="Arial" w:cs="Arial" w:eastAsia="Arial" w:hAnsi="Arial"/>
            <w:sz w:val="18"/>
            <w:szCs w:val="18"/>
            <w:u w:val="single" w:color="auto"/>
            <w:color w:val="0000FF"/>
          </w:rPr>
          <w:t>US Airways, Inc.), as Owner, Wilmington Trust, National Association, as Securities Intermediary, and Wilmington Trust Company,</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11">
        <w:r>
          <w:rPr>
            <w:rFonts w:ascii="Arial" w:cs="Arial" w:eastAsia="Arial" w:hAnsi="Arial"/>
            <w:sz w:val="18"/>
            <w:szCs w:val="18"/>
            <w:u w:val="single" w:color="auto"/>
            <w:color w:val="0000FF"/>
          </w:rPr>
          <w:t>as Indenture Trustee (Exhibit B to Note Purchase Agreement) (incorporated by reference to Exhibit 4.9 to US Airways Group’s</w:t>
        </w:r>
      </w:hyperlink>
      <w:r>
        <w:rPr>
          <w:rFonts w:ascii="Arial" w:cs="Arial" w:eastAsia="Arial" w:hAnsi="Arial"/>
          <w:sz w:val="18"/>
          <w:szCs w:val="18"/>
          <w:u w:val="single" w:color="auto"/>
          <w:color w:val="0000FF"/>
        </w:rPr>
        <w:t xml:space="preserve"> </w:t>
      </w:r>
      <w:hyperlink r:id="rId311">
        <w:r>
          <w:rPr>
            <w:rFonts w:ascii="Arial" w:cs="Arial" w:eastAsia="Arial" w:hAnsi="Arial"/>
            <w:sz w:val="18"/>
            <w:szCs w:val="18"/>
            <w:u w:val="single" w:color="auto"/>
            <w:color w:val="0000FF"/>
          </w:rPr>
          <w:t>Current Report on 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4.42      </w:t>
      </w:r>
      <w:hyperlink r:id="rId312">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12">
        <w:r>
          <w:rPr>
            <w:rFonts w:ascii="Arial" w:cs="Arial" w:eastAsia="Arial" w:hAnsi="Arial"/>
            <w:sz w:val="18"/>
            <w:szCs w:val="18"/>
            <w:u w:val="single" w:color="auto"/>
            <w:color w:val="0000FF"/>
          </w:rPr>
          <w:t>US Airways Group, Inc.) relating to obligations of US Airways under the equipment notes relating to its Series 2013-1 Pass</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12">
        <w:r>
          <w:rPr>
            <w:rFonts w:ascii="Arial" w:cs="Arial" w:eastAsia="Arial" w:hAnsi="Arial"/>
            <w:sz w:val="18"/>
            <w:szCs w:val="18"/>
            <w:u w:val="single" w:color="auto"/>
            <w:color w:val="0000FF"/>
          </w:rPr>
          <w:t>Through Certificates (incorporated by reference to Exhibit 10.5 to AAG’s Quarterly Report on Form 10-Q for the quarter ended</w:t>
        </w:r>
      </w:hyperlink>
      <w:r>
        <w:rPr>
          <w:rFonts w:ascii="Arial" w:cs="Arial" w:eastAsia="Arial" w:hAnsi="Arial"/>
          <w:sz w:val="18"/>
          <w:szCs w:val="18"/>
          <w:u w:val="single" w:color="auto"/>
          <w:color w:val="0000FF"/>
        </w:rPr>
        <w:t xml:space="preserve"> </w:t>
      </w:r>
      <w:hyperlink r:id="rId312">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4.43      </w:t>
      </w:r>
      <w:hyperlink r:id="rId313">
        <w:r>
          <w:rPr>
            <w:rFonts w:ascii="Arial" w:cs="Arial" w:eastAsia="Arial" w:hAnsi="Arial"/>
            <w:sz w:val="18"/>
            <w:szCs w:val="18"/>
            <w:u w:val="single" w:color="auto"/>
            <w:color w:val="0000FF"/>
          </w:rPr>
          <w:t>Form of Participation Agreement between American Airlines, Inc. (as successor in interest to US Airways, Inc.), as Owner, and</w:t>
        </w:r>
      </w:hyperlink>
      <w:r>
        <w:rPr>
          <w:rFonts w:ascii="Arial" w:cs="Arial" w:eastAsia="Arial" w:hAnsi="Arial"/>
          <w:sz w:val="18"/>
          <w:szCs w:val="18"/>
          <w:color w:val="auto"/>
        </w:rPr>
        <w:t xml:space="preserve"> </w:t>
      </w:r>
      <w:hyperlink r:id="rId313">
        <w:r>
          <w:rPr>
            <w:rFonts w:ascii="Arial" w:cs="Arial" w:eastAsia="Arial" w:hAnsi="Arial"/>
            <w:sz w:val="18"/>
            <w:szCs w:val="18"/>
            <w:u w:val="single" w:color="auto"/>
            <w:color w:val="0000FF"/>
          </w:rPr>
          <w:t>Wilmington Trust Company, as Indenture Trustee, Subordination Agent and Pass Through Trustee (Schedule I to Amendment</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13">
        <w:r>
          <w:rPr>
            <w:rFonts w:ascii="Arial" w:cs="Arial" w:eastAsia="Arial" w:hAnsi="Arial"/>
            <w:sz w:val="18"/>
            <w:szCs w:val="18"/>
            <w:u w:val="single" w:color="auto"/>
            <w:color w:val="0000FF"/>
          </w:rPr>
          <w:t>No. 1 to Note Purchase Agreement (2012-2)) (incorporated by reference to Exhibit 4.10 to US Airways Group’s Current Report on</w:t>
        </w:r>
      </w:hyperlink>
      <w:r>
        <w:rPr>
          <w:rFonts w:ascii="Arial" w:cs="Arial" w:eastAsia="Arial" w:hAnsi="Arial"/>
          <w:sz w:val="18"/>
          <w:szCs w:val="18"/>
          <w:u w:val="single" w:color="auto"/>
          <w:color w:val="0000FF"/>
        </w:rPr>
        <w:t xml:space="preserve"> </w:t>
      </w:r>
      <w:hyperlink r:id="rId313">
        <w:r>
          <w:rPr>
            <w:rFonts w:ascii="Arial" w:cs="Arial" w:eastAsia="Arial" w:hAnsi="Arial"/>
            <w:sz w:val="18"/>
            <w:szCs w:val="18"/>
            <w:u w:val="single" w:color="auto"/>
            <w:color w:val="0000FF"/>
          </w:rPr>
          <w:t>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4.44      </w:t>
      </w:r>
      <w:hyperlink r:id="rId314">
        <w:r>
          <w:rPr>
            <w:rFonts w:ascii="Arial" w:cs="Arial" w:eastAsia="Arial" w:hAnsi="Arial"/>
            <w:sz w:val="18"/>
            <w:szCs w:val="18"/>
            <w:u w:val="single" w:color="auto"/>
            <w:color w:val="0000FF"/>
          </w:rPr>
          <w:t>Form of Trust Indenture and Security Agreement among American Airlines, Inc. (as successor in interest to US Airways, Inc.), as</w:t>
        </w:r>
      </w:hyperlink>
      <w:r>
        <w:rPr>
          <w:rFonts w:ascii="Arial" w:cs="Arial" w:eastAsia="Arial" w:hAnsi="Arial"/>
          <w:sz w:val="18"/>
          <w:szCs w:val="18"/>
          <w:color w:val="auto"/>
        </w:rPr>
        <w:t xml:space="preserve"> </w:t>
      </w:r>
      <w:hyperlink r:id="rId314">
        <w:r>
          <w:rPr>
            <w:rFonts w:ascii="Arial" w:cs="Arial" w:eastAsia="Arial" w:hAnsi="Arial"/>
            <w:sz w:val="18"/>
            <w:szCs w:val="18"/>
            <w:u w:val="single" w:color="auto"/>
            <w:color w:val="0000FF"/>
          </w:rPr>
          <w:t>Owner, Wilmington Trust, National Association, as Securities Intermediary, and Wilmington Trust Company, as Indenture Trustee</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14">
        <w:r>
          <w:rPr>
            <w:rFonts w:ascii="Arial" w:cs="Arial" w:eastAsia="Arial" w:hAnsi="Arial"/>
            <w:sz w:val="18"/>
            <w:szCs w:val="18"/>
            <w:u w:val="single" w:color="auto"/>
            <w:color w:val="0000FF"/>
          </w:rPr>
          <w:t>(Exhibit A to Amendment No. 1 to Note Purchase Agreement (2012-2)) (incorporated by reference to Exhibit 4.11 to US Airways</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Group’s Current Report on 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4.45      </w:t>
      </w:r>
      <w:hyperlink r:id="rId315">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15">
        <w:r>
          <w:rPr>
            <w:rFonts w:ascii="Arial" w:cs="Arial" w:eastAsia="Arial" w:hAnsi="Arial"/>
            <w:sz w:val="18"/>
            <w:szCs w:val="18"/>
            <w:u w:val="single" w:color="auto"/>
            <w:color w:val="0000FF"/>
          </w:rPr>
          <w:t>Airways, Inc.), as Owner, and Wilmington Trust Company, as Indenture Trustee and Subordination Agent) (incorporated by</w:t>
        </w:r>
      </w:hyperlink>
    </w:p>
    <w:p>
      <w:pPr>
        <w:ind w:left="920"/>
        <w:spacing w:after="0" w:line="204" w:lineRule="auto"/>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reference to Exhibit 4.14 to US Airways Group’s Current Report on Form 8-K filed on December 23, 2010 (Commission File No.</w:t>
        </w:r>
      </w:hyperlink>
    </w:p>
    <w:p>
      <w:pPr>
        <w:ind w:left="920"/>
        <w:spacing w:after="0"/>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4.46      </w:t>
      </w:r>
      <w:hyperlink r:id="rId316">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16">
        <w:r>
          <w:rPr>
            <w:rFonts w:ascii="Arial" w:cs="Arial" w:eastAsia="Arial" w:hAnsi="Arial"/>
            <w:sz w:val="18"/>
            <w:szCs w:val="18"/>
            <w:u w:val="single" w:color="auto"/>
            <w:color w:val="0000FF"/>
          </w:rPr>
          <w:t>Airways, Inc.), as Owner, and Wilmington Trust Company, as Indenture Trustee) (incorporated by reference to Exhibit 4.15 to US</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16">
        <w:r>
          <w:rPr>
            <w:rFonts w:ascii="Arial" w:cs="Arial" w:eastAsia="Arial" w:hAnsi="Arial"/>
            <w:sz w:val="18"/>
            <w:szCs w:val="18"/>
            <w:u w:val="single" w:color="auto"/>
            <w:color w:val="0000FF"/>
          </w:rPr>
          <w:t>Airways Group’s Current Report on Form 8-K filed on December 23, 2010 (Commission File No. 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4.47      </w:t>
      </w:r>
      <w:hyperlink r:id="rId317">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17">
        <w:r>
          <w:rPr>
            <w:rFonts w:ascii="Arial" w:cs="Arial" w:eastAsia="Arial" w:hAnsi="Arial"/>
            <w:sz w:val="18"/>
            <w:szCs w:val="18"/>
            <w:u w:val="single" w:color="auto"/>
            <w:color w:val="0000FF"/>
          </w:rPr>
          <w:t>US Airways Group, Inc.) relating to obligations of US Airways under the equipment notes relating to its Series 2010-1 Pass</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17">
        <w:r>
          <w:rPr>
            <w:rFonts w:ascii="Arial" w:cs="Arial" w:eastAsia="Arial" w:hAnsi="Arial"/>
            <w:sz w:val="18"/>
            <w:szCs w:val="18"/>
            <w:u w:val="single" w:color="auto"/>
            <w:color w:val="0000FF"/>
          </w:rPr>
          <w:t>Through Certificates (incorporated by reference to Exhibit 10.1 to AAG’s Quarterly Report on Form 10-Q for the quarter ended</w:t>
        </w:r>
      </w:hyperlink>
      <w:r>
        <w:rPr>
          <w:rFonts w:ascii="Arial" w:cs="Arial" w:eastAsia="Arial" w:hAnsi="Arial"/>
          <w:sz w:val="18"/>
          <w:szCs w:val="18"/>
          <w:u w:val="single" w:color="auto"/>
          <w:color w:val="0000FF"/>
        </w:rPr>
        <w:t xml:space="preserve"> </w:t>
      </w:r>
      <w:hyperlink r:id="rId317">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4.48      </w:t>
      </w:r>
      <w:hyperlink r:id="rId318">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18">
        <w:r>
          <w:rPr>
            <w:rFonts w:ascii="Arial" w:cs="Arial" w:eastAsia="Arial" w:hAnsi="Arial"/>
            <w:sz w:val="18"/>
            <w:szCs w:val="18"/>
            <w:u w:val="single" w:color="auto"/>
            <w:color w:val="0000FF"/>
          </w:rPr>
          <w:t>Airways, Inc.), as Owner, and Wilmington Trust Company, as Indenture Trustee and Subordination Agent) (incorporated by</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reference to Exhibit 4.18 to US Airways Group’s Current Report on Form 8-K filed on July 1, 2011 (Commission File No. 1-</w:t>
        </w:r>
      </w:hyperlink>
      <w:hyperlink r:id="rId318">
        <w:r>
          <w:rPr>
            <w:rFonts w:ascii="Arial" w:cs="Arial" w:eastAsia="Arial" w:hAnsi="Arial"/>
            <w:sz w:val="18"/>
            <w:szCs w:val="18"/>
            <w:u w:val="single" w:color="auto"/>
            <w:color w:val="0000FF"/>
          </w:rPr>
          <w:t>08444)).</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4.49      </w:t>
      </w:r>
      <w:hyperlink r:id="rId320">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20">
        <w:r>
          <w:rPr>
            <w:rFonts w:ascii="Arial" w:cs="Arial" w:eastAsia="Arial" w:hAnsi="Arial"/>
            <w:sz w:val="18"/>
            <w:szCs w:val="18"/>
            <w:u w:val="single" w:color="auto"/>
            <w:color w:val="0000FF"/>
          </w:rPr>
          <w:t>Airways, Inc.), as Owner, and Wilmington Trust Company, as Indenture Trustee) (incorporated by reference to Exhibit 4.19 to US</w:t>
        </w:r>
      </w:hyperlink>
    </w:p>
    <w:p>
      <w:pPr>
        <w:spacing w:after="0" w:line="2" w:lineRule="exact"/>
        <w:rPr>
          <w:sz w:val="20"/>
          <w:szCs w:val="20"/>
          <w:color w:val="auto"/>
        </w:rPr>
      </w:pPr>
    </w:p>
    <w:p>
      <w:pPr>
        <w:ind w:left="920"/>
        <w:spacing w:after="0"/>
        <w:rPr>
          <w:rFonts w:ascii="Arial" w:cs="Arial" w:eastAsia="Arial" w:hAnsi="Arial"/>
          <w:sz w:val="18"/>
          <w:szCs w:val="18"/>
          <w:u w:val="single" w:color="auto"/>
          <w:color w:val="0000FF"/>
        </w:rPr>
      </w:pPr>
      <w:hyperlink r:id="rId320">
        <w:r>
          <w:rPr>
            <w:rFonts w:ascii="Arial" w:cs="Arial" w:eastAsia="Arial" w:hAnsi="Arial"/>
            <w:sz w:val="18"/>
            <w:szCs w:val="18"/>
            <w:u w:val="single" w:color="auto"/>
            <w:color w:val="0000FF"/>
          </w:rPr>
          <w:t>Airways Group’s Current Report on Form 8-K filed on July 1, 2011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4.50      </w:t>
      </w:r>
      <w:hyperlink r:id="rId321">
        <w:r>
          <w:rPr>
            <w:rFonts w:ascii="Arial" w:cs="Arial" w:eastAsia="Arial" w:hAnsi="Arial"/>
            <w:sz w:val="18"/>
            <w:szCs w:val="18"/>
            <w:u w:val="single" w:color="auto"/>
            <w:color w:val="0000FF"/>
          </w:rPr>
          <w:t>Guarantee, dated as of June 28, 2011, from American Airlines Group Inc. (as successor in interest to US Airways Group, Inc.)</w:t>
        </w:r>
      </w:hyperlink>
      <w:r>
        <w:rPr>
          <w:rFonts w:ascii="Arial" w:cs="Arial" w:eastAsia="Arial" w:hAnsi="Arial"/>
          <w:sz w:val="18"/>
          <w:szCs w:val="18"/>
          <w:color w:val="auto"/>
        </w:rPr>
        <w:t xml:space="preserve"> </w:t>
      </w:r>
      <w:hyperlink r:id="rId321">
        <w:r>
          <w:rPr>
            <w:rFonts w:ascii="Arial" w:cs="Arial" w:eastAsia="Arial" w:hAnsi="Arial"/>
            <w:sz w:val="18"/>
            <w:szCs w:val="18"/>
            <w:u w:val="single" w:color="auto"/>
            <w:color w:val="0000FF"/>
          </w:rPr>
          <w:t>(incorporated by reference to Exhibit 4.23 to US Airways Group’s Current Report on Form 8-K filed on July 1, 2011 (Commission</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21">
        <w:r>
          <w:rPr>
            <w:rFonts w:ascii="Arial" w:cs="Arial" w:eastAsia="Arial" w:hAnsi="Arial"/>
            <w:sz w:val="18"/>
            <w:szCs w:val="18"/>
            <w:u w:val="single" w:color="auto"/>
            <w:color w:val="0000FF"/>
          </w:rPr>
          <w:t>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4.51      </w:t>
      </w:r>
      <w:hyperlink r:id="rId322">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22">
        <w:r>
          <w:rPr>
            <w:rFonts w:ascii="Arial" w:cs="Arial" w:eastAsia="Arial" w:hAnsi="Arial"/>
            <w:sz w:val="18"/>
            <w:szCs w:val="18"/>
            <w:u w:val="single" w:color="auto"/>
            <w:color w:val="0000FF"/>
          </w:rPr>
          <w:t>US Airways Group, Inc.) relating to obligations of US Airways under the equipment notes relating to its Series 2011-1 Pass</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22">
        <w:r>
          <w:rPr>
            <w:rFonts w:ascii="Arial" w:cs="Arial" w:eastAsia="Arial" w:hAnsi="Arial"/>
            <w:sz w:val="18"/>
            <w:szCs w:val="18"/>
            <w:u w:val="single" w:color="auto"/>
            <w:color w:val="0000FF"/>
          </w:rPr>
          <w:t>Through Certificates (incorporated by reference to Exhibit 10.2 to AAG’s Quarterly Report on Form 10-Q for the quarter ended</w:t>
        </w:r>
      </w:hyperlink>
      <w:r>
        <w:rPr>
          <w:rFonts w:ascii="Arial" w:cs="Arial" w:eastAsia="Arial" w:hAnsi="Arial"/>
          <w:sz w:val="18"/>
          <w:szCs w:val="18"/>
          <w:u w:val="single" w:color="auto"/>
          <w:color w:val="0000FF"/>
        </w:rPr>
        <w:t xml:space="preserve"> </w:t>
      </w:r>
      <w:hyperlink r:id="rId322">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4.52      </w:t>
      </w:r>
      <w:hyperlink r:id="rId323">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23">
        <w:r>
          <w:rPr>
            <w:rFonts w:ascii="Arial" w:cs="Arial" w:eastAsia="Arial" w:hAnsi="Arial"/>
            <w:sz w:val="18"/>
            <w:szCs w:val="18"/>
            <w:u w:val="single" w:color="auto"/>
            <w:color w:val="0000FF"/>
          </w:rPr>
          <w:t>Airways, Inc.), as Owner, and Wilmington Trust Company, as Indenture Trustee and Subordination Agent) (incorporated by</w:t>
        </w:r>
      </w:hyperlink>
    </w:p>
    <w:p>
      <w:pPr>
        <w:spacing w:after="0" w:line="1" w:lineRule="exact"/>
        <w:rPr>
          <w:sz w:val="20"/>
          <w:szCs w:val="20"/>
          <w:color w:val="auto"/>
        </w:rPr>
      </w:pPr>
    </w:p>
    <w:p>
      <w:pPr>
        <w:jc w:val="both"/>
        <w:ind w:left="920" w:right="20"/>
        <w:spacing w:after="0" w:line="229" w:lineRule="auto"/>
        <w:rPr>
          <w:rFonts w:ascii="Arial" w:cs="Arial" w:eastAsia="Arial" w:hAnsi="Arial"/>
          <w:sz w:val="18"/>
          <w:szCs w:val="18"/>
          <w:u w:val="single" w:color="auto"/>
          <w:color w:val="0000FF"/>
        </w:rPr>
      </w:pPr>
      <w:hyperlink r:id="rId323">
        <w:r>
          <w:rPr>
            <w:rFonts w:ascii="Arial" w:cs="Arial" w:eastAsia="Arial" w:hAnsi="Arial"/>
            <w:sz w:val="18"/>
            <w:szCs w:val="18"/>
            <w:u w:val="single" w:color="auto"/>
            <w:color w:val="0000FF"/>
          </w:rPr>
          <w:t>reference to Exhibit 4.18 to US Airways Group’s Current Report on Form 8-K filed on May 16, 2012 (Commission File No. 1-</w:t>
        </w:r>
      </w:hyperlink>
      <w:hyperlink r:id="rId323">
        <w:r>
          <w:rPr>
            <w:rFonts w:ascii="Arial" w:cs="Arial" w:eastAsia="Arial" w:hAnsi="Arial"/>
            <w:sz w:val="18"/>
            <w:szCs w:val="18"/>
            <w:u w:val="single" w:color="auto"/>
            <w:color w:val="0000FF"/>
          </w:rPr>
          <w:t>08444)).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4.53      </w:t>
      </w:r>
      <w:hyperlink r:id="rId324">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24">
        <w:r>
          <w:rPr>
            <w:rFonts w:ascii="Arial" w:cs="Arial" w:eastAsia="Arial" w:hAnsi="Arial"/>
            <w:sz w:val="18"/>
            <w:szCs w:val="18"/>
            <w:u w:val="single" w:color="auto"/>
            <w:color w:val="0000FF"/>
          </w:rPr>
          <w:t>Airways, Inc.), as Owner, and Wilmington Trust Company, as Indenture Trustee) (incorporated by reference to Exhibit 4.19 to US</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24">
        <w:r>
          <w:rPr>
            <w:rFonts w:ascii="Arial" w:cs="Arial" w:eastAsia="Arial" w:hAnsi="Arial"/>
            <w:sz w:val="18"/>
            <w:szCs w:val="18"/>
            <w:u w:val="single" w:color="auto"/>
            <w:color w:val="0000FF"/>
          </w:rPr>
          <w:t>Airways Group’s Current Report on Form 8-K filed on May 16, 2012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4.54      </w:t>
      </w:r>
      <w:hyperlink r:id="rId325">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25">
        <w:r>
          <w:rPr>
            <w:rFonts w:ascii="Arial" w:cs="Arial" w:eastAsia="Arial" w:hAnsi="Arial"/>
            <w:sz w:val="18"/>
            <w:szCs w:val="18"/>
            <w:u w:val="single" w:color="auto"/>
            <w:color w:val="0000FF"/>
          </w:rPr>
          <w:t>US Airways Group, Inc.) relating to obligations of US Airways under the equipment notes relating to its Series 2012-1 Pass</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25">
        <w:r>
          <w:rPr>
            <w:rFonts w:ascii="Arial" w:cs="Arial" w:eastAsia="Arial" w:hAnsi="Arial"/>
            <w:sz w:val="18"/>
            <w:szCs w:val="18"/>
            <w:u w:val="single" w:color="auto"/>
            <w:color w:val="0000FF"/>
          </w:rPr>
          <w:t>Through Certificates (incorporated by reference to Exhibit 10.3 to AAG’s Quarterly Report on Form 10-Q for the quarter ended</w:t>
        </w:r>
      </w:hyperlink>
      <w:r>
        <w:rPr>
          <w:rFonts w:ascii="Arial" w:cs="Arial" w:eastAsia="Arial" w:hAnsi="Arial"/>
          <w:sz w:val="18"/>
          <w:szCs w:val="18"/>
          <w:u w:val="single" w:color="auto"/>
          <w:color w:val="0000FF"/>
        </w:rPr>
        <w:t xml:space="preserve"> </w:t>
      </w:r>
      <w:hyperlink r:id="rId325">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4.55      </w:t>
      </w:r>
      <w:hyperlink r:id="rId326">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26">
        <w:r>
          <w:rPr>
            <w:rFonts w:ascii="Arial" w:cs="Arial" w:eastAsia="Arial" w:hAnsi="Arial"/>
            <w:sz w:val="18"/>
            <w:szCs w:val="18"/>
            <w:u w:val="single" w:color="auto"/>
            <w:color w:val="0000FF"/>
          </w:rPr>
          <w:t>Airways, Inc.), as Owner, and Wilmington Trust Company, as Indenture Trustee and Subordination Agent) (incorporated by</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26">
        <w:r>
          <w:rPr>
            <w:rFonts w:ascii="Arial" w:cs="Arial" w:eastAsia="Arial" w:hAnsi="Arial"/>
            <w:sz w:val="18"/>
            <w:szCs w:val="18"/>
            <w:u w:val="single" w:color="auto"/>
            <w:color w:val="0000FF"/>
          </w:rPr>
          <w:t>reference to Exhibit B to Exhibit 4.12 to US Airways Group’s Current Report on Form 8-K filed on December 13, 2012</w:t>
        </w:r>
      </w:hyperlink>
      <w:r>
        <w:rPr>
          <w:rFonts w:ascii="Arial" w:cs="Arial" w:eastAsia="Arial" w:hAnsi="Arial"/>
          <w:sz w:val="18"/>
          <w:szCs w:val="18"/>
          <w:u w:val="single" w:color="auto"/>
          <w:color w:val="0000FF"/>
        </w:rPr>
        <w:t xml:space="preserve"> </w:t>
      </w:r>
      <w:hyperlink r:id="rId326">
        <w:r>
          <w:rPr>
            <w:rFonts w:ascii="Arial" w:cs="Arial" w:eastAsia="Arial" w:hAnsi="Arial"/>
            <w:sz w:val="18"/>
            <w:szCs w:val="18"/>
            <w:u w:val="single" w:color="auto"/>
            <w:color w:val="0000FF"/>
          </w:rPr>
          <w:t>(Commission File No. 1-08444)).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4.56      </w:t>
      </w:r>
      <w:hyperlink r:id="rId326">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26">
        <w:r>
          <w:rPr>
            <w:rFonts w:ascii="Arial" w:cs="Arial" w:eastAsia="Arial" w:hAnsi="Arial"/>
            <w:sz w:val="18"/>
            <w:szCs w:val="18"/>
            <w:u w:val="single" w:color="auto"/>
            <w:color w:val="0000FF"/>
          </w:rPr>
          <w:t>Airways, Inc.), as Owner, and Wilmington Trust Company, as Indenture Trustee) (incorporated by reference to Exhibit C to Exhibit</w:t>
        </w:r>
      </w:hyperlink>
    </w:p>
    <w:p>
      <w:pPr>
        <w:spacing w:after="0" w:line="1" w:lineRule="exact"/>
        <w:rPr>
          <w:sz w:val="20"/>
          <w:szCs w:val="20"/>
          <w:color w:val="auto"/>
        </w:rPr>
      </w:pPr>
    </w:p>
    <w:p>
      <w:pPr>
        <w:jc w:val="center"/>
        <w:ind w:right="-19"/>
        <w:spacing w:after="0"/>
        <w:rPr>
          <w:rFonts w:ascii="Arial" w:cs="Arial" w:eastAsia="Arial" w:hAnsi="Arial"/>
          <w:sz w:val="18"/>
          <w:szCs w:val="18"/>
          <w:u w:val="single" w:color="auto"/>
          <w:color w:val="0000FF"/>
        </w:rPr>
      </w:pPr>
      <w:hyperlink r:id="rId326">
        <w:r>
          <w:rPr>
            <w:rFonts w:ascii="Arial" w:cs="Arial" w:eastAsia="Arial" w:hAnsi="Arial"/>
            <w:sz w:val="18"/>
            <w:szCs w:val="18"/>
            <w:u w:val="single" w:color="auto"/>
            <w:color w:val="0000FF"/>
          </w:rPr>
          <w:t>4.12 to US Airways Group’s Current Report on Form 8-K filed on December 13, 2012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4.57      </w:t>
      </w:r>
      <w:hyperlink r:id="rId327">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27">
        <w:r>
          <w:rPr>
            <w:rFonts w:ascii="Arial" w:cs="Arial" w:eastAsia="Arial" w:hAnsi="Arial"/>
            <w:sz w:val="18"/>
            <w:szCs w:val="18"/>
            <w:u w:val="single" w:color="auto"/>
            <w:color w:val="0000FF"/>
          </w:rPr>
          <w:t>US Airways Group, Inc.) relating to obligations of US Airways under the equipment notes relating to its Series 2012-2 Pass</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27">
        <w:r>
          <w:rPr>
            <w:rFonts w:ascii="Arial" w:cs="Arial" w:eastAsia="Arial" w:hAnsi="Arial"/>
            <w:sz w:val="18"/>
            <w:szCs w:val="18"/>
            <w:u w:val="single" w:color="auto"/>
            <w:color w:val="0000FF"/>
          </w:rPr>
          <w:t>Through Certificates (incorporated by reference to Exhibit 10.4 to AAG’s Quarterly Report on Form 10-Q for the quarter ended</w:t>
        </w:r>
      </w:hyperlink>
      <w:r>
        <w:rPr>
          <w:rFonts w:ascii="Arial" w:cs="Arial" w:eastAsia="Arial" w:hAnsi="Arial"/>
          <w:sz w:val="18"/>
          <w:szCs w:val="18"/>
          <w:u w:val="single" w:color="auto"/>
          <w:color w:val="0000FF"/>
        </w:rPr>
        <w:t xml:space="preserve"> </w:t>
      </w:r>
      <w:hyperlink r:id="rId327">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4.58      </w:t>
      </w:r>
      <w:hyperlink r:id="rId328">
        <w:r>
          <w:rPr>
            <w:rFonts w:ascii="Arial" w:cs="Arial" w:eastAsia="Arial" w:hAnsi="Arial"/>
            <w:sz w:val="18"/>
            <w:szCs w:val="18"/>
            <w:u w:val="single" w:color="auto"/>
            <w:color w:val="0000FF"/>
          </w:rPr>
          <w:t>Form of Assumption Agreement, dated as of December 30, 2015, by American Airlines, Inc. for the benefit of Wilmington Trust</w:t>
        </w:r>
      </w:hyperlink>
      <w:r>
        <w:rPr>
          <w:rFonts w:ascii="Arial" w:cs="Arial" w:eastAsia="Arial" w:hAnsi="Arial"/>
          <w:sz w:val="18"/>
          <w:szCs w:val="18"/>
          <w:color w:val="auto"/>
        </w:rPr>
        <w:t xml:space="preserve"> </w:t>
      </w:r>
      <w:hyperlink r:id="rId328">
        <w:r>
          <w:rPr>
            <w:rFonts w:ascii="Arial" w:cs="Arial" w:eastAsia="Arial" w:hAnsi="Arial"/>
            <w:sz w:val="18"/>
            <w:szCs w:val="18"/>
            <w:u w:val="single" w:color="auto"/>
            <w:color w:val="0000FF"/>
          </w:rPr>
          <w:t>Company, as Indenture Trustee, to (i) each Participation Agreement between, among others, American Airlines, Inc. (as</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328">
        <w:r>
          <w:rPr>
            <w:rFonts w:ascii="Arial" w:cs="Arial" w:eastAsia="Arial" w:hAnsi="Arial"/>
            <w:sz w:val="18"/>
            <w:szCs w:val="18"/>
            <w:u w:val="single" w:color="auto"/>
            <w:color w:val="0000FF"/>
          </w:rPr>
          <w:t>successor in interest to US Airways, Inc.) and Wilmington Trust Company, as Indenture Trustee, entered into pursuant to the</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2010-1, 2011-1, 2012-1, 2012-2 and 2013-1 EETC note purchase agreements and (ii) each Trust Indenture and Security</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Agreement, between, among others, American Airlines, Inc. (as successor in interest to US Airways, Inc.), and Wilmington Trust</w:t>
        </w:r>
      </w:hyperlink>
    </w:p>
    <w:p>
      <w:pPr>
        <w:spacing w:after="0" w:line="2" w:lineRule="exact"/>
        <w:rPr>
          <w:rFonts w:ascii="Arial" w:cs="Arial" w:eastAsia="Arial" w:hAnsi="Arial"/>
          <w:sz w:val="18"/>
          <w:szCs w:val="18"/>
          <w:u w:val="single" w:color="auto"/>
          <w:color w:val="0000FF"/>
        </w:rPr>
      </w:pPr>
    </w:p>
    <w:p>
      <w:pPr>
        <w:jc w:val="both"/>
        <w:ind w:left="920"/>
        <w:spacing w:after="0" w:line="221" w:lineRule="auto"/>
        <w:rPr>
          <w:rFonts w:ascii="Arial" w:cs="Arial" w:eastAsia="Arial" w:hAnsi="Arial"/>
          <w:sz w:val="18"/>
          <w:szCs w:val="18"/>
          <w:u w:val="single" w:color="auto"/>
          <w:color w:val="0000FF"/>
        </w:rPr>
      </w:pPr>
      <w:hyperlink r:id="rId328">
        <w:r>
          <w:rPr>
            <w:rFonts w:ascii="Arial" w:cs="Arial" w:eastAsia="Arial" w:hAnsi="Arial"/>
            <w:sz w:val="18"/>
            <w:szCs w:val="18"/>
            <w:u w:val="single" w:color="auto"/>
            <w:color w:val="0000FF"/>
          </w:rPr>
          <w:t>Company, as Indenture Trustee entered into pursuant to the 2010-1, 2011-1, 2012-1, 2012-2 and 2013-1 EETC note purchase</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agreements (incorporated by reference to Exhibit 10.3 to AAG’s Current Report on Form 8-K filed on December 31, 2015</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(Commission File No. 1-8400)).</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4.59      </w:t>
      </w:r>
      <w:hyperlink r:id="rId329">
        <w:r>
          <w:rPr>
            <w:rFonts w:ascii="Arial" w:cs="Arial" w:eastAsia="Arial" w:hAnsi="Arial"/>
            <w:sz w:val="18"/>
            <w:szCs w:val="18"/>
            <w:u w:val="single" w:color="auto"/>
            <w:color w:val="0000FF"/>
          </w:rPr>
          <w:t>Trust Supplement No. 2016-1AA, dated as of January 19, 2016, between American Airlines, Inc. and Wilmington Trust Company,</w:t>
        </w:r>
      </w:hyperlink>
      <w:r>
        <w:rPr>
          <w:rFonts w:ascii="Arial" w:cs="Arial" w:eastAsia="Arial" w:hAnsi="Arial"/>
          <w:sz w:val="18"/>
          <w:szCs w:val="18"/>
          <w:color w:val="auto"/>
        </w:rPr>
        <w:t xml:space="preserve"> </w:t>
      </w:r>
      <w:hyperlink r:id="rId329">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29">
        <w:r>
          <w:rPr>
            <w:rFonts w:ascii="Arial" w:cs="Arial" w:eastAsia="Arial" w:hAnsi="Arial"/>
            <w:sz w:val="18"/>
            <w:szCs w:val="18"/>
            <w:u w:val="single" w:color="auto"/>
            <w:color w:val="0000FF"/>
          </w:rPr>
          <w:t>American’s Current Report on Form 8-K filed on January 21,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4.60      </w:t>
      </w:r>
      <w:hyperlink r:id="rId330">
        <w:r>
          <w:rPr>
            <w:rFonts w:ascii="Arial" w:cs="Arial" w:eastAsia="Arial" w:hAnsi="Arial"/>
            <w:sz w:val="18"/>
            <w:szCs w:val="18"/>
            <w:u w:val="single" w:color="auto"/>
            <w:color w:val="0000FF"/>
          </w:rPr>
          <w:t>Trust Supplement No. 2016-1A, dated as of January 19, 2016, between American Airlines, Inc. and Wilmington Trust Company,</w:t>
        </w:r>
      </w:hyperlink>
      <w:r>
        <w:rPr>
          <w:rFonts w:ascii="Arial" w:cs="Arial" w:eastAsia="Arial" w:hAnsi="Arial"/>
          <w:sz w:val="18"/>
          <w:szCs w:val="18"/>
          <w:color w:val="auto"/>
        </w:rPr>
        <w:t xml:space="preserve"> </w:t>
      </w:r>
      <w:hyperlink r:id="rId330">
        <w:r>
          <w:rPr>
            <w:rFonts w:ascii="Arial" w:cs="Arial" w:eastAsia="Arial" w:hAnsi="Arial"/>
            <w:sz w:val="18"/>
            <w:szCs w:val="18"/>
            <w:u w:val="single" w:color="auto"/>
            <w:color w:val="0000FF"/>
          </w:rPr>
          <w:t>as Trustee, to the Pass Through Trust Agreement, dated as of September 16, 2014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0">
        <w:r>
          <w:rPr>
            <w:rFonts w:ascii="Arial" w:cs="Arial" w:eastAsia="Arial" w:hAnsi="Arial"/>
            <w:sz w:val="18"/>
            <w:szCs w:val="18"/>
            <w:u w:val="single" w:color="auto"/>
            <w:color w:val="0000FF"/>
          </w:rPr>
          <w:t>American’s Current Report on Form 8-K filed on January 21,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4.61      </w:t>
      </w:r>
      <w:hyperlink r:id="rId331">
        <w:r>
          <w:rPr>
            <w:rFonts w:ascii="Arial" w:cs="Arial" w:eastAsia="Arial" w:hAnsi="Arial"/>
            <w:sz w:val="18"/>
            <w:szCs w:val="18"/>
            <w:u w:val="single" w:color="auto"/>
            <w:color w:val="0000FF"/>
          </w:rPr>
          <w:t>Trust Supplement No. 2016-1B, dated as of January 19, 2016, between American Airlines, Inc. and Wilmington Trust Company,</w:t>
        </w:r>
      </w:hyperlink>
      <w:r>
        <w:rPr>
          <w:rFonts w:ascii="Arial" w:cs="Arial" w:eastAsia="Arial" w:hAnsi="Arial"/>
          <w:sz w:val="18"/>
          <w:szCs w:val="18"/>
          <w:color w:val="auto"/>
        </w:rPr>
        <w:t xml:space="preserve"> </w:t>
      </w:r>
      <w:hyperlink r:id="rId331">
        <w:r>
          <w:rPr>
            <w:rFonts w:ascii="Arial" w:cs="Arial" w:eastAsia="Arial" w:hAnsi="Arial"/>
            <w:sz w:val="18"/>
            <w:szCs w:val="18"/>
            <w:u w:val="single" w:color="auto"/>
            <w:color w:val="0000FF"/>
          </w:rPr>
          <w:t>as Trustee, to the Pass Through Trust Agreement, dated as of September 16, 2014 (incorporated by reference to Exhibit 4.4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1">
        <w:r>
          <w:rPr>
            <w:rFonts w:ascii="Arial" w:cs="Arial" w:eastAsia="Arial" w:hAnsi="Arial"/>
            <w:sz w:val="18"/>
            <w:szCs w:val="18"/>
            <w:u w:val="single" w:color="auto"/>
            <w:color w:val="0000FF"/>
          </w:rPr>
          <w:t>American’s Current Report on Form 8-K filed on January 21, 2016 (Commission File No. 1-2691)).</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4.62      </w:t>
      </w:r>
      <w:hyperlink r:id="rId333">
        <w:r>
          <w:rPr>
            <w:rFonts w:ascii="Arial" w:cs="Arial" w:eastAsia="Arial" w:hAnsi="Arial"/>
            <w:sz w:val="18"/>
            <w:szCs w:val="18"/>
            <w:u w:val="single" w:color="auto"/>
            <w:color w:val="0000FF"/>
          </w:rPr>
          <w:t>Intercreditor Agreement (2016-1), dated as of January 19, 2016, among Wilmington Trust Company, as Trustee of the American</w:t>
        </w:r>
      </w:hyperlink>
      <w:r>
        <w:rPr>
          <w:rFonts w:ascii="Arial" w:cs="Arial" w:eastAsia="Arial" w:hAnsi="Arial"/>
          <w:sz w:val="18"/>
          <w:szCs w:val="18"/>
          <w:color w:val="auto"/>
        </w:rPr>
        <w:t xml:space="preserve"> </w:t>
      </w:r>
      <w:hyperlink r:id="rId333">
        <w:r>
          <w:rPr>
            <w:rFonts w:ascii="Arial" w:cs="Arial" w:eastAsia="Arial" w:hAnsi="Arial"/>
            <w:sz w:val="18"/>
            <w:szCs w:val="18"/>
            <w:u w:val="single" w:color="auto"/>
            <w:color w:val="0000FF"/>
          </w:rPr>
          <w:t>Airlines Pass Through Trust 2016-1AA, as Trustee of the American Airlines Pass Through Trust 2016-1A and as Trustee of the</w:t>
        </w:r>
      </w:hyperlink>
    </w:p>
    <w:p>
      <w:pPr>
        <w:spacing w:after="0" w:line="2"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33">
        <w:r>
          <w:rPr>
            <w:rFonts w:ascii="Arial" w:cs="Arial" w:eastAsia="Arial" w:hAnsi="Arial"/>
            <w:sz w:val="18"/>
            <w:szCs w:val="18"/>
            <w:u w:val="single" w:color="auto"/>
            <w:color w:val="0000FF"/>
          </w:rPr>
          <w:t>American Airlines Pass Through Trust 2016-1B, KfW IPEX-Bank GmbH, as Class AA Liquidity Provider, Class A Liquidity</w:t>
        </w:r>
      </w:hyperlink>
      <w:r>
        <w:rPr>
          <w:rFonts w:ascii="Arial" w:cs="Arial" w:eastAsia="Arial" w:hAnsi="Arial"/>
          <w:sz w:val="18"/>
          <w:szCs w:val="18"/>
          <w:u w:val="single" w:color="auto"/>
          <w:color w:val="0000FF"/>
        </w:rPr>
        <w:t xml:space="preserve"> </w:t>
      </w:r>
      <w:hyperlink r:id="rId333">
        <w:r>
          <w:rPr>
            <w:rFonts w:ascii="Arial" w:cs="Arial" w:eastAsia="Arial" w:hAnsi="Arial"/>
            <w:sz w:val="18"/>
            <w:szCs w:val="18"/>
            <w:u w:val="single" w:color="auto"/>
            <w:color w:val="0000FF"/>
          </w:rPr>
          <w:t>Provider and Class B Liquidity Provider, and Wilmington Trust Company, as Subordination Agent (incorporated by reference to</w:t>
        </w:r>
      </w:hyperlink>
      <w:r>
        <w:rPr>
          <w:rFonts w:ascii="Arial" w:cs="Arial" w:eastAsia="Arial" w:hAnsi="Arial"/>
          <w:sz w:val="18"/>
          <w:szCs w:val="18"/>
          <w:u w:val="single" w:color="auto"/>
          <w:color w:val="0000FF"/>
        </w:rPr>
        <w:t xml:space="preserve"> </w:t>
      </w:r>
      <w:hyperlink r:id="rId333">
        <w:r>
          <w:rPr>
            <w:rFonts w:ascii="Arial" w:cs="Arial" w:eastAsia="Arial" w:hAnsi="Arial"/>
            <w:sz w:val="18"/>
            <w:szCs w:val="18"/>
            <w:u w:val="single" w:color="auto"/>
            <w:color w:val="0000FF"/>
          </w:rPr>
          <w:t>exhibit 4.5 to American’s Current Report on Form 8-K filed on January 21, 2016 (Commission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4.63      </w:t>
      </w:r>
      <w:hyperlink r:id="rId334">
        <w:r>
          <w:rPr>
            <w:rFonts w:ascii="Arial" w:cs="Arial" w:eastAsia="Arial" w:hAnsi="Arial"/>
            <w:sz w:val="18"/>
            <w:szCs w:val="18"/>
            <w:u w:val="single" w:color="auto"/>
            <w:color w:val="0000FF"/>
          </w:rPr>
          <w:t>Note Purchase Agreement, dated as of January 19, 2016, among American Airlines, Inc., Wilmington Trust Company, as Pass</w:t>
        </w:r>
      </w:hyperlink>
      <w:r>
        <w:rPr>
          <w:rFonts w:ascii="Arial" w:cs="Arial" w:eastAsia="Arial" w:hAnsi="Arial"/>
          <w:sz w:val="18"/>
          <w:szCs w:val="18"/>
          <w:color w:val="auto"/>
        </w:rPr>
        <w:t xml:space="preserve"> </w:t>
      </w:r>
      <w:hyperlink r:id="rId334">
        <w:r>
          <w:rPr>
            <w:rFonts w:ascii="Arial" w:cs="Arial" w:eastAsia="Arial" w:hAnsi="Arial"/>
            <w:sz w:val="18"/>
            <w:szCs w:val="18"/>
            <w:u w:val="single" w:color="auto"/>
            <w:color w:val="0000FF"/>
          </w:rPr>
          <w:t>Through Trustee under each of the Pass Through Trust Agreements, and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34">
        <w:r>
          <w:rPr>
            <w:rFonts w:ascii="Arial" w:cs="Arial" w:eastAsia="Arial" w:hAnsi="Arial"/>
            <w:sz w:val="18"/>
            <w:szCs w:val="18"/>
            <w:u w:val="single" w:color="auto"/>
            <w:color w:val="0000FF"/>
          </w:rPr>
          <w:t>(incorporated by reference to Exhibit 4.6 to American’s Current Report on Form 8-K filed on January 21, 2016 (Commission File</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4.64      </w:t>
      </w:r>
      <w:hyperlink r:id="rId334">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34">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34">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(incorporated by reference to Exhibit B to Exhibit 4.6 to American’s Current Report on Form 8-K filed on January 21, 2016</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4.65      </w:t>
      </w:r>
      <w:hyperlink r:id="rId334">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34">
        <w:r>
          <w:rPr>
            <w:rFonts w:ascii="Arial" w:cs="Arial" w:eastAsia="Arial" w:hAnsi="Arial"/>
            <w:sz w:val="18"/>
            <w:szCs w:val="18"/>
            <w:u w:val="single" w:color="auto"/>
            <w:color w:val="0000FF"/>
          </w:rPr>
          <w:t>Trust Company, as Loan Trustee) (incorporated by reference to Exhibit C to Exhibit 4.6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4">
        <w:r>
          <w:rPr>
            <w:rFonts w:ascii="Arial" w:cs="Arial" w:eastAsia="Arial" w:hAnsi="Arial"/>
            <w:sz w:val="18"/>
            <w:szCs w:val="18"/>
            <w:u w:val="single" w:color="auto"/>
            <w:color w:val="0000FF"/>
          </w:rPr>
          <w:t>K filed on January 21, 2016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4.66</w:t>
      </w:r>
      <w:r>
        <w:rPr>
          <w:sz w:val="20"/>
          <w:szCs w:val="20"/>
          <w:color w:val="auto"/>
        </w:rPr>
        <w:tab/>
      </w:r>
      <w:hyperlink r:id="rId329">
        <w:r>
          <w:rPr>
            <w:rFonts w:ascii="Arial" w:cs="Arial" w:eastAsia="Arial" w:hAnsi="Arial"/>
            <w:sz w:val="18"/>
            <w:szCs w:val="18"/>
            <w:u w:val="single" w:color="auto"/>
            <w:color w:val="0000FF"/>
          </w:rPr>
          <w:t>Form of Pass Through Trust Certificate, Series 2016-1AA (incorporated by reference to Exhibit A to Exhibit 4.2 to American’s</w:t>
        </w:r>
      </w:hyperlink>
      <w:r>
        <w:rPr>
          <w:rFonts w:ascii="Arial" w:cs="Arial" w:eastAsia="Arial" w:hAnsi="Arial"/>
          <w:sz w:val="18"/>
          <w:szCs w:val="18"/>
          <w:u w:val="single" w:color="auto"/>
          <w:color w:val="0000FF"/>
        </w:rPr>
        <w:t xml:space="preserve"> </w:t>
      </w:r>
      <w:hyperlink r:id="rId329">
        <w:r>
          <w:rPr>
            <w:rFonts w:ascii="Arial" w:cs="Arial" w:eastAsia="Arial" w:hAnsi="Arial"/>
            <w:sz w:val="18"/>
            <w:szCs w:val="18"/>
            <w:u w:val="single" w:color="auto"/>
            <w:color w:val="0000FF"/>
          </w:rPr>
          <w:t>Current Report on Form 8-K filed on January 21, 2016 (Commission File No. 1-2691)).</w:t>
        </w:r>
      </w:hyperlink>
    </w:p>
    <w:p>
      <w:pPr>
        <w:spacing w:after="0" w:line="6"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4.67</w:t>
      </w:r>
      <w:r>
        <w:rPr>
          <w:sz w:val="20"/>
          <w:szCs w:val="20"/>
          <w:color w:val="auto"/>
        </w:rPr>
        <w:tab/>
      </w:r>
      <w:hyperlink r:id="rId330">
        <w:r>
          <w:rPr>
            <w:rFonts w:ascii="Arial" w:cs="Arial" w:eastAsia="Arial" w:hAnsi="Arial"/>
            <w:sz w:val="18"/>
            <w:szCs w:val="18"/>
            <w:u w:val="single" w:color="auto"/>
            <w:color w:val="0000FF"/>
          </w:rPr>
          <w:t>Form of Pass Through Trust Certificate, Series 2016-1A (incorporated by reference to Exhibit A to Exhibit 4.3 to American’s</w:t>
        </w:r>
      </w:hyperlink>
      <w:r>
        <w:rPr>
          <w:rFonts w:ascii="Arial" w:cs="Arial" w:eastAsia="Arial" w:hAnsi="Arial"/>
          <w:sz w:val="18"/>
          <w:szCs w:val="18"/>
          <w:u w:val="single" w:color="auto"/>
          <w:color w:val="0000FF"/>
        </w:rPr>
        <w:t xml:space="preserve"> </w:t>
      </w:r>
      <w:hyperlink r:id="rId330">
        <w:r>
          <w:rPr>
            <w:rFonts w:ascii="Arial" w:cs="Arial" w:eastAsia="Arial" w:hAnsi="Arial"/>
            <w:sz w:val="18"/>
            <w:szCs w:val="18"/>
            <w:u w:val="single" w:color="auto"/>
            <w:color w:val="0000FF"/>
          </w:rPr>
          <w:t>Current Report on Form 8-K filed on January 21, 2016 (Commission File No. 1-2691)).</w:t>
        </w:r>
      </w:hyperlink>
    </w:p>
    <w:p>
      <w:pPr>
        <w:spacing w:after="0" w:line="5"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4.68</w:t>
      </w:r>
      <w:r>
        <w:rPr>
          <w:sz w:val="20"/>
          <w:szCs w:val="20"/>
          <w:color w:val="auto"/>
        </w:rPr>
        <w:tab/>
      </w:r>
      <w:hyperlink r:id="rId331">
        <w:r>
          <w:rPr>
            <w:rFonts w:ascii="Arial" w:cs="Arial" w:eastAsia="Arial" w:hAnsi="Arial"/>
            <w:sz w:val="18"/>
            <w:szCs w:val="18"/>
            <w:u w:val="single" w:color="auto"/>
            <w:color w:val="0000FF"/>
          </w:rPr>
          <w:t>Form of Pass Through Trust Certificate, Series 2016-1B (incorporated by reference to Exhibit A to Exhibit 4.4 to American’s</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Current Report on Form 8-K filed on January 21, 2016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4.69      </w:t>
      </w:r>
      <w:hyperlink r:id="rId335">
        <w:r>
          <w:rPr>
            <w:rFonts w:ascii="Arial" w:cs="Arial" w:eastAsia="Arial" w:hAnsi="Arial"/>
            <w:sz w:val="18"/>
            <w:szCs w:val="18"/>
            <w:u w:val="single" w:color="auto"/>
            <w:color w:val="0000FF"/>
          </w:rPr>
          <w:t>Revolving Credit Agreement (2016-1AA), dated as of January 19, 2016, between Wilmington Trust Company, as Subordination</w:t>
        </w:r>
      </w:hyperlink>
      <w:r>
        <w:rPr>
          <w:rFonts w:ascii="Arial" w:cs="Arial" w:eastAsia="Arial" w:hAnsi="Arial"/>
          <w:sz w:val="18"/>
          <w:szCs w:val="18"/>
          <w:color w:val="auto"/>
        </w:rPr>
        <w:t xml:space="preserve"> </w:t>
      </w:r>
      <w:hyperlink r:id="rId335">
        <w:r>
          <w:rPr>
            <w:rFonts w:ascii="Arial" w:cs="Arial" w:eastAsia="Arial" w:hAnsi="Arial"/>
            <w:sz w:val="18"/>
            <w:szCs w:val="18"/>
            <w:u w:val="single" w:color="auto"/>
            <w:color w:val="0000FF"/>
          </w:rPr>
          <w:t>Agent, as agent and trustee for the trustee of the American Airlines Pass Through Trust 2016-1AA,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35">
        <w:r>
          <w:rPr>
            <w:rFonts w:ascii="Arial" w:cs="Arial" w:eastAsia="Arial" w:hAnsi="Arial"/>
            <w:sz w:val="18"/>
            <w:szCs w:val="18"/>
            <w:u w:val="single" w:color="auto"/>
            <w:color w:val="0000FF"/>
          </w:rPr>
          <w:t>Bank GmbH, as Liquidity Provider (incorporated by reference to Exhibit 4.12 to American’s Current Report on Form 8-K filed on</w:t>
        </w:r>
      </w:hyperlink>
      <w:r>
        <w:rPr>
          <w:rFonts w:ascii="Arial" w:cs="Arial" w:eastAsia="Arial" w:hAnsi="Arial"/>
          <w:sz w:val="18"/>
          <w:szCs w:val="18"/>
          <w:u w:val="single" w:color="auto"/>
          <w:color w:val="0000FF"/>
        </w:rPr>
        <w:t xml:space="preserve"> </w:t>
      </w:r>
      <w:hyperlink r:id="rId335">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4.70      </w:t>
      </w:r>
      <w:hyperlink r:id="rId336">
        <w:r>
          <w:rPr>
            <w:rFonts w:ascii="Arial" w:cs="Arial" w:eastAsia="Arial" w:hAnsi="Arial"/>
            <w:sz w:val="18"/>
            <w:szCs w:val="18"/>
            <w:u w:val="single" w:color="auto"/>
            <w:color w:val="0000FF"/>
          </w:rPr>
          <w:t>Revolving Credit Agreement (2016-1A), dated as of January 19, 2016, between Wilmington Trust Company, as Subordination</w:t>
        </w:r>
      </w:hyperlink>
      <w:r>
        <w:rPr>
          <w:rFonts w:ascii="Arial" w:cs="Arial" w:eastAsia="Arial" w:hAnsi="Arial"/>
          <w:sz w:val="18"/>
          <w:szCs w:val="18"/>
          <w:color w:val="auto"/>
        </w:rPr>
        <w:t xml:space="preserve"> </w:t>
      </w:r>
      <w:hyperlink r:id="rId336">
        <w:r>
          <w:rPr>
            <w:rFonts w:ascii="Arial" w:cs="Arial" w:eastAsia="Arial" w:hAnsi="Arial"/>
            <w:sz w:val="18"/>
            <w:szCs w:val="18"/>
            <w:u w:val="single" w:color="auto"/>
            <w:color w:val="0000FF"/>
          </w:rPr>
          <w:t>Agent, as agent and trustee for the trustee of the American Airlines Pass Through Trust 2016-1A,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36">
        <w:r>
          <w:rPr>
            <w:rFonts w:ascii="Arial" w:cs="Arial" w:eastAsia="Arial" w:hAnsi="Arial"/>
            <w:sz w:val="18"/>
            <w:szCs w:val="18"/>
            <w:u w:val="single" w:color="auto"/>
            <w:color w:val="0000FF"/>
          </w:rPr>
          <w:t>Bank GmbH, as Liquidity Provider (incorporated by reference to Exhibit 4.13 to American’s Current Report on Form 8-K filed on</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4.71      </w:t>
      </w:r>
      <w:hyperlink r:id="rId337">
        <w:r>
          <w:rPr>
            <w:rFonts w:ascii="Arial" w:cs="Arial" w:eastAsia="Arial" w:hAnsi="Arial"/>
            <w:sz w:val="18"/>
            <w:szCs w:val="18"/>
            <w:u w:val="single" w:color="auto"/>
            <w:color w:val="0000FF"/>
          </w:rPr>
          <w:t>Revolving Credit Agreement (2016-1B), dated as of January 19, 2016, between Wilmington Trust Company, as Subordination</w:t>
        </w:r>
      </w:hyperlink>
      <w:r>
        <w:rPr>
          <w:rFonts w:ascii="Arial" w:cs="Arial" w:eastAsia="Arial" w:hAnsi="Arial"/>
          <w:sz w:val="18"/>
          <w:szCs w:val="18"/>
          <w:color w:val="auto"/>
        </w:rPr>
        <w:t xml:space="preserve"> </w:t>
      </w:r>
      <w:hyperlink r:id="rId337">
        <w:r>
          <w:rPr>
            <w:rFonts w:ascii="Arial" w:cs="Arial" w:eastAsia="Arial" w:hAnsi="Arial"/>
            <w:sz w:val="18"/>
            <w:szCs w:val="18"/>
            <w:u w:val="single" w:color="auto"/>
            <w:color w:val="0000FF"/>
          </w:rPr>
          <w:t>Agent, as agent and trustee for the trustee of the American Airlines Pass Through Trust 2016-1B,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37">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37">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4.72      </w:t>
      </w:r>
      <w:hyperlink r:id="rId338">
        <w:r>
          <w:rPr>
            <w:rFonts w:ascii="Arial" w:cs="Arial" w:eastAsia="Arial" w:hAnsi="Arial"/>
            <w:sz w:val="18"/>
            <w:szCs w:val="18"/>
            <w:u w:val="single" w:color="auto"/>
            <w:color w:val="0000FF"/>
          </w:rPr>
          <w:t>Trust Supplement No. 2016-2AA, dated as of May 16, 2016, between American Airlines, Inc. and Wilmington Trust Company, as</w:t>
        </w:r>
      </w:hyperlink>
      <w:r>
        <w:rPr>
          <w:rFonts w:ascii="Arial" w:cs="Arial" w:eastAsia="Arial" w:hAnsi="Arial"/>
          <w:sz w:val="18"/>
          <w:szCs w:val="18"/>
          <w:color w:val="auto"/>
        </w:rPr>
        <w:t xml:space="preserve"> </w:t>
      </w:r>
      <w:hyperlink r:id="rId338">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8">
        <w:r>
          <w:rPr>
            <w:rFonts w:ascii="Arial" w:cs="Arial" w:eastAsia="Arial" w:hAnsi="Arial"/>
            <w:sz w:val="18"/>
            <w:szCs w:val="18"/>
            <w:u w:val="single" w:color="auto"/>
            <w:color w:val="0000FF"/>
          </w:rPr>
          <w:t>American’s Current Report on Form 8-K filed on May 17,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4.73      </w:t>
      </w:r>
      <w:hyperlink r:id="rId339">
        <w:r>
          <w:rPr>
            <w:rFonts w:ascii="Arial" w:cs="Arial" w:eastAsia="Arial" w:hAnsi="Arial"/>
            <w:sz w:val="18"/>
            <w:szCs w:val="18"/>
            <w:u w:val="single" w:color="auto"/>
            <w:color w:val="0000FF"/>
          </w:rPr>
          <w:t>Trust Supplement No. 2016-2A, dated as of May 16, 2016, between American Airlines, Inc. and Wilmington Trust Company, as</w:t>
        </w:r>
      </w:hyperlink>
      <w:r>
        <w:rPr>
          <w:rFonts w:ascii="Arial" w:cs="Arial" w:eastAsia="Arial" w:hAnsi="Arial"/>
          <w:sz w:val="18"/>
          <w:szCs w:val="18"/>
          <w:color w:val="auto"/>
        </w:rPr>
        <w:t xml:space="preserve"> </w:t>
      </w:r>
      <w:hyperlink r:id="rId339">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9">
        <w:r>
          <w:rPr>
            <w:rFonts w:ascii="Arial" w:cs="Arial" w:eastAsia="Arial" w:hAnsi="Arial"/>
            <w:sz w:val="18"/>
            <w:szCs w:val="18"/>
            <w:u w:val="single" w:color="auto"/>
            <w:color w:val="0000FF"/>
          </w:rPr>
          <w:t>American’s Current Report on Form 8-K filed on May 17,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4.74      </w:t>
      </w:r>
      <w:hyperlink r:id="rId340">
        <w:r>
          <w:rPr>
            <w:rFonts w:ascii="Arial" w:cs="Arial" w:eastAsia="Arial" w:hAnsi="Arial"/>
            <w:sz w:val="18"/>
            <w:szCs w:val="18"/>
            <w:u w:val="single" w:color="auto"/>
            <w:color w:val="0000FF"/>
          </w:rPr>
          <w:t>Intercreditor Agreement (2016-2), dated as of May 16, 2016, among Wilmington Trust Company, as Trustee of the American</w:t>
        </w:r>
      </w:hyperlink>
      <w:r>
        <w:rPr>
          <w:rFonts w:ascii="Arial" w:cs="Arial" w:eastAsia="Arial" w:hAnsi="Arial"/>
          <w:sz w:val="18"/>
          <w:szCs w:val="18"/>
          <w:color w:val="auto"/>
        </w:rPr>
        <w:t xml:space="preserve"> </w:t>
      </w:r>
      <w:hyperlink r:id="rId340">
        <w:r>
          <w:rPr>
            <w:rFonts w:ascii="Arial" w:cs="Arial" w:eastAsia="Arial" w:hAnsi="Arial"/>
            <w:sz w:val="18"/>
            <w:szCs w:val="18"/>
            <w:u w:val="single" w:color="auto"/>
            <w:color w:val="0000FF"/>
          </w:rPr>
          <w:t>Airlines Pass Through Trust 2016 -2AA and as Trustee of the American Airlines Pass Through Trust 2016-2A, KfW IPEX-Bank</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40">
        <w:r>
          <w:rPr>
            <w:rFonts w:ascii="Arial" w:cs="Arial" w:eastAsia="Arial" w:hAnsi="Arial"/>
            <w:sz w:val="18"/>
            <w:szCs w:val="18"/>
            <w:u w:val="single" w:color="auto"/>
            <w:color w:val="0000FF"/>
          </w:rPr>
          <w:t>GmbH, as Class AA Liquidity Provider and Class A Liquidity Provider, and Wilmington Trust Company, as Subordination Agent</w:t>
        </w:r>
      </w:hyperlink>
      <w:r>
        <w:rPr>
          <w:rFonts w:ascii="Arial" w:cs="Arial" w:eastAsia="Arial" w:hAnsi="Arial"/>
          <w:sz w:val="18"/>
          <w:szCs w:val="18"/>
          <w:u w:val="single" w:color="auto"/>
          <w:color w:val="0000FF"/>
        </w:rPr>
        <w:t xml:space="preserve"> </w:t>
      </w:r>
      <w:hyperlink r:id="rId340">
        <w:r>
          <w:rPr>
            <w:rFonts w:ascii="Arial" w:cs="Arial" w:eastAsia="Arial" w:hAnsi="Arial"/>
            <w:sz w:val="18"/>
            <w:szCs w:val="18"/>
            <w:u w:val="single" w:color="auto"/>
            <w:color w:val="0000FF"/>
          </w:rPr>
          <w:t>(incorporated by reference to Exhibit 4.4 to American’s Current Report on Form 8-K filed on May 17, 2016 (Commission File</w:t>
        </w:r>
      </w:hyperlink>
      <w:r>
        <w:rPr>
          <w:rFonts w:ascii="Arial" w:cs="Arial" w:eastAsia="Arial" w:hAnsi="Arial"/>
          <w:sz w:val="18"/>
          <w:szCs w:val="18"/>
          <w:u w:val="single" w:color="auto"/>
          <w:color w:val="0000FF"/>
        </w:rPr>
        <w:t xml:space="preserve"> </w:t>
      </w:r>
      <w:hyperlink r:id="rId340">
        <w:r>
          <w:rPr>
            <w:rFonts w:ascii="Arial" w:cs="Arial" w:eastAsia="Arial" w:hAnsi="Arial"/>
            <w:sz w:val="18"/>
            <w:szCs w:val="18"/>
            <w:u w:val="single" w:color="auto"/>
            <w:color w:val="0000FF"/>
          </w:rPr>
          <w:t>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4.75      </w:t>
      </w:r>
      <w:hyperlink r:id="rId341">
        <w:r>
          <w:rPr>
            <w:rFonts w:ascii="Arial" w:cs="Arial" w:eastAsia="Arial" w:hAnsi="Arial"/>
            <w:sz w:val="18"/>
            <w:szCs w:val="18"/>
            <w:u w:val="single" w:color="auto"/>
            <w:color w:val="0000FF"/>
          </w:rPr>
          <w:t>Note Purchase Agreement, dated as of May 16, 2016, among American Airlines, Inc., Wilmington Trust Company, as Pass</w:t>
        </w:r>
      </w:hyperlink>
      <w:r>
        <w:rPr>
          <w:rFonts w:ascii="Arial" w:cs="Arial" w:eastAsia="Arial" w:hAnsi="Arial"/>
          <w:sz w:val="18"/>
          <w:szCs w:val="18"/>
          <w:color w:val="auto"/>
        </w:rPr>
        <w:t xml:space="preserve"> </w:t>
      </w:r>
      <w:hyperlink r:id="rId34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41">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41">
        <w:r>
          <w:rPr>
            <w:rFonts w:ascii="Arial" w:cs="Arial" w:eastAsia="Arial" w:hAnsi="Arial"/>
            <w:sz w:val="18"/>
            <w:szCs w:val="18"/>
            <w:u w:val="single" w:color="auto"/>
            <w:color w:val="0000FF"/>
          </w:rPr>
          <w:t>reference to Exhibit 4.9 to American’s Current Report on Form 8-K filed on 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4.76      </w:t>
      </w:r>
      <w:hyperlink r:id="rId341">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4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41">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41">
        <w:r>
          <w:rPr>
            <w:rFonts w:ascii="Arial" w:cs="Arial" w:eastAsia="Arial" w:hAnsi="Arial"/>
            <w:sz w:val="18"/>
            <w:szCs w:val="18"/>
            <w:u w:val="single" w:color="auto"/>
            <w:color w:val="0000FF"/>
          </w:rPr>
          <w:t>(incorporated by reference to Exhibit B to Exhibit 4.9 to American’s Current Report on Form 8-K filed on May 17, 2016</w:t>
        </w:r>
      </w:hyperlink>
      <w:r>
        <w:rPr>
          <w:rFonts w:ascii="Arial" w:cs="Arial" w:eastAsia="Arial" w:hAnsi="Arial"/>
          <w:sz w:val="18"/>
          <w:szCs w:val="18"/>
          <w:u w:val="single" w:color="auto"/>
          <w:color w:val="0000FF"/>
        </w:rPr>
        <w:t xml:space="preserve"> </w:t>
      </w:r>
      <w:hyperlink r:id="rId341">
        <w:r>
          <w:rPr>
            <w:rFonts w:ascii="Arial" w:cs="Arial" w:eastAsia="Arial" w:hAnsi="Arial"/>
            <w:sz w:val="18"/>
            <w:szCs w:val="18"/>
            <w:u w:val="single" w:color="auto"/>
            <w:color w:val="0000FF"/>
          </w:rPr>
          <w:t>(Commission File No. 1-2691)).</w:t>
        </w:r>
      </w:hyperlink>
    </w:p>
    <w:p>
      <w:pPr>
        <w:spacing w:after="0" w:line="200" w:lineRule="exact"/>
        <w:rPr>
          <w:rFonts w:ascii="Arial" w:cs="Arial" w:eastAsia="Arial" w:hAnsi="Arial"/>
          <w:sz w:val="18"/>
          <w:szCs w:val="18"/>
          <w:u w:val="single" w:color="auto"/>
          <w:color w:val="0000FF"/>
        </w:rPr>
      </w:pPr>
    </w:p>
    <w:p>
      <w:pPr>
        <w:spacing w:after="0" w:line="317"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4.77      </w:t>
      </w:r>
      <w:hyperlink r:id="rId341">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41">
        <w:r>
          <w:rPr>
            <w:rFonts w:ascii="Arial" w:cs="Arial" w:eastAsia="Arial" w:hAnsi="Arial"/>
            <w:sz w:val="18"/>
            <w:szCs w:val="18"/>
            <w:u w:val="single" w:color="auto"/>
            <w:color w:val="0000FF"/>
          </w:rPr>
          <w:t>Trust Company, as Loan Trustee) (incorporated by reference to Exhibit C to Exhibit 4.9 to American’s Current Report on Form 8-</w:t>
        </w:r>
      </w:hyperlink>
    </w:p>
    <w:p>
      <w:pPr>
        <w:spacing w:after="0" w:line="2" w:lineRule="exact"/>
        <w:rPr>
          <w:sz w:val="20"/>
          <w:szCs w:val="20"/>
          <w:color w:val="auto"/>
        </w:rPr>
      </w:pPr>
    </w:p>
    <w:p>
      <w:pPr>
        <w:ind w:left="920"/>
        <w:spacing w:after="0"/>
        <w:rPr>
          <w:rFonts w:ascii="Arial" w:cs="Arial" w:eastAsia="Arial" w:hAnsi="Arial"/>
          <w:sz w:val="18"/>
          <w:szCs w:val="18"/>
          <w:u w:val="single" w:color="auto"/>
          <w:color w:val="0000FF"/>
        </w:rPr>
      </w:pPr>
      <w:hyperlink r:id="rId341">
        <w:r>
          <w:rPr>
            <w:rFonts w:ascii="Arial" w:cs="Arial" w:eastAsia="Arial" w:hAnsi="Arial"/>
            <w:sz w:val="18"/>
            <w:szCs w:val="18"/>
            <w:u w:val="single" w:color="auto"/>
            <w:color w:val="0000FF"/>
          </w:rPr>
          <w:t>K filed on May 17, 2016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4.78</w:t>
      </w:r>
      <w:r>
        <w:rPr>
          <w:sz w:val="20"/>
          <w:szCs w:val="20"/>
          <w:color w:val="auto"/>
        </w:rPr>
        <w:tab/>
      </w:r>
      <w:hyperlink r:id="rId338">
        <w:r>
          <w:rPr>
            <w:rFonts w:ascii="Arial" w:cs="Arial" w:eastAsia="Arial" w:hAnsi="Arial"/>
            <w:sz w:val="18"/>
            <w:szCs w:val="18"/>
            <w:u w:val="single" w:color="auto"/>
            <w:color w:val="0000FF"/>
          </w:rPr>
          <w:t>Form of Pass Through Trust Certificate, Series 2016-2AA (incorporated by reference to Exhibit A to Exhibit 4.2 to American’s</w:t>
        </w:r>
      </w:hyperlink>
      <w:r>
        <w:rPr>
          <w:rFonts w:ascii="Arial" w:cs="Arial" w:eastAsia="Arial" w:hAnsi="Arial"/>
          <w:sz w:val="18"/>
          <w:szCs w:val="18"/>
          <w:u w:val="single" w:color="auto"/>
          <w:color w:val="0000FF"/>
        </w:rPr>
        <w:t xml:space="preserve"> </w:t>
      </w:r>
      <w:hyperlink r:id="rId338">
        <w:r>
          <w:rPr>
            <w:rFonts w:ascii="Arial" w:cs="Arial" w:eastAsia="Arial" w:hAnsi="Arial"/>
            <w:sz w:val="18"/>
            <w:szCs w:val="18"/>
            <w:u w:val="single" w:color="auto"/>
            <w:color w:val="0000FF"/>
          </w:rPr>
          <w:t>Current Report on Form 8-K filed on May 17, 2016 (Commission File No. 1-2691)).</w:t>
        </w:r>
      </w:hyperlink>
    </w:p>
    <w:p>
      <w:pPr>
        <w:spacing w:after="0" w:line="6"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4.79</w:t>
      </w:r>
      <w:r>
        <w:rPr>
          <w:sz w:val="20"/>
          <w:szCs w:val="20"/>
          <w:color w:val="auto"/>
        </w:rPr>
        <w:tab/>
      </w:r>
      <w:hyperlink r:id="rId339">
        <w:r>
          <w:rPr>
            <w:rFonts w:ascii="Arial" w:cs="Arial" w:eastAsia="Arial" w:hAnsi="Arial"/>
            <w:sz w:val="18"/>
            <w:szCs w:val="18"/>
            <w:u w:val="single" w:color="auto"/>
            <w:color w:val="0000FF"/>
          </w:rPr>
          <w:t>Form of Pass Through Trust Certificate, Series 2016-2A (incorporated by reference to Exhibit A to Exhibit 4.3 to American’s</w:t>
        </w:r>
      </w:hyperlink>
      <w:r>
        <w:rPr>
          <w:rFonts w:ascii="Arial" w:cs="Arial" w:eastAsia="Arial" w:hAnsi="Arial"/>
          <w:sz w:val="18"/>
          <w:szCs w:val="18"/>
          <w:u w:val="single" w:color="auto"/>
          <w:color w:val="0000FF"/>
        </w:rPr>
        <w:t xml:space="preserve"> </w:t>
      </w:r>
      <w:hyperlink r:id="rId339">
        <w:r>
          <w:rPr>
            <w:rFonts w:ascii="Arial" w:cs="Arial" w:eastAsia="Arial" w:hAnsi="Arial"/>
            <w:sz w:val="18"/>
            <w:szCs w:val="18"/>
            <w:u w:val="single" w:color="auto"/>
            <w:color w:val="0000FF"/>
          </w:rPr>
          <w:t>Current Report on Form 8-K filed on May 17, 2016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4.80      </w:t>
      </w:r>
      <w:hyperlink r:id="rId343">
        <w:r>
          <w:rPr>
            <w:rFonts w:ascii="Arial" w:cs="Arial" w:eastAsia="Arial" w:hAnsi="Arial"/>
            <w:sz w:val="18"/>
            <w:szCs w:val="18"/>
            <w:u w:val="single" w:color="auto"/>
            <w:color w:val="0000FF"/>
          </w:rPr>
          <w:t>Revolving Credit Agreement (2016-2AA), dated as of May 16, 2016, between Wilmington Trust Company, as Subordination</w:t>
        </w:r>
      </w:hyperlink>
      <w:r>
        <w:rPr>
          <w:rFonts w:ascii="Arial" w:cs="Arial" w:eastAsia="Arial" w:hAnsi="Arial"/>
          <w:sz w:val="18"/>
          <w:szCs w:val="18"/>
          <w:color w:val="auto"/>
        </w:rPr>
        <w:t xml:space="preserve"> </w:t>
      </w:r>
      <w:hyperlink r:id="rId343">
        <w:r>
          <w:rPr>
            <w:rFonts w:ascii="Arial" w:cs="Arial" w:eastAsia="Arial" w:hAnsi="Arial"/>
            <w:sz w:val="18"/>
            <w:szCs w:val="18"/>
            <w:u w:val="single" w:color="auto"/>
            <w:color w:val="0000FF"/>
          </w:rPr>
          <w:t>Agent, as agent and trustee for the trustee of the American Airlines Pass Through Trust 2016 -2AA,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43">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43">
        <w:r>
          <w:rPr>
            <w:rFonts w:ascii="Arial" w:cs="Arial" w:eastAsia="Arial" w:hAnsi="Arial"/>
            <w:sz w:val="18"/>
            <w:szCs w:val="18"/>
            <w:u w:val="single" w:color="auto"/>
            <w:color w:val="0000FF"/>
          </w:rPr>
          <w:t>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4.81      </w:t>
      </w:r>
      <w:hyperlink r:id="rId344">
        <w:r>
          <w:rPr>
            <w:rFonts w:ascii="Arial" w:cs="Arial" w:eastAsia="Arial" w:hAnsi="Arial"/>
            <w:sz w:val="18"/>
            <w:szCs w:val="18"/>
            <w:u w:val="single" w:color="auto"/>
            <w:color w:val="0000FF"/>
          </w:rPr>
          <w:t>Revolving Credit Agreement (2016-2A), dated as of May 16, 2016, between Wilmington Trust Company, as Subordination Agent,</w:t>
        </w:r>
      </w:hyperlink>
      <w:r>
        <w:rPr>
          <w:rFonts w:ascii="Arial" w:cs="Arial" w:eastAsia="Arial" w:hAnsi="Arial"/>
          <w:sz w:val="18"/>
          <w:szCs w:val="18"/>
          <w:color w:val="auto"/>
        </w:rPr>
        <w:t xml:space="preserve"> </w:t>
      </w:r>
      <w:hyperlink r:id="rId344">
        <w:r>
          <w:rPr>
            <w:rFonts w:ascii="Arial" w:cs="Arial" w:eastAsia="Arial" w:hAnsi="Arial"/>
            <w:sz w:val="18"/>
            <w:szCs w:val="18"/>
            <w:u w:val="single" w:color="auto"/>
            <w:color w:val="0000FF"/>
          </w:rPr>
          <w:t>as agent and trustee for the trustee of the American Airlines Pass Through Trust 2016-2A, as Borrower, and KfW IPEX-Bank</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44">
        <w:r>
          <w:rPr>
            <w:rFonts w:ascii="Arial" w:cs="Arial" w:eastAsia="Arial" w:hAnsi="Arial"/>
            <w:sz w:val="18"/>
            <w:szCs w:val="18"/>
            <w:u w:val="single" w:color="auto"/>
            <w:color w:val="0000FF"/>
          </w:rPr>
          <w:t>GmbH, as Liquidity Provider (incorporated by reference to Exhibit 4.15 to American’s Current Report on Form 8-K filed on</w:t>
        </w:r>
      </w:hyperlink>
      <w:r>
        <w:rPr>
          <w:rFonts w:ascii="Arial" w:cs="Arial" w:eastAsia="Arial" w:hAnsi="Arial"/>
          <w:sz w:val="18"/>
          <w:szCs w:val="18"/>
          <w:u w:val="single" w:color="auto"/>
          <w:color w:val="0000FF"/>
        </w:rPr>
        <w:t xml:space="preserve"> </w:t>
      </w:r>
      <w:hyperlink r:id="rId344">
        <w:r>
          <w:rPr>
            <w:rFonts w:ascii="Arial" w:cs="Arial" w:eastAsia="Arial" w:hAnsi="Arial"/>
            <w:sz w:val="18"/>
            <w:szCs w:val="18"/>
            <w:u w:val="single" w:color="auto"/>
            <w:color w:val="0000FF"/>
          </w:rPr>
          <w:t>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4.82      </w:t>
      </w:r>
      <w:hyperlink r:id="rId345">
        <w:r>
          <w:rPr>
            <w:rFonts w:ascii="Arial" w:cs="Arial" w:eastAsia="Arial" w:hAnsi="Arial"/>
            <w:sz w:val="18"/>
            <w:szCs w:val="18"/>
            <w:u w:val="single" w:color="auto"/>
            <w:color w:val="0000FF"/>
          </w:rPr>
          <w:t>Trust Supplement No. 2016-2B, dated as of July 8, 2016, between American Airlines, Inc. and Wilmington Trust Company, as</w:t>
        </w:r>
      </w:hyperlink>
      <w:r>
        <w:rPr>
          <w:rFonts w:ascii="Arial" w:cs="Arial" w:eastAsia="Arial" w:hAnsi="Arial"/>
          <w:sz w:val="18"/>
          <w:szCs w:val="18"/>
          <w:color w:val="auto"/>
        </w:rPr>
        <w:t xml:space="preserve"> </w:t>
      </w:r>
      <w:hyperlink r:id="rId345">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45">
        <w:r>
          <w:rPr>
            <w:rFonts w:ascii="Arial" w:cs="Arial" w:eastAsia="Arial" w:hAnsi="Arial"/>
            <w:sz w:val="18"/>
            <w:szCs w:val="18"/>
            <w:u w:val="single" w:color="auto"/>
            <w:color w:val="0000FF"/>
          </w:rPr>
          <w:t>American’s Current Report on Form 8-K filed on July 12,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4.83      </w:t>
      </w:r>
      <w:hyperlink r:id="rId346">
        <w:r>
          <w:rPr>
            <w:rFonts w:ascii="Arial" w:cs="Arial" w:eastAsia="Arial" w:hAnsi="Arial"/>
            <w:sz w:val="18"/>
            <w:szCs w:val="18"/>
            <w:u w:val="single" w:color="auto"/>
            <w:color w:val="0000FF"/>
          </w:rPr>
          <w:t>Amended and Restated Intercreditor Agreement (2016-2), dated as of July 8, 2016, among Wilmington Trust Company, as</w:t>
        </w:r>
      </w:hyperlink>
      <w:r>
        <w:rPr>
          <w:rFonts w:ascii="Arial" w:cs="Arial" w:eastAsia="Arial" w:hAnsi="Arial"/>
          <w:sz w:val="18"/>
          <w:szCs w:val="18"/>
          <w:color w:val="auto"/>
        </w:rPr>
        <w:t xml:space="preserve"> </w:t>
      </w:r>
      <w:hyperlink r:id="rId346">
        <w:r>
          <w:rPr>
            <w:rFonts w:ascii="Arial" w:cs="Arial" w:eastAsia="Arial" w:hAnsi="Arial"/>
            <w:sz w:val="18"/>
            <w:szCs w:val="18"/>
            <w:u w:val="single" w:color="auto"/>
            <w:color w:val="0000FF"/>
          </w:rPr>
          <w:t>Trustee of the American Airlines Pass Through Trust 2016-2AA, as Trustee of the American Airlines Pass Through Trust 2016-2A</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46">
        <w:r>
          <w:rPr>
            <w:rFonts w:ascii="Arial" w:cs="Arial" w:eastAsia="Arial" w:hAnsi="Arial"/>
            <w:sz w:val="18"/>
            <w:szCs w:val="18"/>
            <w:u w:val="single" w:color="auto"/>
            <w:color w:val="0000FF"/>
          </w:rPr>
          <w:t>and as Trustee of the American Airlines Pass Through Trust 2016-2B, KfW IPEX-Bank GmbH, as Class AA Liquidity Provider,</w:t>
        </w:r>
      </w:hyperlink>
      <w:r>
        <w:rPr>
          <w:rFonts w:ascii="Arial" w:cs="Arial" w:eastAsia="Arial" w:hAnsi="Arial"/>
          <w:sz w:val="18"/>
          <w:szCs w:val="18"/>
          <w:u w:val="single" w:color="auto"/>
          <w:color w:val="0000FF"/>
        </w:rPr>
        <w:t xml:space="preserve"> </w:t>
      </w:r>
      <w:hyperlink r:id="rId346">
        <w:r>
          <w:rPr>
            <w:rFonts w:ascii="Arial" w:cs="Arial" w:eastAsia="Arial" w:hAnsi="Arial"/>
            <w:sz w:val="18"/>
            <w:szCs w:val="18"/>
            <w:u w:val="single" w:color="auto"/>
            <w:color w:val="0000FF"/>
          </w:rPr>
          <w:t>Class A Liquidity Provider and Class B Liquidity Provider, and Wilmington Trust Company, as Subordination Agent (incorporated</w:t>
        </w:r>
      </w:hyperlink>
      <w:r>
        <w:rPr>
          <w:rFonts w:ascii="Arial" w:cs="Arial" w:eastAsia="Arial" w:hAnsi="Arial"/>
          <w:sz w:val="18"/>
          <w:szCs w:val="18"/>
          <w:u w:val="single" w:color="auto"/>
          <w:color w:val="0000FF"/>
        </w:rPr>
        <w:t xml:space="preserve"> </w:t>
      </w:r>
      <w:hyperlink r:id="rId346">
        <w:r>
          <w:rPr>
            <w:rFonts w:ascii="Arial" w:cs="Arial" w:eastAsia="Arial" w:hAnsi="Arial"/>
            <w:sz w:val="18"/>
            <w:szCs w:val="18"/>
            <w:u w:val="single" w:color="auto"/>
            <w:color w:val="0000FF"/>
          </w:rPr>
          <w:t>by reference to Exhibit 4.3 to American’s Current Report on Form 8-K filed on July 12, 2016 (Commission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4.84      </w:t>
      </w:r>
      <w:hyperlink r:id="rId347">
        <w:r>
          <w:rPr>
            <w:rFonts w:ascii="Arial" w:cs="Arial" w:eastAsia="Arial" w:hAnsi="Arial"/>
            <w:sz w:val="18"/>
            <w:szCs w:val="18"/>
            <w:u w:val="single" w:color="auto"/>
            <w:color w:val="0000FF"/>
          </w:rPr>
          <w:t>Amended and Restated Note Purchase Agreement, dated as of July 8, 2016, among American Airlines, Inc., Wilmington Trust</w:t>
        </w:r>
      </w:hyperlink>
      <w:r>
        <w:rPr>
          <w:rFonts w:ascii="Arial" w:cs="Arial" w:eastAsia="Arial" w:hAnsi="Arial"/>
          <w:sz w:val="18"/>
          <w:szCs w:val="18"/>
          <w:color w:val="auto"/>
        </w:rPr>
        <w:t xml:space="preserve"> </w:t>
      </w:r>
      <w:hyperlink r:id="rId347">
        <w:r>
          <w:rPr>
            <w:rFonts w:ascii="Arial" w:cs="Arial" w:eastAsia="Arial" w:hAnsi="Arial"/>
            <w:sz w:val="18"/>
            <w:szCs w:val="18"/>
            <w:u w:val="single" w:color="auto"/>
            <w:color w:val="0000FF"/>
          </w:rPr>
          <w:t>Company, as Pass Through Trustee under each of the Pass Through Trust Agreements, Wilmington Trust Company, as</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47">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(incorporated by reference to Exhibit 4.6 to American’s Current Report on Form 8-K filed on July 12, 2016 (Commission File</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4.85      </w:t>
      </w:r>
      <w:hyperlink r:id="rId347">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47">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47">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(incorporated by reference to Exhibit B to Exhibit 4.6 to American’s Current Report on Form 8-K filed on July 12, 2016</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4.86      </w:t>
      </w:r>
      <w:hyperlink r:id="rId347">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47">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47">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capacity as set forth therein) (incorporated by reference to Exhibit D to Exhibit 4.6 to American’s Current Report on Form 8-K filed</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on July 12, 2016 (Commission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4.87      </w:t>
      </w:r>
      <w:hyperlink r:id="rId347">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47">
        <w:r>
          <w:rPr>
            <w:rFonts w:ascii="Arial" w:cs="Arial" w:eastAsia="Arial" w:hAnsi="Arial"/>
            <w:sz w:val="18"/>
            <w:szCs w:val="18"/>
            <w:u w:val="single" w:color="auto"/>
            <w:color w:val="0000FF"/>
          </w:rPr>
          <w:t>Trust Company, as Loan Trustee) (incorporated by reference to Exhibit C to Exhibit 4.6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47">
        <w:r>
          <w:rPr>
            <w:rFonts w:ascii="Arial" w:cs="Arial" w:eastAsia="Arial" w:hAnsi="Arial"/>
            <w:sz w:val="18"/>
            <w:szCs w:val="18"/>
            <w:u w:val="single" w:color="auto"/>
            <w:color w:val="0000FF"/>
          </w:rPr>
          <w:t>K filed on July 12,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4.88      </w:t>
      </w:r>
      <w:hyperlink r:id="rId347">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47">
        <w:r>
          <w:rPr>
            <w:rFonts w:ascii="Arial" w:cs="Arial" w:eastAsia="Arial" w:hAnsi="Arial"/>
            <w:sz w:val="18"/>
            <w:szCs w:val="18"/>
            <w:u w:val="single" w:color="auto"/>
            <w:color w:val="0000FF"/>
          </w:rPr>
          <w:t>American Airlines, Inc., and Wilmington Trust Company, as Loan Trustee) (incorporated by reference to Exhibit E to Exhibit 4.6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47">
        <w:r>
          <w:rPr>
            <w:rFonts w:ascii="Arial" w:cs="Arial" w:eastAsia="Arial" w:hAnsi="Arial"/>
            <w:sz w:val="18"/>
            <w:szCs w:val="18"/>
            <w:u w:val="single" w:color="auto"/>
            <w:color w:val="0000FF"/>
          </w:rPr>
          <w:t>American’s Current Report on Form 8-K filed on July 12, 2016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4.89</w:t>
      </w:r>
      <w:r>
        <w:rPr>
          <w:sz w:val="20"/>
          <w:szCs w:val="20"/>
          <w:color w:val="auto"/>
        </w:rPr>
        <w:tab/>
      </w:r>
      <w:hyperlink r:id="rId345">
        <w:r>
          <w:rPr>
            <w:rFonts w:ascii="Arial" w:cs="Arial" w:eastAsia="Arial" w:hAnsi="Arial"/>
            <w:sz w:val="18"/>
            <w:szCs w:val="18"/>
            <w:u w:val="single" w:color="auto"/>
            <w:color w:val="0000FF"/>
          </w:rPr>
          <w:t>Form of Pass Through Trust Certificate, Series 2016-2B (incorporated by reference to Exhibit A to Exhibit 4.2 to American’s</w:t>
        </w:r>
      </w:hyperlink>
      <w:r>
        <w:rPr>
          <w:rFonts w:ascii="Arial" w:cs="Arial" w:eastAsia="Arial" w:hAnsi="Arial"/>
          <w:sz w:val="18"/>
          <w:szCs w:val="18"/>
          <w:u w:val="single" w:color="auto"/>
          <w:color w:val="0000FF"/>
        </w:rPr>
        <w:t xml:space="preserve"> </w:t>
      </w:r>
      <w:hyperlink r:id="rId345">
        <w:r>
          <w:rPr>
            <w:rFonts w:ascii="Arial" w:cs="Arial" w:eastAsia="Arial" w:hAnsi="Arial"/>
            <w:sz w:val="18"/>
            <w:szCs w:val="18"/>
            <w:u w:val="single" w:color="auto"/>
            <w:color w:val="0000FF"/>
          </w:rPr>
          <w:t>Current Report on Form 8-K filed on July 12, 2016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4.90      </w:t>
      </w:r>
      <w:hyperlink r:id="rId348">
        <w:r>
          <w:rPr>
            <w:rFonts w:ascii="Arial" w:cs="Arial" w:eastAsia="Arial" w:hAnsi="Arial"/>
            <w:sz w:val="18"/>
            <w:szCs w:val="18"/>
            <w:u w:val="single" w:color="auto"/>
            <w:color w:val="0000FF"/>
          </w:rPr>
          <w:t>Revolving Credit Agreement (2016-2B), dated as of July 8, 2016, between Wilmington Trust Company, as Subordination Agent,</w:t>
        </w:r>
      </w:hyperlink>
      <w:r>
        <w:rPr>
          <w:rFonts w:ascii="Arial" w:cs="Arial" w:eastAsia="Arial" w:hAnsi="Arial"/>
          <w:sz w:val="18"/>
          <w:szCs w:val="18"/>
          <w:color w:val="auto"/>
        </w:rPr>
        <w:t xml:space="preserve"> </w:t>
      </w:r>
      <w:hyperlink r:id="rId348">
        <w:r>
          <w:rPr>
            <w:rFonts w:ascii="Arial" w:cs="Arial" w:eastAsia="Arial" w:hAnsi="Arial"/>
            <w:sz w:val="18"/>
            <w:szCs w:val="18"/>
            <w:u w:val="single" w:color="auto"/>
            <w:color w:val="0000FF"/>
          </w:rPr>
          <w:t>as agent and trustee for the trustee of the American Airlines Pass Through Trust 2016-2B, as Borrower, and KfW IPEX Bank</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48">
        <w:r>
          <w:rPr>
            <w:rFonts w:ascii="Arial" w:cs="Arial" w:eastAsia="Arial" w:hAnsi="Arial"/>
            <w:sz w:val="18"/>
            <w:szCs w:val="18"/>
            <w:u w:val="single" w:color="auto"/>
            <w:color w:val="0000FF"/>
          </w:rPr>
          <w:t>GmbH, as Liquidity Provider (incorporated by reference to Exhibit 4.12 to American’s Current Report on Form 8-K filed on</w:t>
        </w:r>
      </w:hyperlink>
      <w:r>
        <w:rPr>
          <w:rFonts w:ascii="Arial" w:cs="Arial" w:eastAsia="Arial" w:hAnsi="Arial"/>
          <w:sz w:val="18"/>
          <w:szCs w:val="18"/>
          <w:u w:val="single" w:color="auto"/>
          <w:color w:val="0000FF"/>
        </w:rPr>
        <w:t xml:space="preserve"> </w:t>
      </w:r>
      <w:hyperlink r:id="rId348">
        <w:r>
          <w:rPr>
            <w:rFonts w:ascii="Arial" w:cs="Arial" w:eastAsia="Arial" w:hAnsi="Arial"/>
            <w:sz w:val="18"/>
            <w:szCs w:val="18"/>
            <w:u w:val="single" w:color="auto"/>
            <w:color w:val="0000FF"/>
          </w:rPr>
          <w:t>July 12,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4.91      </w:t>
      </w:r>
      <w:hyperlink r:id="rId349">
        <w:r>
          <w:rPr>
            <w:rFonts w:ascii="Arial" w:cs="Arial" w:eastAsia="Arial" w:hAnsi="Arial"/>
            <w:sz w:val="18"/>
            <w:szCs w:val="18"/>
            <w:u w:val="single" w:color="auto"/>
            <w:color w:val="0000FF"/>
          </w:rPr>
          <w:t>Trust Supplement No. 2016-3AA, dated as of October 3, 2016, between American Airlines, Inc. and Wilmington Trust Company,</w:t>
        </w:r>
      </w:hyperlink>
      <w:r>
        <w:rPr>
          <w:rFonts w:ascii="Arial" w:cs="Arial" w:eastAsia="Arial" w:hAnsi="Arial"/>
          <w:sz w:val="18"/>
          <w:szCs w:val="18"/>
          <w:color w:val="auto"/>
        </w:rPr>
        <w:t xml:space="preserve"> </w:t>
      </w:r>
      <w:hyperlink r:id="rId349">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49">
        <w:r>
          <w:rPr>
            <w:rFonts w:ascii="Arial" w:cs="Arial" w:eastAsia="Arial" w:hAnsi="Arial"/>
            <w:sz w:val="18"/>
            <w:szCs w:val="18"/>
            <w:u w:val="single" w:color="auto"/>
            <w:color w:val="0000FF"/>
          </w:rPr>
          <w:t>American’s Current Report on Form 8-K filed on October 4, 2016 (Commission File No. 1-2691)).</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4.92      </w:t>
      </w:r>
      <w:hyperlink r:id="rId351">
        <w:r>
          <w:rPr>
            <w:rFonts w:ascii="Arial" w:cs="Arial" w:eastAsia="Arial" w:hAnsi="Arial"/>
            <w:sz w:val="18"/>
            <w:szCs w:val="18"/>
            <w:u w:val="single" w:color="auto"/>
            <w:color w:val="0000FF"/>
          </w:rPr>
          <w:t>Trust Supplement No. 2016-3A, dated as of October 3, 2016, between American Airlines, Inc. and Wilmington Trust Company, as</w:t>
        </w:r>
      </w:hyperlink>
      <w:r>
        <w:rPr>
          <w:rFonts w:ascii="Arial" w:cs="Arial" w:eastAsia="Arial" w:hAnsi="Arial"/>
          <w:sz w:val="18"/>
          <w:szCs w:val="18"/>
          <w:color w:val="auto"/>
        </w:rPr>
        <w:t xml:space="preserve"> </w:t>
      </w:r>
      <w:hyperlink r:id="rId351">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spacing w:after="0" w:line="2" w:lineRule="exact"/>
        <w:rPr>
          <w:sz w:val="20"/>
          <w:szCs w:val="20"/>
          <w:color w:val="auto"/>
        </w:rPr>
      </w:pPr>
    </w:p>
    <w:p>
      <w:pPr>
        <w:ind w:left="920"/>
        <w:spacing w:after="0"/>
        <w:rPr>
          <w:rFonts w:ascii="Arial" w:cs="Arial" w:eastAsia="Arial" w:hAnsi="Arial"/>
          <w:sz w:val="18"/>
          <w:szCs w:val="18"/>
          <w:u w:val="single" w:color="auto"/>
          <w:color w:val="0000FF"/>
        </w:rPr>
      </w:pPr>
      <w:hyperlink r:id="rId351">
        <w:r>
          <w:rPr>
            <w:rFonts w:ascii="Arial" w:cs="Arial" w:eastAsia="Arial" w:hAnsi="Arial"/>
            <w:sz w:val="18"/>
            <w:szCs w:val="18"/>
            <w:u w:val="single" w:color="auto"/>
            <w:color w:val="0000FF"/>
          </w:rPr>
          <w:t>American’s Current Report on Form 8-K filed on October 4,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4.93      </w:t>
      </w:r>
      <w:hyperlink r:id="rId352">
        <w:r>
          <w:rPr>
            <w:rFonts w:ascii="Arial" w:cs="Arial" w:eastAsia="Arial" w:hAnsi="Arial"/>
            <w:sz w:val="18"/>
            <w:szCs w:val="18"/>
            <w:u w:val="single" w:color="auto"/>
            <w:color w:val="0000FF"/>
          </w:rPr>
          <w:t>Intercreditor Agreement (2016-3), dated as of October 3, 2016, among Wilmington Trust Company, as Trustee of the American</w:t>
        </w:r>
      </w:hyperlink>
      <w:r>
        <w:rPr>
          <w:rFonts w:ascii="Arial" w:cs="Arial" w:eastAsia="Arial" w:hAnsi="Arial"/>
          <w:sz w:val="18"/>
          <w:szCs w:val="18"/>
          <w:color w:val="auto"/>
        </w:rPr>
        <w:t xml:space="preserve"> </w:t>
      </w:r>
      <w:hyperlink r:id="rId352">
        <w:r>
          <w:rPr>
            <w:rFonts w:ascii="Arial" w:cs="Arial" w:eastAsia="Arial" w:hAnsi="Arial"/>
            <w:sz w:val="18"/>
            <w:szCs w:val="18"/>
            <w:u w:val="single" w:color="auto"/>
            <w:color w:val="0000FF"/>
          </w:rPr>
          <w:t>Airlines Pass Through Trust 2016 -3AA and as Trustee of the American Airlines Pass Through Trust 2016-3A, KfW IPEX-Bank</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52">
        <w:r>
          <w:rPr>
            <w:rFonts w:ascii="Arial" w:cs="Arial" w:eastAsia="Arial" w:hAnsi="Arial"/>
            <w:sz w:val="18"/>
            <w:szCs w:val="18"/>
            <w:u w:val="single" w:color="auto"/>
            <w:color w:val="0000FF"/>
          </w:rPr>
          <w:t>GmbH, as Class AA Liquidity Provider and Class A Liquidity Provider, and Wilmington Trust Company, as Subordination Agent</w:t>
        </w:r>
      </w:hyperlink>
      <w:r>
        <w:rPr>
          <w:rFonts w:ascii="Arial" w:cs="Arial" w:eastAsia="Arial" w:hAnsi="Arial"/>
          <w:sz w:val="18"/>
          <w:szCs w:val="18"/>
          <w:u w:val="single" w:color="auto"/>
          <w:color w:val="0000FF"/>
        </w:rPr>
        <w:t xml:space="preserve"> </w:t>
      </w:r>
      <w:hyperlink r:id="rId352">
        <w:r>
          <w:rPr>
            <w:rFonts w:ascii="Arial" w:cs="Arial" w:eastAsia="Arial" w:hAnsi="Arial"/>
            <w:sz w:val="18"/>
            <w:szCs w:val="18"/>
            <w:u w:val="single" w:color="auto"/>
            <w:color w:val="0000FF"/>
          </w:rPr>
          <w:t>(incorporated by reference to Exhibit 4.4 to American’s Current Report on Form 8-K filed on October 4, 2016 (Commission File</w:t>
        </w:r>
      </w:hyperlink>
      <w:r>
        <w:rPr>
          <w:rFonts w:ascii="Arial" w:cs="Arial" w:eastAsia="Arial" w:hAnsi="Arial"/>
          <w:sz w:val="18"/>
          <w:szCs w:val="18"/>
          <w:u w:val="single" w:color="auto"/>
          <w:color w:val="0000FF"/>
        </w:rPr>
        <w:t xml:space="preserve"> </w:t>
      </w:r>
      <w:hyperlink r:id="rId352">
        <w:r>
          <w:rPr>
            <w:rFonts w:ascii="Arial" w:cs="Arial" w:eastAsia="Arial" w:hAnsi="Arial"/>
            <w:sz w:val="18"/>
            <w:szCs w:val="18"/>
            <w:u w:val="single" w:color="auto"/>
            <w:color w:val="0000FF"/>
          </w:rPr>
          <w:t>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4.94      </w:t>
      </w:r>
      <w:hyperlink r:id="rId353">
        <w:r>
          <w:rPr>
            <w:rFonts w:ascii="Arial" w:cs="Arial" w:eastAsia="Arial" w:hAnsi="Arial"/>
            <w:sz w:val="18"/>
            <w:szCs w:val="18"/>
            <w:u w:val="single" w:color="auto"/>
            <w:color w:val="0000FF"/>
          </w:rPr>
          <w:t>Amended and Restated Intercreditor Agreement (2016-3), dated as of October 4, 2017, among Wilmington Trust Company, as</w:t>
        </w:r>
      </w:hyperlink>
      <w:r>
        <w:rPr>
          <w:rFonts w:ascii="Arial" w:cs="Arial" w:eastAsia="Arial" w:hAnsi="Arial"/>
          <w:sz w:val="18"/>
          <w:szCs w:val="18"/>
          <w:color w:val="auto"/>
        </w:rPr>
        <w:t xml:space="preserve"> </w:t>
      </w:r>
      <w:hyperlink r:id="rId353">
        <w:r>
          <w:rPr>
            <w:rFonts w:ascii="Arial" w:cs="Arial" w:eastAsia="Arial" w:hAnsi="Arial"/>
            <w:sz w:val="18"/>
            <w:szCs w:val="18"/>
            <w:u w:val="single" w:color="auto"/>
            <w:color w:val="0000FF"/>
          </w:rPr>
          <w:t>Trustee of the American Airlines Pass Through Trust 2016-3AA, as Trustee of the American Airlines Pass Through Trust 2016-3A</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53">
        <w:r>
          <w:rPr>
            <w:rFonts w:ascii="Arial" w:cs="Arial" w:eastAsia="Arial" w:hAnsi="Arial"/>
            <w:sz w:val="18"/>
            <w:szCs w:val="18"/>
            <w:u w:val="single" w:color="auto"/>
            <w:color w:val="0000FF"/>
          </w:rPr>
          <w:t>and as Trustee of the American Airlines Pass Through Trust 2016-3B, KfW IPEX-Bank GmbH, as Class AA Liquidity Provider,</w:t>
        </w:r>
      </w:hyperlink>
      <w:r>
        <w:rPr>
          <w:rFonts w:ascii="Arial" w:cs="Arial" w:eastAsia="Arial" w:hAnsi="Arial"/>
          <w:sz w:val="18"/>
          <w:szCs w:val="18"/>
          <w:u w:val="single" w:color="auto"/>
          <w:color w:val="0000FF"/>
        </w:rPr>
        <w:t xml:space="preserve"> </w:t>
      </w:r>
      <w:hyperlink r:id="rId353">
        <w:r>
          <w:rPr>
            <w:rFonts w:ascii="Arial" w:cs="Arial" w:eastAsia="Arial" w:hAnsi="Arial"/>
            <w:sz w:val="18"/>
            <w:szCs w:val="18"/>
            <w:u w:val="single" w:color="auto"/>
            <w:color w:val="0000FF"/>
          </w:rPr>
          <w:t>Class A Liquidity Provider and Class B Liquidity Provider, and Wilmington Trust Company, as Subordination Agent (incorporated</w:t>
        </w:r>
      </w:hyperlink>
      <w:r>
        <w:rPr>
          <w:rFonts w:ascii="Arial" w:cs="Arial" w:eastAsia="Arial" w:hAnsi="Arial"/>
          <w:sz w:val="18"/>
          <w:szCs w:val="18"/>
          <w:u w:val="single" w:color="auto"/>
          <w:color w:val="0000FF"/>
        </w:rPr>
        <w:t xml:space="preserve"> </w:t>
      </w:r>
      <w:hyperlink r:id="rId353">
        <w:r>
          <w:rPr>
            <w:rFonts w:ascii="Arial" w:cs="Arial" w:eastAsia="Arial" w:hAnsi="Arial"/>
            <w:sz w:val="18"/>
            <w:szCs w:val="18"/>
            <w:u w:val="single" w:color="auto"/>
            <w:color w:val="0000FF"/>
          </w:rPr>
          <w:t>by reference to Exhibit 4.3 to American’s Current Report on Form 8-K filed on October 5, 2017 (Commission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4.95      </w:t>
      </w:r>
      <w:hyperlink r:id="rId354">
        <w:r>
          <w:rPr>
            <w:rFonts w:ascii="Arial" w:cs="Arial" w:eastAsia="Arial" w:hAnsi="Arial"/>
            <w:sz w:val="18"/>
            <w:szCs w:val="18"/>
            <w:u w:val="single" w:color="auto"/>
            <w:color w:val="0000FF"/>
          </w:rPr>
          <w:t>Note Purchase Agreement, dated as of October 3, 2016, among American Airlines, Inc., Wilmington Trust Company, as Pass</w:t>
        </w:r>
      </w:hyperlink>
      <w:r>
        <w:rPr>
          <w:rFonts w:ascii="Arial" w:cs="Arial" w:eastAsia="Arial" w:hAnsi="Arial"/>
          <w:sz w:val="18"/>
          <w:szCs w:val="18"/>
          <w:color w:val="auto"/>
        </w:rPr>
        <w:t xml:space="preserve"> </w:t>
      </w:r>
      <w:hyperlink r:id="rId354">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54">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reference to Exhibit 4.9 to American’s Current Report on Form 8-K filed on 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4.96      </w:t>
      </w:r>
      <w:hyperlink r:id="rId354">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54">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54">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(incorporated by reference to Exhibit B to Exhibit 4.9 to American’s Current Report on Form 8-K filed on October 4, 2016</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4.97      </w:t>
      </w:r>
      <w:hyperlink r:id="rId354">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54">
        <w:r>
          <w:rPr>
            <w:rFonts w:ascii="Arial" w:cs="Arial" w:eastAsia="Arial" w:hAnsi="Arial"/>
            <w:sz w:val="18"/>
            <w:szCs w:val="18"/>
            <w:u w:val="single" w:color="auto"/>
            <w:color w:val="0000FF"/>
          </w:rPr>
          <w:t>Trust Company, as Loan Trustee) (incorporated by reference to Exhibit C to Exhibit 4.9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54">
        <w:r>
          <w:rPr>
            <w:rFonts w:ascii="Arial" w:cs="Arial" w:eastAsia="Arial" w:hAnsi="Arial"/>
            <w:sz w:val="18"/>
            <w:szCs w:val="18"/>
            <w:u w:val="single" w:color="auto"/>
            <w:color w:val="0000FF"/>
          </w:rPr>
          <w:t>K filed on October 4, 2016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4.98</w:t>
      </w:r>
      <w:r>
        <w:rPr>
          <w:sz w:val="20"/>
          <w:szCs w:val="20"/>
          <w:color w:val="auto"/>
        </w:rPr>
        <w:tab/>
      </w:r>
      <w:hyperlink r:id="rId349">
        <w:r>
          <w:rPr>
            <w:rFonts w:ascii="Arial" w:cs="Arial" w:eastAsia="Arial" w:hAnsi="Arial"/>
            <w:sz w:val="18"/>
            <w:szCs w:val="18"/>
            <w:u w:val="single" w:color="auto"/>
            <w:color w:val="0000FF"/>
          </w:rPr>
          <w:t>Form of Pass Through Trust Certificate, Series 2016-3AA (incorporated by reference to Exhibit A to Exhibit 4.2 to American’s</w:t>
        </w:r>
      </w:hyperlink>
      <w:r>
        <w:rPr>
          <w:rFonts w:ascii="Arial" w:cs="Arial" w:eastAsia="Arial" w:hAnsi="Arial"/>
          <w:sz w:val="18"/>
          <w:szCs w:val="18"/>
          <w:u w:val="single" w:color="auto"/>
          <w:color w:val="0000FF"/>
        </w:rPr>
        <w:t xml:space="preserve"> </w:t>
      </w:r>
      <w:hyperlink r:id="rId349">
        <w:r>
          <w:rPr>
            <w:rFonts w:ascii="Arial" w:cs="Arial" w:eastAsia="Arial" w:hAnsi="Arial"/>
            <w:sz w:val="18"/>
            <w:szCs w:val="18"/>
            <w:u w:val="single" w:color="auto"/>
            <w:color w:val="0000FF"/>
          </w:rPr>
          <w:t>Current Report on Form 8-K filed on October 4, 2016 (Commission File No. 1-2691)).</w:t>
        </w:r>
      </w:hyperlink>
    </w:p>
    <w:p>
      <w:pPr>
        <w:spacing w:after="0" w:line="6"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4.99</w:t>
      </w:r>
      <w:r>
        <w:rPr>
          <w:sz w:val="20"/>
          <w:szCs w:val="20"/>
          <w:color w:val="auto"/>
        </w:rPr>
        <w:tab/>
      </w:r>
      <w:hyperlink r:id="rId351">
        <w:r>
          <w:rPr>
            <w:rFonts w:ascii="Arial" w:cs="Arial" w:eastAsia="Arial" w:hAnsi="Arial"/>
            <w:sz w:val="18"/>
            <w:szCs w:val="18"/>
            <w:u w:val="single" w:color="auto"/>
            <w:color w:val="0000FF"/>
          </w:rPr>
          <w:t>Form of Pass Through Trust Certificate, Series 2016-3A (incorporated by reference to Exhibit A to Exhibit 4.3 to American’s</w:t>
        </w:r>
      </w:hyperlink>
      <w:r>
        <w:rPr>
          <w:rFonts w:ascii="Arial" w:cs="Arial" w:eastAsia="Arial" w:hAnsi="Arial"/>
          <w:sz w:val="18"/>
          <w:szCs w:val="18"/>
          <w:u w:val="single" w:color="auto"/>
          <w:color w:val="0000FF"/>
        </w:rPr>
        <w:t xml:space="preserve"> </w:t>
      </w:r>
      <w:hyperlink r:id="rId351">
        <w:r>
          <w:rPr>
            <w:rFonts w:ascii="Arial" w:cs="Arial" w:eastAsia="Arial" w:hAnsi="Arial"/>
            <w:sz w:val="18"/>
            <w:szCs w:val="18"/>
            <w:u w:val="single" w:color="auto"/>
            <w:color w:val="0000FF"/>
          </w:rPr>
          <w:t>Current Report on Form 8-K filed on October 4, 2016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4.100     </w:t>
      </w:r>
      <w:hyperlink r:id="rId355">
        <w:r>
          <w:rPr>
            <w:rFonts w:ascii="Arial" w:cs="Arial" w:eastAsia="Arial" w:hAnsi="Arial"/>
            <w:sz w:val="18"/>
            <w:szCs w:val="18"/>
            <w:u w:val="single" w:color="auto"/>
            <w:color w:val="0000FF"/>
          </w:rPr>
          <w:t>Revolving Credit Agreement (2016-3AA), dated as of October 3, 2016, between Wilmington Trust Company, as Subordination</w:t>
        </w:r>
      </w:hyperlink>
      <w:r>
        <w:rPr>
          <w:rFonts w:ascii="Arial" w:cs="Arial" w:eastAsia="Arial" w:hAnsi="Arial"/>
          <w:sz w:val="18"/>
          <w:szCs w:val="18"/>
          <w:color w:val="auto"/>
        </w:rPr>
        <w:t xml:space="preserve"> </w:t>
      </w:r>
      <w:hyperlink r:id="rId355">
        <w:r>
          <w:rPr>
            <w:rFonts w:ascii="Arial" w:cs="Arial" w:eastAsia="Arial" w:hAnsi="Arial"/>
            <w:sz w:val="18"/>
            <w:szCs w:val="18"/>
            <w:u w:val="single" w:color="auto"/>
            <w:color w:val="0000FF"/>
          </w:rPr>
          <w:t>Agent, as agent and trustee for the trustee of the American Airlines Pass Through Trust 2016-3AA,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55">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55">
        <w:r>
          <w:rPr>
            <w:rFonts w:ascii="Arial" w:cs="Arial" w:eastAsia="Arial" w:hAnsi="Arial"/>
            <w:sz w:val="18"/>
            <w:szCs w:val="18"/>
            <w:u w:val="single" w:color="auto"/>
            <w:color w:val="0000FF"/>
          </w:rPr>
          <w:t>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4.101     </w:t>
      </w:r>
      <w:hyperlink r:id="rId356">
        <w:r>
          <w:rPr>
            <w:rFonts w:ascii="Arial" w:cs="Arial" w:eastAsia="Arial" w:hAnsi="Arial"/>
            <w:sz w:val="18"/>
            <w:szCs w:val="18"/>
            <w:u w:val="single" w:color="auto"/>
            <w:color w:val="0000FF"/>
          </w:rPr>
          <w:t>Revolving Credit Agreement (2016-3A), dated as of October 3, 2016, between Wilmington Trust Company, as Subordination</w:t>
        </w:r>
      </w:hyperlink>
      <w:r>
        <w:rPr>
          <w:rFonts w:ascii="Arial" w:cs="Arial" w:eastAsia="Arial" w:hAnsi="Arial"/>
          <w:sz w:val="18"/>
          <w:szCs w:val="18"/>
          <w:color w:val="auto"/>
        </w:rPr>
        <w:t xml:space="preserve"> </w:t>
      </w:r>
      <w:hyperlink r:id="rId356">
        <w:r>
          <w:rPr>
            <w:rFonts w:ascii="Arial" w:cs="Arial" w:eastAsia="Arial" w:hAnsi="Arial"/>
            <w:sz w:val="18"/>
            <w:szCs w:val="18"/>
            <w:u w:val="single" w:color="auto"/>
            <w:color w:val="0000FF"/>
          </w:rPr>
          <w:t>Agent, as agent and trustee for the trustee of the American Airlines Pass Through Trust 2016-3A,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56">
        <w:r>
          <w:rPr>
            <w:rFonts w:ascii="Arial" w:cs="Arial" w:eastAsia="Arial" w:hAnsi="Arial"/>
            <w:sz w:val="18"/>
            <w:szCs w:val="18"/>
            <w:u w:val="single" w:color="auto"/>
            <w:color w:val="0000FF"/>
          </w:rPr>
          <w:t>Bank GmbH, as Liquidity Provider (incorporated by reference to Exhibit 4.15 to American’s Current Report on Form 8-K filed on</w:t>
        </w:r>
      </w:hyperlink>
      <w:r>
        <w:rPr>
          <w:rFonts w:ascii="Arial" w:cs="Arial" w:eastAsia="Arial" w:hAnsi="Arial"/>
          <w:sz w:val="18"/>
          <w:szCs w:val="18"/>
          <w:u w:val="single" w:color="auto"/>
          <w:color w:val="0000FF"/>
        </w:rPr>
        <w:t xml:space="preserve"> </w:t>
      </w:r>
      <w:hyperlink r:id="rId356">
        <w:r>
          <w:rPr>
            <w:rFonts w:ascii="Arial" w:cs="Arial" w:eastAsia="Arial" w:hAnsi="Arial"/>
            <w:sz w:val="18"/>
            <w:szCs w:val="18"/>
            <w:u w:val="single" w:color="auto"/>
            <w:color w:val="0000FF"/>
          </w:rPr>
          <w:t>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4.102     </w:t>
      </w:r>
      <w:hyperlink r:id="rId357">
        <w:r>
          <w:rPr>
            <w:rFonts w:ascii="Arial" w:cs="Arial" w:eastAsia="Arial" w:hAnsi="Arial"/>
            <w:sz w:val="18"/>
            <w:szCs w:val="18"/>
            <w:u w:val="single" w:color="auto"/>
            <w:color w:val="0000FF"/>
          </w:rPr>
          <w:t>Trust Supplement No. 2017-1AA, dated as of January 13, 2017, between American Airlines, Inc. and Wilmington Trust Company,</w:t>
        </w:r>
      </w:hyperlink>
      <w:r>
        <w:rPr>
          <w:rFonts w:ascii="Arial" w:cs="Arial" w:eastAsia="Arial" w:hAnsi="Arial"/>
          <w:sz w:val="18"/>
          <w:szCs w:val="18"/>
          <w:color w:val="auto"/>
        </w:rPr>
        <w:t xml:space="preserve"> </w:t>
      </w:r>
      <w:hyperlink r:id="rId357">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57">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4.103     </w:t>
      </w:r>
      <w:hyperlink r:id="rId358">
        <w:r>
          <w:rPr>
            <w:rFonts w:ascii="Arial" w:cs="Arial" w:eastAsia="Arial" w:hAnsi="Arial"/>
            <w:sz w:val="18"/>
            <w:szCs w:val="18"/>
            <w:u w:val="single" w:color="auto"/>
            <w:color w:val="0000FF"/>
          </w:rPr>
          <w:t>Trust Supplement No. 2017-1A, dated as of January 13, 2017, between American Airlines, Inc. and Wilmington Trust Company,</w:t>
        </w:r>
      </w:hyperlink>
      <w:r>
        <w:rPr>
          <w:rFonts w:ascii="Arial" w:cs="Arial" w:eastAsia="Arial" w:hAnsi="Arial"/>
          <w:sz w:val="18"/>
          <w:szCs w:val="18"/>
          <w:color w:val="auto"/>
        </w:rPr>
        <w:t xml:space="preserve"> </w:t>
      </w:r>
      <w:hyperlink r:id="rId358">
        <w:r>
          <w:rPr>
            <w:rFonts w:ascii="Arial" w:cs="Arial" w:eastAsia="Arial" w:hAnsi="Arial"/>
            <w:sz w:val="18"/>
            <w:szCs w:val="18"/>
            <w:u w:val="single" w:color="auto"/>
            <w:color w:val="0000FF"/>
          </w:rPr>
          <w:t>as Trustee, to the Pass Through Trust Agreement, dated as of September 16, 2014,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58">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4.104     </w:t>
      </w:r>
      <w:hyperlink r:id="rId359">
        <w:r>
          <w:rPr>
            <w:rFonts w:ascii="Arial" w:cs="Arial" w:eastAsia="Arial" w:hAnsi="Arial"/>
            <w:sz w:val="18"/>
            <w:szCs w:val="18"/>
            <w:u w:val="single" w:color="auto"/>
            <w:color w:val="0000FF"/>
          </w:rPr>
          <w:t>Trust Supplement No. 2017-1B, dated as of January 13, 2017, between American Airlines, Inc. and Wilmington Trust Company,</w:t>
        </w:r>
      </w:hyperlink>
      <w:r>
        <w:rPr>
          <w:rFonts w:ascii="Arial" w:cs="Arial" w:eastAsia="Arial" w:hAnsi="Arial"/>
          <w:sz w:val="18"/>
          <w:szCs w:val="18"/>
          <w:color w:val="auto"/>
        </w:rPr>
        <w:t xml:space="preserve"> </w:t>
      </w:r>
      <w:hyperlink r:id="rId359">
        <w:r>
          <w:rPr>
            <w:rFonts w:ascii="Arial" w:cs="Arial" w:eastAsia="Arial" w:hAnsi="Arial"/>
            <w:sz w:val="18"/>
            <w:szCs w:val="18"/>
            <w:u w:val="single" w:color="auto"/>
            <w:color w:val="0000FF"/>
          </w:rPr>
          <w:t>as Trustee, to the Pass Through Trust Agreement, dated as of September 16, 2014 (incorporated by reference to Exhibit 4.4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59">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4.105     </w:t>
      </w:r>
      <w:hyperlink r:id="rId360">
        <w:r>
          <w:rPr>
            <w:rFonts w:ascii="Arial" w:cs="Arial" w:eastAsia="Arial" w:hAnsi="Arial"/>
            <w:sz w:val="18"/>
            <w:szCs w:val="18"/>
            <w:u w:val="single" w:color="auto"/>
            <w:color w:val="0000FF"/>
          </w:rPr>
          <w:t>Intercreditor Agreement (2017-1), dated as of January 13, 2017, among Wilmington Trust Company, as Trustee of the American</w:t>
        </w:r>
      </w:hyperlink>
      <w:r>
        <w:rPr>
          <w:rFonts w:ascii="Arial" w:cs="Arial" w:eastAsia="Arial" w:hAnsi="Arial"/>
          <w:sz w:val="18"/>
          <w:szCs w:val="18"/>
          <w:color w:val="auto"/>
        </w:rPr>
        <w:t xml:space="preserve"> </w:t>
      </w:r>
      <w:hyperlink r:id="rId360">
        <w:r>
          <w:rPr>
            <w:rFonts w:ascii="Arial" w:cs="Arial" w:eastAsia="Arial" w:hAnsi="Arial"/>
            <w:sz w:val="18"/>
            <w:szCs w:val="18"/>
            <w:u w:val="single" w:color="auto"/>
            <w:color w:val="0000FF"/>
          </w:rPr>
          <w:t>Airlines Pass Through Trust 2017-1AA, as Trustee of the American Airlines Pass Through Trust 2017-1A and as Trustee of the</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60">
        <w:r>
          <w:rPr>
            <w:rFonts w:ascii="Arial" w:cs="Arial" w:eastAsia="Arial" w:hAnsi="Arial"/>
            <w:sz w:val="18"/>
            <w:szCs w:val="18"/>
            <w:u w:val="single" w:color="auto"/>
            <w:color w:val="0000FF"/>
          </w:rPr>
          <w:t>American Airlines Pass Through Trust 2017-1B, Citibank N.A., as Class AA Liquidity Provider, Class A Liquidity Provider and</w:t>
        </w:r>
      </w:hyperlink>
      <w:r>
        <w:rPr>
          <w:rFonts w:ascii="Arial" w:cs="Arial" w:eastAsia="Arial" w:hAnsi="Arial"/>
          <w:sz w:val="18"/>
          <w:szCs w:val="18"/>
          <w:u w:val="single" w:color="auto"/>
          <w:color w:val="0000FF"/>
        </w:rPr>
        <w:t xml:space="preserve"> </w:t>
      </w:r>
      <w:hyperlink r:id="rId360">
        <w:r>
          <w:rPr>
            <w:rFonts w:ascii="Arial" w:cs="Arial" w:eastAsia="Arial" w:hAnsi="Arial"/>
            <w:sz w:val="18"/>
            <w:szCs w:val="18"/>
            <w:u w:val="single" w:color="auto"/>
            <w:color w:val="0000FF"/>
          </w:rPr>
          <w:t>Class B Liquidity Provider, and Wilmington Trust Company, as Subordination Agent (incorporated by reference to Exhibit 4.5 to</w:t>
        </w:r>
      </w:hyperlink>
      <w:r>
        <w:rPr>
          <w:rFonts w:ascii="Arial" w:cs="Arial" w:eastAsia="Arial" w:hAnsi="Arial"/>
          <w:sz w:val="18"/>
          <w:szCs w:val="18"/>
          <w:u w:val="single" w:color="auto"/>
          <w:color w:val="0000FF"/>
        </w:rPr>
        <w:t xml:space="preserve"> </w:t>
      </w:r>
      <w:hyperlink r:id="rId360">
        <w:r>
          <w:rPr>
            <w:rFonts w:ascii="Arial" w:cs="Arial" w:eastAsia="Arial" w:hAnsi="Arial"/>
            <w:sz w:val="18"/>
            <w:szCs w:val="18"/>
            <w:u w:val="single" w:color="auto"/>
            <w:color w:val="0000FF"/>
          </w:rPr>
          <w:t>American’s Current Report on Form 8-K filed on January 17, 2017 (Commission File No. 1-02691)).</w:t>
        </w:r>
      </w:hyperlink>
    </w:p>
    <w:p>
      <w:pPr>
        <w:spacing w:after="0" w:line="200" w:lineRule="exact"/>
        <w:rPr>
          <w:rFonts w:ascii="Arial" w:cs="Arial" w:eastAsia="Arial" w:hAnsi="Arial"/>
          <w:sz w:val="18"/>
          <w:szCs w:val="18"/>
          <w:u w:val="single" w:color="auto"/>
          <w:color w:val="0000FF"/>
        </w:rPr>
      </w:pPr>
    </w:p>
    <w:p>
      <w:pPr>
        <w:spacing w:after="0" w:line="317"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4.106     </w:t>
      </w:r>
      <w:hyperlink r:id="rId362">
        <w:r>
          <w:rPr>
            <w:rFonts w:ascii="Arial" w:cs="Arial" w:eastAsia="Arial" w:hAnsi="Arial"/>
            <w:sz w:val="18"/>
            <w:szCs w:val="18"/>
            <w:u w:val="single" w:color="auto"/>
            <w:color w:val="0000FF"/>
          </w:rPr>
          <w:t>Note Purchase Agreement, dated as of January 13, 2017, among American Airlines, Inc., Wilmington Trust Company, as Pass</w:t>
        </w:r>
      </w:hyperlink>
      <w:r>
        <w:rPr>
          <w:rFonts w:ascii="Arial" w:cs="Arial" w:eastAsia="Arial" w:hAnsi="Arial"/>
          <w:sz w:val="18"/>
          <w:szCs w:val="18"/>
          <w:color w:val="auto"/>
        </w:rPr>
        <w:t xml:space="preserve"> </w:t>
      </w:r>
      <w:hyperlink r:id="rId362">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2"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62">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62">
        <w:r>
          <w:rPr>
            <w:rFonts w:ascii="Arial" w:cs="Arial" w:eastAsia="Arial" w:hAnsi="Arial"/>
            <w:sz w:val="18"/>
            <w:szCs w:val="18"/>
            <w:u w:val="single" w:color="auto"/>
            <w:color w:val="0000FF"/>
          </w:rPr>
          <w:t>reference to Exhibit 4.12 to American’s Current Report on Form 8-K filed on January 17, 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4.107     </w:t>
      </w:r>
      <w:hyperlink r:id="rId362">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62">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62">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62">
        <w:r>
          <w:rPr>
            <w:rFonts w:ascii="Arial" w:cs="Arial" w:eastAsia="Arial" w:hAnsi="Arial"/>
            <w:sz w:val="18"/>
            <w:szCs w:val="18"/>
            <w:u w:val="single" w:color="auto"/>
            <w:color w:val="0000FF"/>
          </w:rPr>
          <w:t>(incorporated by reference to Exhibit B to Exhibit 4.12 to American’s Current Report on Form 8-K filed on January 17, 2017</w:t>
        </w:r>
      </w:hyperlink>
      <w:r>
        <w:rPr>
          <w:rFonts w:ascii="Arial" w:cs="Arial" w:eastAsia="Arial" w:hAnsi="Arial"/>
          <w:sz w:val="18"/>
          <w:szCs w:val="18"/>
          <w:u w:val="single" w:color="auto"/>
          <w:color w:val="0000FF"/>
        </w:rPr>
        <w:t xml:space="preserve"> </w:t>
      </w:r>
      <w:hyperlink r:id="rId362">
        <w:r>
          <w:rPr>
            <w:rFonts w:ascii="Arial" w:cs="Arial" w:eastAsia="Arial" w:hAnsi="Arial"/>
            <w:sz w:val="18"/>
            <w:szCs w:val="18"/>
            <w:u w:val="single" w:color="auto"/>
            <w:color w:val="0000FF"/>
          </w:rPr>
          <w:t>(Commission File No. 1-02691)).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4.108     </w:t>
      </w:r>
      <w:hyperlink r:id="rId362">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62">
        <w:r>
          <w:rPr>
            <w:rFonts w:ascii="Arial" w:cs="Arial" w:eastAsia="Arial" w:hAnsi="Arial"/>
            <w:sz w:val="18"/>
            <w:szCs w:val="18"/>
            <w:u w:val="single" w:color="auto"/>
            <w:color w:val="0000FF"/>
          </w:rPr>
          <w:t>Trust Company, as Loan Trustee) (incorporated by reference to Exhibit C to Exhibit 4.12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62">
        <w:r>
          <w:rPr>
            <w:rFonts w:ascii="Arial" w:cs="Arial" w:eastAsia="Arial" w:hAnsi="Arial"/>
            <w:sz w:val="18"/>
            <w:szCs w:val="18"/>
            <w:u w:val="single" w:color="auto"/>
            <w:color w:val="0000FF"/>
          </w:rPr>
          <w:t>K filed on January 17, 2017 (Commission File No. 1-02691)).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4.109</w:t>
      </w:r>
      <w:r>
        <w:rPr>
          <w:sz w:val="20"/>
          <w:szCs w:val="20"/>
          <w:color w:val="auto"/>
        </w:rPr>
        <w:tab/>
      </w:r>
      <w:hyperlink r:id="rId357">
        <w:r>
          <w:rPr>
            <w:rFonts w:ascii="Arial" w:cs="Arial" w:eastAsia="Arial" w:hAnsi="Arial"/>
            <w:sz w:val="18"/>
            <w:szCs w:val="18"/>
            <w:u w:val="single" w:color="auto"/>
            <w:color w:val="0000FF"/>
          </w:rPr>
          <w:t>Form of Pass Through Trust Certificate, Series 2017-1AA (incorporated by reference to Exhibit A to Exhibit 4.2 to American’s</w:t>
        </w:r>
      </w:hyperlink>
      <w:r>
        <w:rPr>
          <w:rFonts w:ascii="Arial" w:cs="Arial" w:eastAsia="Arial" w:hAnsi="Arial"/>
          <w:sz w:val="18"/>
          <w:szCs w:val="18"/>
          <w:u w:val="single" w:color="auto"/>
          <w:color w:val="0000FF"/>
        </w:rPr>
        <w:t xml:space="preserve"> </w:t>
      </w:r>
      <w:hyperlink r:id="rId357">
        <w:r>
          <w:rPr>
            <w:rFonts w:ascii="Arial" w:cs="Arial" w:eastAsia="Arial" w:hAnsi="Arial"/>
            <w:sz w:val="18"/>
            <w:szCs w:val="18"/>
            <w:u w:val="single" w:color="auto"/>
            <w:color w:val="0000FF"/>
          </w:rPr>
          <w:t>Current Report on Form 8-K filed on January 17, 2017 (Commission File No. 1-02691)).</w:t>
        </w:r>
      </w:hyperlink>
    </w:p>
    <w:p>
      <w:pPr>
        <w:spacing w:after="0" w:line="6"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4.110</w:t>
      </w:r>
      <w:r>
        <w:rPr>
          <w:sz w:val="20"/>
          <w:szCs w:val="20"/>
          <w:color w:val="auto"/>
        </w:rPr>
        <w:tab/>
      </w:r>
      <w:hyperlink r:id="rId358">
        <w:r>
          <w:rPr>
            <w:rFonts w:ascii="Arial" w:cs="Arial" w:eastAsia="Arial" w:hAnsi="Arial"/>
            <w:sz w:val="18"/>
            <w:szCs w:val="18"/>
            <w:u w:val="single" w:color="auto"/>
            <w:color w:val="0000FF"/>
          </w:rPr>
          <w:t>Form of Pass Through Trust Certificate, Series 2017-1A (incorporated by reference to Exhibit A to Exhibit 4.3 to American’s</w:t>
        </w:r>
      </w:hyperlink>
      <w:r>
        <w:rPr>
          <w:rFonts w:ascii="Arial" w:cs="Arial" w:eastAsia="Arial" w:hAnsi="Arial"/>
          <w:sz w:val="18"/>
          <w:szCs w:val="18"/>
          <w:u w:val="single" w:color="auto"/>
          <w:color w:val="0000FF"/>
        </w:rPr>
        <w:t xml:space="preserve"> </w:t>
      </w:r>
      <w:hyperlink r:id="rId358">
        <w:r>
          <w:rPr>
            <w:rFonts w:ascii="Arial" w:cs="Arial" w:eastAsia="Arial" w:hAnsi="Arial"/>
            <w:sz w:val="18"/>
            <w:szCs w:val="18"/>
            <w:u w:val="single" w:color="auto"/>
            <w:color w:val="0000FF"/>
          </w:rPr>
          <w:t>Current Report on Form 8-K filed on January 17, 2017 (Commission File No. 1-02691)).</w:t>
        </w:r>
      </w:hyperlink>
    </w:p>
    <w:p>
      <w:pPr>
        <w:spacing w:after="0" w:line="5"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4.111</w:t>
      </w:r>
      <w:r>
        <w:rPr>
          <w:sz w:val="20"/>
          <w:szCs w:val="20"/>
          <w:color w:val="auto"/>
        </w:rPr>
        <w:tab/>
      </w:r>
      <w:hyperlink r:id="rId359">
        <w:r>
          <w:rPr>
            <w:rFonts w:ascii="Arial" w:cs="Arial" w:eastAsia="Arial" w:hAnsi="Arial"/>
            <w:sz w:val="18"/>
            <w:szCs w:val="18"/>
            <w:u w:val="single" w:color="auto"/>
            <w:color w:val="0000FF"/>
          </w:rPr>
          <w:t>Form of Pass Through Trust Certificate, Series 2017-1B (incorporated by reference to Exhibit A to Exhibit 4.4 to American’s</w:t>
        </w:r>
      </w:hyperlink>
      <w:r>
        <w:rPr>
          <w:rFonts w:ascii="Arial" w:cs="Arial" w:eastAsia="Arial" w:hAnsi="Arial"/>
          <w:sz w:val="18"/>
          <w:szCs w:val="18"/>
          <w:u w:val="single" w:color="auto"/>
          <w:color w:val="0000FF"/>
        </w:rPr>
        <w:t xml:space="preserve"> </w:t>
      </w:r>
      <w:hyperlink r:id="rId359">
        <w:r>
          <w:rPr>
            <w:rFonts w:ascii="Arial" w:cs="Arial" w:eastAsia="Arial" w:hAnsi="Arial"/>
            <w:sz w:val="18"/>
            <w:szCs w:val="18"/>
            <w:u w:val="single" w:color="auto"/>
            <w:color w:val="0000FF"/>
          </w:rPr>
          <w:t>Current Report on Form 8-K filed on January 17, 2017 (Commission File No. 1-02691)).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4.112     </w:t>
      </w:r>
      <w:hyperlink r:id="rId363">
        <w:r>
          <w:rPr>
            <w:rFonts w:ascii="Arial" w:cs="Arial" w:eastAsia="Arial" w:hAnsi="Arial"/>
            <w:sz w:val="18"/>
            <w:szCs w:val="18"/>
            <w:u w:val="single" w:color="auto"/>
            <w:color w:val="0000FF"/>
          </w:rPr>
          <w:t>Revolving Credit Agreement (2017-1AA), dated as of January 13, 2017, between Wilmington Trust Company, as Subordination</w:t>
        </w:r>
      </w:hyperlink>
      <w:r>
        <w:rPr>
          <w:rFonts w:ascii="Arial" w:cs="Arial" w:eastAsia="Arial" w:hAnsi="Arial"/>
          <w:sz w:val="18"/>
          <w:szCs w:val="18"/>
          <w:color w:val="auto"/>
        </w:rPr>
        <w:t xml:space="preserve"> </w:t>
      </w:r>
      <w:hyperlink r:id="rId363">
        <w:r>
          <w:rPr>
            <w:rFonts w:ascii="Arial" w:cs="Arial" w:eastAsia="Arial" w:hAnsi="Arial"/>
            <w:sz w:val="18"/>
            <w:szCs w:val="18"/>
            <w:u w:val="single" w:color="auto"/>
            <w:color w:val="0000FF"/>
          </w:rPr>
          <w:t>Agent, as agent and trustee for the trustee of the American Airlines Pass Through Trust 2017-1AA, as Borrower, and Citibank</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63">
        <w:r>
          <w:rPr>
            <w:rFonts w:ascii="Arial" w:cs="Arial" w:eastAsia="Arial" w:hAnsi="Arial"/>
            <w:sz w:val="18"/>
            <w:szCs w:val="18"/>
            <w:u w:val="single" w:color="auto"/>
            <w:color w:val="0000FF"/>
          </w:rPr>
          <w:t>N.A., as Liquidity Provider (incorporated by reference to Exhibit 4.18 to American’s Current Report on Form 8-K filed on January</w:t>
        </w:r>
      </w:hyperlink>
      <w:r>
        <w:rPr>
          <w:rFonts w:ascii="Arial" w:cs="Arial" w:eastAsia="Arial" w:hAnsi="Arial"/>
          <w:sz w:val="18"/>
          <w:szCs w:val="18"/>
          <w:u w:val="single" w:color="auto"/>
          <w:color w:val="0000FF"/>
        </w:rPr>
        <w:t xml:space="preserve"> </w:t>
      </w:r>
      <w:hyperlink r:id="rId363">
        <w:r>
          <w:rPr>
            <w:rFonts w:ascii="Arial" w:cs="Arial" w:eastAsia="Arial" w:hAnsi="Arial"/>
            <w:sz w:val="18"/>
            <w:szCs w:val="18"/>
            <w:u w:val="single" w:color="auto"/>
            <w:color w:val="0000FF"/>
          </w:rPr>
          <w:t>17, 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4.113     </w:t>
      </w:r>
      <w:hyperlink r:id="rId364">
        <w:r>
          <w:rPr>
            <w:rFonts w:ascii="Arial" w:cs="Arial" w:eastAsia="Arial" w:hAnsi="Arial"/>
            <w:sz w:val="18"/>
            <w:szCs w:val="18"/>
            <w:u w:val="single" w:color="auto"/>
            <w:color w:val="0000FF"/>
          </w:rPr>
          <w:t>Revolving Credit Agreement (2017-1A), dated as of January 13, 2017, between Wilmington Trust Company, as Subordination</w:t>
        </w:r>
      </w:hyperlink>
      <w:r>
        <w:rPr>
          <w:rFonts w:ascii="Arial" w:cs="Arial" w:eastAsia="Arial" w:hAnsi="Arial"/>
          <w:sz w:val="18"/>
          <w:szCs w:val="18"/>
          <w:color w:val="auto"/>
        </w:rPr>
        <w:t xml:space="preserve"> </w:t>
      </w:r>
      <w:hyperlink r:id="rId364">
        <w:r>
          <w:rPr>
            <w:rFonts w:ascii="Arial" w:cs="Arial" w:eastAsia="Arial" w:hAnsi="Arial"/>
            <w:sz w:val="18"/>
            <w:szCs w:val="18"/>
            <w:u w:val="single" w:color="auto"/>
            <w:color w:val="0000FF"/>
          </w:rPr>
          <w:t>Agent, as agent and trustee for the trustee of the American Airlines Pass Through Trust 2017-1A, as Borrower, and Citibank N.A.,</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64">
        <w:r>
          <w:rPr>
            <w:rFonts w:ascii="Arial" w:cs="Arial" w:eastAsia="Arial" w:hAnsi="Arial"/>
            <w:sz w:val="18"/>
            <w:szCs w:val="18"/>
            <w:u w:val="single" w:color="auto"/>
            <w:color w:val="0000FF"/>
          </w:rPr>
          <w:t>as Liquidity Provider (incorporated by reference to Exhibit 4.19 to American’s Current Report on Form 8-K filed on January 17,</w:t>
        </w:r>
      </w:hyperlink>
      <w:r>
        <w:rPr>
          <w:rFonts w:ascii="Arial" w:cs="Arial" w:eastAsia="Arial" w:hAnsi="Arial"/>
          <w:sz w:val="18"/>
          <w:szCs w:val="18"/>
          <w:u w:val="single" w:color="auto"/>
          <w:color w:val="0000FF"/>
        </w:rPr>
        <w:t xml:space="preserve"> </w:t>
      </w:r>
      <w:hyperlink r:id="rId364">
        <w:r>
          <w:rPr>
            <w:rFonts w:ascii="Arial" w:cs="Arial" w:eastAsia="Arial" w:hAnsi="Arial"/>
            <w:sz w:val="18"/>
            <w:szCs w:val="18"/>
            <w:u w:val="single" w:color="auto"/>
            <w:color w:val="0000FF"/>
          </w:rPr>
          <w:t>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4.114     </w:t>
      </w:r>
      <w:hyperlink r:id="rId365">
        <w:r>
          <w:rPr>
            <w:rFonts w:ascii="Arial" w:cs="Arial" w:eastAsia="Arial" w:hAnsi="Arial"/>
            <w:sz w:val="18"/>
            <w:szCs w:val="18"/>
            <w:u w:val="single" w:color="auto"/>
            <w:color w:val="0000FF"/>
          </w:rPr>
          <w:t>Revolving Credit Agreement (2017-1B), dated as of January 13, 2017, between Wilmington Trust Company, as Subordination</w:t>
        </w:r>
      </w:hyperlink>
      <w:r>
        <w:rPr>
          <w:rFonts w:ascii="Arial" w:cs="Arial" w:eastAsia="Arial" w:hAnsi="Arial"/>
          <w:sz w:val="18"/>
          <w:szCs w:val="18"/>
          <w:color w:val="auto"/>
        </w:rPr>
        <w:t xml:space="preserve"> </w:t>
      </w:r>
      <w:hyperlink r:id="rId365">
        <w:r>
          <w:rPr>
            <w:rFonts w:ascii="Arial" w:cs="Arial" w:eastAsia="Arial" w:hAnsi="Arial"/>
            <w:sz w:val="18"/>
            <w:szCs w:val="18"/>
            <w:u w:val="single" w:color="auto"/>
            <w:color w:val="0000FF"/>
          </w:rPr>
          <w:t>Agent, as agent and trustee for the trustee of the American Airlines Pass Through Trust 2017-1B, as Borrower, and Citibank N.A.,</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65">
        <w:r>
          <w:rPr>
            <w:rFonts w:ascii="Arial" w:cs="Arial" w:eastAsia="Arial" w:hAnsi="Arial"/>
            <w:sz w:val="18"/>
            <w:szCs w:val="18"/>
            <w:u w:val="single" w:color="auto"/>
            <w:color w:val="0000FF"/>
          </w:rPr>
          <w:t>as Liquidity Provider (incorporated by reference to Exhibit 4.20 to American’s Current Report on Form 8-K filed on January 17,</w:t>
        </w:r>
      </w:hyperlink>
      <w:r>
        <w:rPr>
          <w:rFonts w:ascii="Arial" w:cs="Arial" w:eastAsia="Arial" w:hAnsi="Arial"/>
          <w:sz w:val="18"/>
          <w:szCs w:val="18"/>
          <w:u w:val="single" w:color="auto"/>
          <w:color w:val="0000FF"/>
        </w:rPr>
        <w:t xml:space="preserve"> </w:t>
      </w:r>
      <w:hyperlink r:id="rId365">
        <w:r>
          <w:rPr>
            <w:rFonts w:ascii="Arial" w:cs="Arial" w:eastAsia="Arial" w:hAnsi="Arial"/>
            <w:sz w:val="18"/>
            <w:szCs w:val="18"/>
            <w:u w:val="single" w:color="auto"/>
            <w:color w:val="0000FF"/>
          </w:rPr>
          <w:t>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4.115     </w:t>
      </w:r>
      <w:hyperlink r:id="rId366">
        <w:r>
          <w:rPr>
            <w:rFonts w:ascii="Arial" w:cs="Arial" w:eastAsia="Arial" w:hAnsi="Arial"/>
            <w:sz w:val="18"/>
            <w:szCs w:val="18"/>
            <w:u w:val="single" w:color="auto"/>
            <w:color w:val="0000FF"/>
          </w:rPr>
          <w:t>Acknowledgment and Agreement (2017-1), dated as of March 31, 2017, by and among American Airlines Inc., Citibank, N.A., as</w:t>
        </w:r>
      </w:hyperlink>
      <w:r>
        <w:rPr>
          <w:rFonts w:ascii="Arial" w:cs="Arial" w:eastAsia="Arial" w:hAnsi="Arial"/>
          <w:sz w:val="18"/>
          <w:szCs w:val="18"/>
          <w:color w:val="auto"/>
        </w:rPr>
        <w:t xml:space="preserve"> </w:t>
      </w:r>
      <w:hyperlink r:id="rId366">
        <w:r>
          <w:rPr>
            <w:rFonts w:ascii="Arial" w:cs="Arial" w:eastAsia="Arial" w:hAnsi="Arial"/>
            <w:sz w:val="18"/>
            <w:szCs w:val="18"/>
            <w:u w:val="single" w:color="auto"/>
            <w:color w:val="0000FF"/>
          </w:rPr>
          <w:t>initial Liquidity Provider, National Australia Bank Limited, as Replacement Liquidity Provider, and Wilmington Trust Company, as</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66">
        <w:r>
          <w:rPr>
            <w:rFonts w:ascii="Arial" w:cs="Arial" w:eastAsia="Arial" w:hAnsi="Arial"/>
            <w:sz w:val="18"/>
            <w:szCs w:val="18"/>
            <w:u w:val="single" w:color="auto"/>
            <w:color w:val="0000FF"/>
          </w:rPr>
          <w:t>Subordination Agent and trustee (incorporated by reference to Exhibit 4.20 to AAG’s Quarterly Report on Form 10-Q for the</w:t>
        </w:r>
      </w:hyperlink>
      <w:r>
        <w:rPr>
          <w:rFonts w:ascii="Arial" w:cs="Arial" w:eastAsia="Arial" w:hAnsi="Arial"/>
          <w:sz w:val="18"/>
          <w:szCs w:val="18"/>
          <w:u w:val="single" w:color="auto"/>
          <w:color w:val="0000FF"/>
        </w:rPr>
        <w:t xml:space="preserve"> </w:t>
      </w:r>
      <w:hyperlink r:id="rId366">
        <w:r>
          <w:rPr>
            <w:rFonts w:ascii="Arial" w:cs="Arial" w:eastAsia="Arial" w:hAnsi="Arial"/>
            <w:sz w:val="18"/>
            <w:szCs w:val="18"/>
            <w:u w:val="single" w:color="auto"/>
            <w:color w:val="0000FF"/>
          </w:rPr>
          <w:t>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4.116     </w:t>
      </w:r>
      <w:hyperlink r:id="rId367">
        <w:r>
          <w:rPr>
            <w:rFonts w:ascii="Arial" w:cs="Arial" w:eastAsia="Arial" w:hAnsi="Arial"/>
            <w:sz w:val="18"/>
            <w:szCs w:val="18"/>
            <w:u w:val="single" w:color="auto"/>
            <w:color w:val="0000FF"/>
          </w:rPr>
          <w:t>Revolving Credit Agreement (2017-1AA), dated as of March 31, 2017, between Wilmington Trust Company, as Subordination</w:t>
        </w:r>
      </w:hyperlink>
      <w:r>
        <w:rPr>
          <w:rFonts w:ascii="Arial" w:cs="Arial" w:eastAsia="Arial" w:hAnsi="Arial"/>
          <w:sz w:val="18"/>
          <w:szCs w:val="18"/>
          <w:color w:val="auto"/>
        </w:rPr>
        <w:t xml:space="preserve"> </w:t>
      </w:r>
      <w:hyperlink r:id="rId367">
        <w:r>
          <w:rPr>
            <w:rFonts w:ascii="Arial" w:cs="Arial" w:eastAsia="Arial" w:hAnsi="Arial"/>
            <w:sz w:val="18"/>
            <w:szCs w:val="18"/>
            <w:u w:val="single" w:color="auto"/>
            <w:color w:val="0000FF"/>
          </w:rPr>
          <w:t>Agent, as agent and trustee for the trustee of the American Airlines Pass Through Trust 2017-1AA, as Borrower, and National</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67">
        <w:r>
          <w:rPr>
            <w:rFonts w:ascii="Arial" w:cs="Arial" w:eastAsia="Arial" w:hAnsi="Arial"/>
            <w:sz w:val="18"/>
            <w:szCs w:val="18"/>
            <w:u w:val="single" w:color="auto"/>
            <w:color w:val="0000FF"/>
          </w:rPr>
          <w:t>Australia Bank Limited, as Liquidity Provider (incorporated by reference to Exhibit 4.21 to AAG’s Quarterly Report on Form 10-Q</w:t>
        </w:r>
      </w:hyperlink>
      <w:r>
        <w:rPr>
          <w:rFonts w:ascii="Arial" w:cs="Arial" w:eastAsia="Arial" w:hAnsi="Arial"/>
          <w:sz w:val="18"/>
          <w:szCs w:val="18"/>
          <w:u w:val="single" w:color="auto"/>
          <w:color w:val="0000FF"/>
        </w:rPr>
        <w:t xml:space="preserve"> </w:t>
      </w:r>
      <w:hyperlink r:id="rId367">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4.117     </w:t>
      </w:r>
      <w:hyperlink r:id="rId368">
        <w:r>
          <w:rPr>
            <w:rFonts w:ascii="Arial" w:cs="Arial" w:eastAsia="Arial" w:hAnsi="Arial"/>
            <w:sz w:val="18"/>
            <w:szCs w:val="18"/>
            <w:u w:val="single" w:color="auto"/>
            <w:color w:val="0000FF"/>
          </w:rPr>
          <w:t>Revolving Credit Agreement (2017-1A), dated as of March 31, 2017, between Wilmington Trust Company, as Subordination</w:t>
        </w:r>
      </w:hyperlink>
      <w:r>
        <w:rPr>
          <w:rFonts w:ascii="Arial" w:cs="Arial" w:eastAsia="Arial" w:hAnsi="Arial"/>
          <w:sz w:val="18"/>
          <w:szCs w:val="18"/>
          <w:color w:val="auto"/>
        </w:rPr>
        <w:t xml:space="preserve"> </w:t>
      </w:r>
      <w:hyperlink r:id="rId368">
        <w:r>
          <w:rPr>
            <w:rFonts w:ascii="Arial" w:cs="Arial" w:eastAsia="Arial" w:hAnsi="Arial"/>
            <w:sz w:val="18"/>
            <w:szCs w:val="18"/>
            <w:u w:val="single" w:color="auto"/>
            <w:color w:val="0000FF"/>
          </w:rPr>
          <w:t>Agent, as agent and trustee for the trustee of the American Airlines Pass Through Trust 2017-1A, as Borrower, and National</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68">
        <w:r>
          <w:rPr>
            <w:rFonts w:ascii="Arial" w:cs="Arial" w:eastAsia="Arial" w:hAnsi="Arial"/>
            <w:sz w:val="18"/>
            <w:szCs w:val="18"/>
            <w:u w:val="single" w:color="auto"/>
            <w:color w:val="0000FF"/>
          </w:rPr>
          <w:t>Australia Bank Limited, as Liquidity Provider (incorporated by reference to Exhibit 4.22 to AAG’s Quarterly Report on Form 10-Q</w:t>
        </w:r>
      </w:hyperlink>
      <w:r>
        <w:rPr>
          <w:rFonts w:ascii="Arial" w:cs="Arial" w:eastAsia="Arial" w:hAnsi="Arial"/>
          <w:sz w:val="18"/>
          <w:szCs w:val="18"/>
          <w:u w:val="single" w:color="auto"/>
          <w:color w:val="0000FF"/>
        </w:rPr>
        <w:t xml:space="preserve"> </w:t>
      </w:r>
      <w:hyperlink r:id="rId368">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4.118     </w:t>
      </w:r>
      <w:hyperlink r:id="rId369">
        <w:r>
          <w:rPr>
            <w:rFonts w:ascii="Arial" w:cs="Arial" w:eastAsia="Arial" w:hAnsi="Arial"/>
            <w:sz w:val="18"/>
            <w:szCs w:val="18"/>
            <w:u w:val="single" w:color="auto"/>
            <w:color w:val="0000FF"/>
          </w:rPr>
          <w:t>Revolving Credit Agreement (2017-1B), dated as of March 31, 2017, between Wilmington Trust Company, as Subordination</w:t>
        </w:r>
      </w:hyperlink>
      <w:r>
        <w:rPr>
          <w:rFonts w:ascii="Arial" w:cs="Arial" w:eastAsia="Arial" w:hAnsi="Arial"/>
          <w:sz w:val="18"/>
          <w:szCs w:val="18"/>
          <w:color w:val="auto"/>
        </w:rPr>
        <w:t xml:space="preserve"> </w:t>
      </w:r>
      <w:hyperlink r:id="rId369">
        <w:r>
          <w:rPr>
            <w:rFonts w:ascii="Arial" w:cs="Arial" w:eastAsia="Arial" w:hAnsi="Arial"/>
            <w:sz w:val="18"/>
            <w:szCs w:val="18"/>
            <w:u w:val="single" w:color="auto"/>
            <w:color w:val="0000FF"/>
          </w:rPr>
          <w:t>Agent, as agent and trustee for the trustee of the American Airlines Pass Through Trust 2017-1B, as Borrower, and National</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69">
        <w:r>
          <w:rPr>
            <w:rFonts w:ascii="Arial" w:cs="Arial" w:eastAsia="Arial" w:hAnsi="Arial"/>
            <w:sz w:val="18"/>
            <w:szCs w:val="18"/>
            <w:u w:val="single" w:color="auto"/>
            <w:color w:val="0000FF"/>
          </w:rPr>
          <w:t>Australia Bank Limited, as Liquidity Provider (incorporated by reference to Exhibit 4.23 to AAG’s Quarterly Report on Form 10-Q</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ind w:left="920" w:right="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4.119</w:t>
      </w:r>
      <w:r>
        <w:rPr>
          <w:sz w:val="20"/>
          <w:szCs w:val="20"/>
          <w:color w:val="auto"/>
        </w:rPr>
        <w:tab/>
      </w:r>
      <w:hyperlink r:id="rId370">
        <w:r>
          <w:rPr>
            <w:rFonts w:ascii="Arial" w:cs="Arial" w:eastAsia="Arial" w:hAnsi="Arial"/>
            <w:sz w:val="18"/>
            <w:szCs w:val="18"/>
            <w:u w:val="single" w:color="auto"/>
            <w:color w:val="0000FF"/>
          </w:rPr>
          <w:t>Form of American Airlines Group Inc. Indenture for Debt Securities (incorporated by reference to Exhibit 4.1 to AAG’s</w:t>
        </w:r>
      </w:hyperlink>
      <w:r>
        <w:rPr>
          <w:rFonts w:ascii="Arial" w:cs="Arial" w:eastAsia="Arial" w:hAnsi="Arial"/>
          <w:sz w:val="18"/>
          <w:szCs w:val="18"/>
          <w:u w:val="single" w:color="auto"/>
          <w:color w:val="0000FF"/>
        </w:rPr>
        <w:t xml:space="preserve"> </w:t>
      </w:r>
      <w:hyperlink r:id="rId370">
        <w:r>
          <w:rPr>
            <w:rFonts w:ascii="Arial" w:cs="Arial" w:eastAsia="Arial" w:hAnsi="Arial"/>
            <w:sz w:val="18"/>
            <w:szCs w:val="18"/>
            <w:u w:val="single" w:color="auto"/>
            <w:color w:val="0000FF"/>
          </w:rPr>
          <w:t>Registration Statement on Form S-3ASR filed on February 22, 2017 (Commission File No. 333-216167).</w:t>
        </w:r>
      </w:hyperlink>
    </w:p>
    <w:p>
      <w:pPr>
        <w:spacing w:after="0" w:line="6"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4.120</w:t>
      </w:r>
      <w:r>
        <w:rPr>
          <w:sz w:val="20"/>
          <w:szCs w:val="20"/>
          <w:color w:val="auto"/>
        </w:rPr>
        <w:tab/>
      </w:r>
      <w:hyperlink r:id="rId371">
        <w:r>
          <w:rPr>
            <w:rFonts w:ascii="Arial" w:cs="Arial" w:eastAsia="Arial" w:hAnsi="Arial"/>
            <w:sz w:val="18"/>
            <w:szCs w:val="18"/>
            <w:u w:val="single" w:color="auto"/>
            <w:color w:val="0000FF"/>
          </w:rPr>
          <w:t>Form of American Airlines, Inc. Indenture for Debt Securities (incorporated by reference to Exhibit 4.2 to AAG’s Registration</w:t>
        </w:r>
      </w:hyperlink>
      <w:r>
        <w:rPr>
          <w:rFonts w:ascii="Arial" w:cs="Arial" w:eastAsia="Arial" w:hAnsi="Arial"/>
          <w:sz w:val="18"/>
          <w:szCs w:val="18"/>
          <w:u w:val="single" w:color="auto"/>
          <w:color w:val="0000FF"/>
        </w:rPr>
        <w:t xml:space="preserve"> </w:t>
      </w:r>
      <w:hyperlink r:id="rId371">
        <w:r>
          <w:rPr>
            <w:rFonts w:ascii="Arial" w:cs="Arial" w:eastAsia="Arial" w:hAnsi="Arial"/>
            <w:sz w:val="18"/>
            <w:szCs w:val="18"/>
            <w:u w:val="single" w:color="auto"/>
            <w:color w:val="0000FF"/>
          </w:rPr>
          <w:t>Statement on Form S-3ASR filed on February 22, 2017 (Commission File No. 333-216167).</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4.121     </w:t>
      </w:r>
      <w:hyperlink r:id="rId372">
        <w:r>
          <w:rPr>
            <w:rFonts w:ascii="Arial" w:cs="Arial" w:eastAsia="Arial" w:hAnsi="Arial"/>
            <w:sz w:val="18"/>
            <w:szCs w:val="18"/>
            <w:u w:val="single" w:color="auto"/>
            <w:color w:val="0000FF"/>
          </w:rPr>
          <w:t>Trust Supplement No. 2017-2AA, dated as of August 14, 2017, between American Airlines, Inc. and Wilmington Trust Company,</w:t>
        </w:r>
      </w:hyperlink>
      <w:r>
        <w:rPr>
          <w:rFonts w:ascii="Arial" w:cs="Arial" w:eastAsia="Arial" w:hAnsi="Arial"/>
          <w:sz w:val="18"/>
          <w:szCs w:val="18"/>
          <w:color w:val="auto"/>
        </w:rPr>
        <w:t xml:space="preserve"> </w:t>
      </w:r>
      <w:hyperlink r:id="rId372">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72">
        <w:r>
          <w:rPr>
            <w:rFonts w:ascii="Arial" w:cs="Arial" w:eastAsia="Arial" w:hAnsi="Arial"/>
            <w:sz w:val="18"/>
            <w:szCs w:val="18"/>
            <w:u w:val="single" w:color="auto"/>
            <w:color w:val="0000FF"/>
          </w:rPr>
          <w:t>American’s Current Report on Form 8-K filed on August 14, 2017 (Commission File No. 1-2691)).</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4.122     </w:t>
      </w:r>
      <w:hyperlink r:id="rId374">
        <w:r>
          <w:rPr>
            <w:rFonts w:ascii="Arial" w:cs="Arial" w:eastAsia="Arial" w:hAnsi="Arial"/>
            <w:sz w:val="18"/>
            <w:szCs w:val="18"/>
            <w:u w:val="single" w:color="auto"/>
            <w:color w:val="0000FF"/>
          </w:rPr>
          <w:t>Trust Supplement No. 2017-2A, dated as of August 14, 2017, between American Airlines, Inc. and Wilmington Trust Company, as</w:t>
        </w:r>
      </w:hyperlink>
      <w:r>
        <w:rPr>
          <w:rFonts w:ascii="Arial" w:cs="Arial" w:eastAsia="Arial" w:hAnsi="Arial"/>
          <w:sz w:val="18"/>
          <w:szCs w:val="18"/>
          <w:color w:val="auto"/>
        </w:rPr>
        <w:t xml:space="preserve"> </w:t>
      </w:r>
      <w:hyperlink r:id="rId374">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spacing w:after="0" w:line="2" w:lineRule="exact"/>
        <w:rPr>
          <w:sz w:val="20"/>
          <w:szCs w:val="20"/>
          <w:color w:val="auto"/>
        </w:rPr>
      </w:pPr>
    </w:p>
    <w:p>
      <w:pPr>
        <w:ind w:left="920"/>
        <w:spacing w:after="0"/>
        <w:rPr>
          <w:rFonts w:ascii="Arial" w:cs="Arial" w:eastAsia="Arial" w:hAnsi="Arial"/>
          <w:sz w:val="18"/>
          <w:szCs w:val="18"/>
          <w:u w:val="single" w:color="auto"/>
          <w:color w:val="0000FF"/>
        </w:rPr>
      </w:pPr>
      <w:hyperlink r:id="rId374">
        <w:r>
          <w:rPr>
            <w:rFonts w:ascii="Arial" w:cs="Arial" w:eastAsia="Arial" w:hAnsi="Arial"/>
            <w:sz w:val="18"/>
            <w:szCs w:val="18"/>
            <w:u w:val="single" w:color="auto"/>
            <w:color w:val="0000FF"/>
          </w:rPr>
          <w:t>American’s Current Report on Form 8-K filed on August 14,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4.123     </w:t>
      </w:r>
      <w:hyperlink r:id="rId375">
        <w:r>
          <w:rPr>
            <w:rFonts w:ascii="Arial" w:cs="Arial" w:eastAsia="Arial" w:hAnsi="Arial"/>
            <w:sz w:val="18"/>
            <w:szCs w:val="18"/>
            <w:u w:val="single" w:color="auto"/>
            <w:color w:val="0000FF"/>
          </w:rPr>
          <w:t>Intercreditor Agreement (2017-2), dated as of August 14, 2017, among Wilmington Trust Company, as Trustee of the American</w:t>
        </w:r>
      </w:hyperlink>
      <w:r>
        <w:rPr>
          <w:rFonts w:ascii="Arial" w:cs="Arial" w:eastAsia="Arial" w:hAnsi="Arial"/>
          <w:sz w:val="18"/>
          <w:szCs w:val="18"/>
          <w:color w:val="auto"/>
        </w:rPr>
        <w:t xml:space="preserve"> </w:t>
      </w:r>
      <w:hyperlink r:id="rId375">
        <w:r>
          <w:rPr>
            <w:rFonts w:ascii="Arial" w:cs="Arial" w:eastAsia="Arial" w:hAnsi="Arial"/>
            <w:sz w:val="18"/>
            <w:szCs w:val="18"/>
            <w:u w:val="single" w:color="auto"/>
            <w:color w:val="0000FF"/>
          </w:rPr>
          <w:t>Airlines Pass Through Trust 2017-2AA and as Trustee of the American Airlines Pass Through Trust 2017-2A, National Australia</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75">
        <w:r>
          <w:rPr>
            <w:rFonts w:ascii="Arial" w:cs="Arial" w:eastAsia="Arial" w:hAnsi="Arial"/>
            <w:sz w:val="18"/>
            <w:szCs w:val="18"/>
            <w:u w:val="single" w:color="auto"/>
            <w:color w:val="0000FF"/>
          </w:rPr>
          <w:t>Bank Limited, as Class AA Liquidity Provider and Class A Liquidity Provider, and Wilmington Trust Company, as Subordination</w:t>
        </w:r>
      </w:hyperlink>
      <w:r>
        <w:rPr>
          <w:rFonts w:ascii="Arial" w:cs="Arial" w:eastAsia="Arial" w:hAnsi="Arial"/>
          <w:sz w:val="18"/>
          <w:szCs w:val="18"/>
          <w:u w:val="single" w:color="auto"/>
          <w:color w:val="0000FF"/>
        </w:rPr>
        <w:t xml:space="preserve"> </w:t>
      </w:r>
      <w:hyperlink r:id="rId375">
        <w:r>
          <w:rPr>
            <w:rFonts w:ascii="Arial" w:cs="Arial" w:eastAsia="Arial" w:hAnsi="Arial"/>
            <w:sz w:val="18"/>
            <w:szCs w:val="18"/>
            <w:u w:val="single" w:color="auto"/>
            <w:color w:val="0000FF"/>
          </w:rPr>
          <w:t>Agent (incorporated by reference to Exhibit 4.4 to American’s Current Report on Form 8-K filed on August 14, 2017 (Commission</w:t>
        </w:r>
      </w:hyperlink>
      <w:r>
        <w:rPr>
          <w:rFonts w:ascii="Arial" w:cs="Arial" w:eastAsia="Arial" w:hAnsi="Arial"/>
          <w:sz w:val="18"/>
          <w:szCs w:val="18"/>
          <w:u w:val="single" w:color="auto"/>
          <w:color w:val="0000FF"/>
        </w:rPr>
        <w:t xml:space="preserve"> </w:t>
      </w:r>
      <w:hyperlink r:id="rId375">
        <w:r>
          <w:rPr>
            <w:rFonts w:ascii="Arial" w:cs="Arial" w:eastAsia="Arial" w:hAnsi="Arial"/>
            <w:sz w:val="18"/>
            <w:szCs w:val="18"/>
            <w:u w:val="single" w:color="auto"/>
            <w:color w:val="0000FF"/>
          </w:rPr>
          <w:t>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4.124     </w:t>
      </w:r>
      <w:hyperlink r:id="rId376">
        <w:r>
          <w:rPr>
            <w:rFonts w:ascii="Arial" w:cs="Arial" w:eastAsia="Arial" w:hAnsi="Arial"/>
            <w:sz w:val="18"/>
            <w:szCs w:val="18"/>
            <w:u w:val="single" w:color="auto"/>
            <w:color w:val="0000FF"/>
          </w:rPr>
          <w:t>Note Purchase Agreement, dated as of August 14, 2017, among American Airlines, Inc., Wilmington Trust Company, as Pass</w:t>
        </w:r>
      </w:hyperlink>
      <w:r>
        <w:rPr>
          <w:rFonts w:ascii="Arial" w:cs="Arial" w:eastAsia="Arial" w:hAnsi="Arial"/>
          <w:sz w:val="18"/>
          <w:szCs w:val="18"/>
          <w:color w:val="auto"/>
        </w:rPr>
        <w:t xml:space="preserve"> </w:t>
      </w:r>
      <w:hyperlink r:id="rId376">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76">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76">
        <w:r>
          <w:rPr>
            <w:rFonts w:ascii="Arial" w:cs="Arial" w:eastAsia="Arial" w:hAnsi="Arial"/>
            <w:sz w:val="18"/>
            <w:szCs w:val="18"/>
            <w:u w:val="single" w:color="auto"/>
            <w:color w:val="0000FF"/>
          </w:rPr>
          <w:t>reference to Exhibit 4.9 to American’s Current Report on Form 8-K 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4.125     </w:t>
      </w:r>
      <w:hyperlink r:id="rId376">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76">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76">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76">
        <w:r>
          <w:rPr>
            <w:rFonts w:ascii="Arial" w:cs="Arial" w:eastAsia="Arial" w:hAnsi="Arial"/>
            <w:sz w:val="18"/>
            <w:szCs w:val="18"/>
            <w:u w:val="single" w:color="auto"/>
            <w:color w:val="0000FF"/>
          </w:rPr>
          <w:t>(incorporated by reference to Exhibit B to Exhibit 4.9 to American’s Current Report on Form 8-K filed on August 14, 2017</w:t>
        </w:r>
      </w:hyperlink>
      <w:r>
        <w:rPr>
          <w:rFonts w:ascii="Arial" w:cs="Arial" w:eastAsia="Arial" w:hAnsi="Arial"/>
          <w:sz w:val="18"/>
          <w:szCs w:val="18"/>
          <w:u w:val="single" w:color="auto"/>
          <w:color w:val="0000FF"/>
        </w:rPr>
        <w:t xml:space="preserve"> </w:t>
      </w:r>
      <w:hyperlink r:id="rId376">
        <w:r>
          <w:rPr>
            <w:rFonts w:ascii="Arial" w:cs="Arial" w:eastAsia="Arial" w:hAnsi="Arial"/>
            <w:sz w:val="18"/>
            <w:szCs w:val="18"/>
            <w:u w:val="single" w:color="auto"/>
            <w:color w:val="0000FF"/>
          </w:rPr>
          <w:t>(Commission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4.126     </w:t>
      </w:r>
      <w:hyperlink r:id="rId376">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76">
        <w:r>
          <w:rPr>
            <w:rFonts w:ascii="Arial" w:cs="Arial" w:eastAsia="Arial" w:hAnsi="Arial"/>
            <w:sz w:val="18"/>
            <w:szCs w:val="18"/>
            <w:u w:val="single" w:color="auto"/>
            <w:color w:val="0000FF"/>
          </w:rPr>
          <w:t>Trust Company, as Loan Trustee) (incorporated by reference to Exhibit C to Exhibit 4.9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76">
        <w:r>
          <w:rPr>
            <w:rFonts w:ascii="Arial" w:cs="Arial" w:eastAsia="Arial" w:hAnsi="Arial"/>
            <w:sz w:val="18"/>
            <w:szCs w:val="18"/>
            <w:u w:val="single" w:color="auto"/>
            <w:color w:val="0000FF"/>
          </w:rPr>
          <w:t>K filed on August 14, 2017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4.127</w:t>
      </w:r>
      <w:r>
        <w:rPr>
          <w:sz w:val="20"/>
          <w:szCs w:val="20"/>
          <w:color w:val="auto"/>
        </w:rPr>
        <w:tab/>
      </w:r>
      <w:hyperlink r:id="rId372">
        <w:r>
          <w:rPr>
            <w:rFonts w:ascii="Arial" w:cs="Arial" w:eastAsia="Arial" w:hAnsi="Arial"/>
            <w:sz w:val="18"/>
            <w:szCs w:val="18"/>
            <w:u w:val="single" w:color="auto"/>
            <w:color w:val="0000FF"/>
          </w:rPr>
          <w:t>Form of Pass Through Trust Certificate, Series 2017-2AA (incorporated by reference to Exhibit A to Exhibit 4.2 to American’s</w:t>
        </w:r>
      </w:hyperlink>
      <w:r>
        <w:rPr>
          <w:rFonts w:ascii="Arial" w:cs="Arial" w:eastAsia="Arial" w:hAnsi="Arial"/>
          <w:sz w:val="18"/>
          <w:szCs w:val="18"/>
          <w:u w:val="single" w:color="auto"/>
          <w:color w:val="0000FF"/>
        </w:rPr>
        <w:t xml:space="preserve"> </w:t>
      </w:r>
      <w:hyperlink r:id="rId372">
        <w:r>
          <w:rPr>
            <w:rFonts w:ascii="Arial" w:cs="Arial" w:eastAsia="Arial" w:hAnsi="Arial"/>
            <w:sz w:val="18"/>
            <w:szCs w:val="18"/>
            <w:u w:val="single" w:color="auto"/>
            <w:color w:val="0000FF"/>
          </w:rPr>
          <w:t>Current Report on Form 8-K filed on August 14, 2017 (Commission File No. 1-2691)).</w:t>
        </w:r>
      </w:hyperlink>
    </w:p>
    <w:p>
      <w:pPr>
        <w:spacing w:after="0" w:line="6" w:lineRule="exact"/>
        <w:rPr>
          <w:sz w:val="20"/>
          <w:szCs w:val="20"/>
          <w:color w:val="auto"/>
        </w:rPr>
      </w:pPr>
    </w:p>
    <w:p>
      <w:pPr>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4.128</w:t>
      </w:r>
      <w:r>
        <w:rPr>
          <w:sz w:val="20"/>
          <w:szCs w:val="20"/>
          <w:color w:val="auto"/>
        </w:rPr>
        <w:tab/>
      </w:r>
      <w:hyperlink r:id="rId374">
        <w:r>
          <w:rPr>
            <w:rFonts w:ascii="Arial" w:cs="Arial" w:eastAsia="Arial" w:hAnsi="Arial"/>
            <w:sz w:val="18"/>
            <w:szCs w:val="18"/>
            <w:u w:val="single" w:color="auto"/>
            <w:color w:val="0000FF"/>
          </w:rPr>
          <w:t>Form of Pass Through Trust Certificate, Series 2017-2A (incorporated by reference to Exhibit A to Exhibit 4.3 to American’s</w:t>
        </w:r>
      </w:hyperlink>
      <w:r>
        <w:rPr>
          <w:rFonts w:ascii="Arial" w:cs="Arial" w:eastAsia="Arial" w:hAnsi="Arial"/>
          <w:sz w:val="18"/>
          <w:szCs w:val="18"/>
          <w:u w:val="single" w:color="auto"/>
          <w:color w:val="0000FF"/>
        </w:rPr>
        <w:t xml:space="preserve"> </w:t>
      </w:r>
      <w:hyperlink r:id="rId374">
        <w:r>
          <w:rPr>
            <w:rFonts w:ascii="Arial" w:cs="Arial" w:eastAsia="Arial" w:hAnsi="Arial"/>
            <w:sz w:val="18"/>
            <w:szCs w:val="18"/>
            <w:u w:val="single" w:color="auto"/>
            <w:color w:val="0000FF"/>
          </w:rPr>
          <w:t>Current Report on Form 8-K filed on August 14, 2017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4.129     </w:t>
      </w:r>
      <w:hyperlink r:id="rId377">
        <w:r>
          <w:rPr>
            <w:rFonts w:ascii="Arial" w:cs="Arial" w:eastAsia="Arial" w:hAnsi="Arial"/>
            <w:sz w:val="18"/>
            <w:szCs w:val="18"/>
            <w:u w:val="single" w:color="auto"/>
            <w:color w:val="0000FF"/>
          </w:rPr>
          <w:t>Revolving Credit Agreement (2017-2AA), dated as of August 14, 2017, between Wilmington Trust Company, as Subordination</w:t>
        </w:r>
      </w:hyperlink>
      <w:r>
        <w:rPr>
          <w:rFonts w:ascii="Arial" w:cs="Arial" w:eastAsia="Arial" w:hAnsi="Arial"/>
          <w:sz w:val="18"/>
          <w:szCs w:val="18"/>
          <w:color w:val="auto"/>
        </w:rPr>
        <w:t xml:space="preserve"> </w:t>
      </w:r>
      <w:hyperlink r:id="rId377">
        <w:r>
          <w:rPr>
            <w:rFonts w:ascii="Arial" w:cs="Arial" w:eastAsia="Arial" w:hAnsi="Arial"/>
            <w:sz w:val="18"/>
            <w:szCs w:val="18"/>
            <w:u w:val="single" w:color="auto"/>
            <w:color w:val="0000FF"/>
          </w:rPr>
          <w:t>Agent, as agent and trustee for the trustee of the American Airlines Pass Through Trust 2017-2AA, as Borrower, and National</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77">
        <w:r>
          <w:rPr>
            <w:rFonts w:ascii="Arial" w:cs="Arial" w:eastAsia="Arial" w:hAnsi="Arial"/>
            <w:sz w:val="18"/>
            <w:szCs w:val="18"/>
            <w:u w:val="single" w:color="auto"/>
            <w:color w:val="0000FF"/>
          </w:rPr>
          <w:t>Australia Bank Limited, as Liquidity Provider (incorporated by reference to Exhibit 4.14 to American’s Current Report on Form 8-K</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4.130     </w:t>
      </w:r>
      <w:hyperlink r:id="rId378">
        <w:r>
          <w:rPr>
            <w:rFonts w:ascii="Arial" w:cs="Arial" w:eastAsia="Arial" w:hAnsi="Arial"/>
            <w:sz w:val="18"/>
            <w:szCs w:val="18"/>
            <w:u w:val="single" w:color="auto"/>
            <w:color w:val="0000FF"/>
          </w:rPr>
          <w:t>Revolving Credit Agreement (2017-2A), dated as of August 14, 2017, between Wilmington Trust Company, as Subordination</w:t>
        </w:r>
      </w:hyperlink>
      <w:r>
        <w:rPr>
          <w:rFonts w:ascii="Arial" w:cs="Arial" w:eastAsia="Arial" w:hAnsi="Arial"/>
          <w:sz w:val="18"/>
          <w:szCs w:val="18"/>
          <w:color w:val="auto"/>
        </w:rPr>
        <w:t xml:space="preserve"> </w:t>
      </w:r>
      <w:hyperlink r:id="rId378">
        <w:r>
          <w:rPr>
            <w:rFonts w:ascii="Arial" w:cs="Arial" w:eastAsia="Arial" w:hAnsi="Arial"/>
            <w:sz w:val="18"/>
            <w:szCs w:val="18"/>
            <w:u w:val="single" w:color="auto"/>
            <w:color w:val="0000FF"/>
          </w:rPr>
          <w:t>Agent, as agent and trustee for the trustee of the American Airlines Pass Through Trust 2017-2A, as Borrower, and National</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78">
        <w:r>
          <w:rPr>
            <w:rFonts w:ascii="Arial" w:cs="Arial" w:eastAsia="Arial" w:hAnsi="Arial"/>
            <w:sz w:val="18"/>
            <w:szCs w:val="18"/>
            <w:u w:val="single" w:color="auto"/>
            <w:color w:val="0000FF"/>
          </w:rPr>
          <w:t>Australia Bank Limited, as Liquidity Provider (incorporated by reference to Exhibit 4.15 to American’s Current Report on Form 8-K</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4.131     </w:t>
      </w:r>
      <w:hyperlink r:id="rId379">
        <w:r>
          <w:rPr>
            <w:rFonts w:ascii="Arial" w:cs="Arial" w:eastAsia="Arial" w:hAnsi="Arial"/>
            <w:sz w:val="18"/>
            <w:szCs w:val="18"/>
            <w:u w:val="single" w:color="auto"/>
            <w:color w:val="0000FF"/>
          </w:rPr>
          <w:t>Trust Supplement No. 2016-3B, dated as of October 4, 2017, between American Airlines, Inc. and Wilmington Trust Company, as</w:t>
        </w:r>
      </w:hyperlink>
      <w:r>
        <w:rPr>
          <w:rFonts w:ascii="Arial" w:cs="Arial" w:eastAsia="Arial" w:hAnsi="Arial"/>
          <w:sz w:val="18"/>
          <w:szCs w:val="18"/>
          <w:color w:val="auto"/>
        </w:rPr>
        <w:t xml:space="preserve"> </w:t>
      </w:r>
      <w:hyperlink r:id="rId379">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79">
        <w:r>
          <w:rPr>
            <w:rFonts w:ascii="Arial" w:cs="Arial" w:eastAsia="Arial" w:hAnsi="Arial"/>
            <w:sz w:val="18"/>
            <w:szCs w:val="18"/>
            <w:u w:val="single" w:color="auto"/>
            <w:color w:val="0000FF"/>
          </w:rPr>
          <w:t>American’s Current Report on Form 8-K filed on October 5,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4.132     </w:t>
      </w:r>
      <w:hyperlink r:id="rId380">
        <w:r>
          <w:rPr>
            <w:rFonts w:ascii="Arial" w:cs="Arial" w:eastAsia="Arial" w:hAnsi="Arial"/>
            <w:sz w:val="18"/>
            <w:szCs w:val="18"/>
            <w:u w:val="single" w:color="auto"/>
            <w:color w:val="0000FF"/>
          </w:rPr>
          <w:t>Amended and Restated Note Purchase Agreement, dated as of October 4, 2017, amending the Note Purchase Agreement, dated</w:t>
        </w:r>
      </w:hyperlink>
      <w:r>
        <w:rPr>
          <w:rFonts w:ascii="Arial" w:cs="Arial" w:eastAsia="Arial" w:hAnsi="Arial"/>
          <w:sz w:val="18"/>
          <w:szCs w:val="18"/>
          <w:color w:val="auto"/>
        </w:rPr>
        <w:t xml:space="preserve"> </w:t>
      </w:r>
      <w:hyperlink r:id="rId380">
        <w:r>
          <w:rPr>
            <w:rFonts w:ascii="Arial" w:cs="Arial" w:eastAsia="Arial" w:hAnsi="Arial"/>
            <w:sz w:val="18"/>
            <w:szCs w:val="18"/>
            <w:u w:val="single" w:color="auto"/>
            <w:color w:val="0000FF"/>
          </w:rPr>
          <w:t>as of October 3, 2016, among American Airlines, Inc., Wilmington Trust Company, as Pass Through Trustee under each of the</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80">
        <w:r>
          <w:rPr>
            <w:rFonts w:ascii="Arial" w:cs="Arial" w:eastAsia="Arial" w:hAnsi="Arial"/>
            <w:sz w:val="18"/>
            <w:szCs w:val="18"/>
            <w:u w:val="single" w:color="auto"/>
            <w:color w:val="0000FF"/>
          </w:rPr>
          <w:t>Pass Through Trust Agreements, and Wilmington Trust Company, as Subordination Agent (incorporated by reference to Exhibit</w:t>
        </w:r>
      </w:hyperlink>
      <w:r>
        <w:rPr>
          <w:rFonts w:ascii="Arial" w:cs="Arial" w:eastAsia="Arial" w:hAnsi="Arial"/>
          <w:sz w:val="18"/>
          <w:szCs w:val="18"/>
          <w:u w:val="single" w:color="auto"/>
          <w:color w:val="0000FF"/>
        </w:rPr>
        <w:t xml:space="preserve"> </w:t>
      </w:r>
      <w:hyperlink r:id="rId380">
        <w:r>
          <w:rPr>
            <w:rFonts w:ascii="Arial" w:cs="Arial" w:eastAsia="Arial" w:hAnsi="Arial"/>
            <w:sz w:val="18"/>
            <w:szCs w:val="18"/>
            <w:u w:val="single" w:color="auto"/>
            <w:color w:val="0000FF"/>
          </w:rPr>
          <w:t>4.4 to American’s Current Report on Form 8-K filed on October 5,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4.133     </w:t>
      </w:r>
      <w:hyperlink r:id="rId380">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80">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80">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80">
        <w:r>
          <w:rPr>
            <w:rFonts w:ascii="Arial" w:cs="Arial" w:eastAsia="Arial" w:hAnsi="Arial"/>
            <w:sz w:val="18"/>
            <w:szCs w:val="18"/>
            <w:u w:val="single" w:color="auto"/>
            <w:color w:val="0000FF"/>
          </w:rPr>
          <w:t>capacity as set forth therein) (incorporated by reference to Exhibit A to Exhibit 4.4 to American’s Current Report on Form 8-K filed</w:t>
        </w:r>
      </w:hyperlink>
      <w:r>
        <w:rPr>
          <w:rFonts w:ascii="Arial" w:cs="Arial" w:eastAsia="Arial" w:hAnsi="Arial"/>
          <w:sz w:val="18"/>
          <w:szCs w:val="18"/>
          <w:u w:val="single" w:color="auto"/>
          <w:color w:val="0000FF"/>
        </w:rPr>
        <w:t xml:space="preserve"> </w:t>
      </w:r>
      <w:hyperlink r:id="rId380">
        <w:r>
          <w:rPr>
            <w:rFonts w:ascii="Arial" w:cs="Arial" w:eastAsia="Arial" w:hAnsi="Arial"/>
            <w:sz w:val="18"/>
            <w:szCs w:val="18"/>
            <w:u w:val="single" w:color="auto"/>
            <w:color w:val="0000FF"/>
          </w:rPr>
          <w:t>on October 5, 2017 (Commission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4.134     </w:t>
      </w:r>
      <w:hyperlink r:id="rId381">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81">
        <w:r>
          <w:rPr>
            <w:rFonts w:ascii="Arial" w:cs="Arial" w:eastAsia="Arial" w:hAnsi="Arial"/>
            <w:sz w:val="18"/>
            <w:szCs w:val="18"/>
            <w:u w:val="single" w:color="auto"/>
            <w:color w:val="0000FF"/>
          </w:rPr>
          <w:t>American Airlines, Inc., and Wilmington Trust Company, as Loan Trustee) (incorporated by reference to Exhibit E to Exhibit 4.6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1">
        <w:r>
          <w:rPr>
            <w:rFonts w:ascii="Arial" w:cs="Arial" w:eastAsia="Arial" w:hAnsi="Arial"/>
            <w:sz w:val="18"/>
            <w:szCs w:val="18"/>
            <w:u w:val="single" w:color="auto"/>
            <w:color w:val="0000FF"/>
          </w:rPr>
          <w:t>American’s Current Report on Form 8-K filed on October 6,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4.135     </w:t>
      </w:r>
      <w:hyperlink r:id="rId380">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80">
        <w:r>
          <w:rPr>
            <w:rFonts w:ascii="Arial" w:cs="Arial" w:eastAsia="Arial" w:hAnsi="Arial"/>
            <w:sz w:val="18"/>
            <w:szCs w:val="18"/>
            <w:u w:val="single" w:color="auto"/>
            <w:color w:val="0000FF"/>
          </w:rPr>
          <w:t>American Airlines, Inc., and Wilmington Trust Company, as Loan Trustee) (incorporated by reference to Exhibit B to Exhibit 4.4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0">
        <w:r>
          <w:rPr>
            <w:rFonts w:ascii="Arial" w:cs="Arial" w:eastAsia="Arial" w:hAnsi="Arial"/>
            <w:sz w:val="18"/>
            <w:szCs w:val="18"/>
            <w:u w:val="single" w:color="auto"/>
            <w:color w:val="0000FF"/>
          </w:rPr>
          <w:t>American’s Current Report on Form 8-K filed on October 5, 2017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4.136</w:t>
      </w:r>
      <w:r>
        <w:rPr>
          <w:sz w:val="20"/>
          <w:szCs w:val="20"/>
          <w:color w:val="auto"/>
        </w:rPr>
        <w:tab/>
      </w:r>
      <w:hyperlink r:id="rId379">
        <w:r>
          <w:rPr>
            <w:rFonts w:ascii="Arial" w:cs="Arial" w:eastAsia="Arial" w:hAnsi="Arial"/>
            <w:sz w:val="18"/>
            <w:szCs w:val="18"/>
            <w:u w:val="single" w:color="auto"/>
            <w:color w:val="0000FF"/>
          </w:rPr>
          <w:t>Form of Pass Through Trust Certificate, Series 2016-3B (incorporated by reference to Exhibit A to Exhibit 4.2 to American’s</w:t>
        </w:r>
      </w:hyperlink>
      <w:r>
        <w:rPr>
          <w:rFonts w:ascii="Arial" w:cs="Arial" w:eastAsia="Arial" w:hAnsi="Arial"/>
          <w:sz w:val="18"/>
          <w:szCs w:val="18"/>
          <w:u w:val="single" w:color="auto"/>
          <w:color w:val="0000FF"/>
        </w:rPr>
        <w:t xml:space="preserve"> </w:t>
      </w:r>
      <w:hyperlink r:id="rId379">
        <w:r>
          <w:rPr>
            <w:rFonts w:ascii="Arial" w:cs="Arial" w:eastAsia="Arial" w:hAnsi="Arial"/>
            <w:sz w:val="18"/>
            <w:szCs w:val="18"/>
            <w:u w:val="single" w:color="auto"/>
            <w:color w:val="0000FF"/>
          </w:rPr>
          <w:t>Current Report on Form 8-K filed on October 5, 2017 (Commission File No. 1-2691)).</w:t>
        </w:r>
      </w:hyperlink>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4.137     </w:t>
      </w:r>
      <w:hyperlink r:id="rId383">
        <w:r>
          <w:rPr>
            <w:rFonts w:ascii="Arial" w:cs="Arial" w:eastAsia="Arial" w:hAnsi="Arial"/>
            <w:sz w:val="18"/>
            <w:szCs w:val="18"/>
            <w:u w:val="single" w:color="auto"/>
            <w:color w:val="0000FF"/>
          </w:rPr>
          <w:t>Revolving Credit Agreement (2016-3B), dated as of October 4, 2017, between Wilmington Trust Company, as Subordination</w:t>
        </w:r>
      </w:hyperlink>
      <w:r>
        <w:rPr>
          <w:rFonts w:ascii="Arial" w:cs="Arial" w:eastAsia="Arial" w:hAnsi="Arial"/>
          <w:sz w:val="18"/>
          <w:szCs w:val="18"/>
          <w:color w:val="auto"/>
        </w:rPr>
        <w:t xml:space="preserve"> </w:t>
      </w:r>
      <w:hyperlink r:id="rId383">
        <w:r>
          <w:rPr>
            <w:rFonts w:ascii="Arial" w:cs="Arial" w:eastAsia="Arial" w:hAnsi="Arial"/>
            <w:sz w:val="18"/>
            <w:szCs w:val="18"/>
            <w:u w:val="single" w:color="auto"/>
            <w:color w:val="0000FF"/>
          </w:rPr>
          <w:t>Agent, as agent and trustee for the trustee of the American Airlines Pass Through Trust 2016-3B, as Borrower, and KfW IPEX-</w:t>
        </w:r>
      </w:hyperlink>
    </w:p>
    <w:p>
      <w:pPr>
        <w:spacing w:after="0" w:line="2"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83">
        <w:r>
          <w:rPr>
            <w:rFonts w:ascii="Arial" w:cs="Arial" w:eastAsia="Arial" w:hAnsi="Arial"/>
            <w:sz w:val="18"/>
            <w:szCs w:val="18"/>
            <w:u w:val="single" w:color="auto"/>
            <w:color w:val="0000FF"/>
          </w:rPr>
          <w:t>Bank GmbH, as Liquidity Provider 3B (incorporated by reference to Exhibit 4.8 to American’s Current Report on Form 8-K filed on</w:t>
        </w:r>
      </w:hyperlink>
      <w:r>
        <w:rPr>
          <w:rFonts w:ascii="Arial" w:cs="Arial" w:eastAsia="Arial" w:hAnsi="Arial"/>
          <w:sz w:val="18"/>
          <w:szCs w:val="18"/>
          <w:u w:val="single" w:color="auto"/>
          <w:color w:val="0000FF"/>
        </w:rPr>
        <w:t xml:space="preserve"> </w:t>
      </w:r>
      <w:hyperlink r:id="rId383">
        <w:r>
          <w:rPr>
            <w:rFonts w:ascii="Arial" w:cs="Arial" w:eastAsia="Arial" w:hAnsi="Arial"/>
            <w:sz w:val="18"/>
            <w:szCs w:val="18"/>
            <w:u w:val="single" w:color="auto"/>
            <w:color w:val="0000FF"/>
          </w:rPr>
          <w:t>October 5,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4.138     </w:t>
      </w:r>
      <w:hyperlink r:id="rId384">
        <w:r>
          <w:rPr>
            <w:rFonts w:ascii="Arial" w:cs="Arial" w:eastAsia="Arial" w:hAnsi="Arial"/>
            <w:sz w:val="18"/>
            <w:szCs w:val="18"/>
            <w:u w:val="single" w:color="auto"/>
            <w:color w:val="0000FF"/>
          </w:rPr>
          <w:t>Trust Supplement No. 2017-2B, dated as of October 5, 2017, between American Airlines, Inc. and Wilmington Trust Company, as</w:t>
        </w:r>
      </w:hyperlink>
      <w:r>
        <w:rPr>
          <w:rFonts w:ascii="Arial" w:cs="Arial" w:eastAsia="Arial" w:hAnsi="Arial"/>
          <w:sz w:val="18"/>
          <w:szCs w:val="18"/>
          <w:color w:val="auto"/>
        </w:rPr>
        <w:t xml:space="preserve"> </w:t>
      </w:r>
      <w:hyperlink r:id="rId384">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4">
        <w:r>
          <w:rPr>
            <w:rFonts w:ascii="Arial" w:cs="Arial" w:eastAsia="Arial" w:hAnsi="Arial"/>
            <w:sz w:val="18"/>
            <w:szCs w:val="18"/>
            <w:u w:val="single" w:color="auto"/>
            <w:color w:val="0000FF"/>
          </w:rPr>
          <w:t>American’s Current Report on Form 8-K filed on October 6,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4.139     </w:t>
      </w:r>
      <w:hyperlink r:id="rId385">
        <w:r>
          <w:rPr>
            <w:rFonts w:ascii="Arial" w:cs="Arial" w:eastAsia="Arial" w:hAnsi="Arial"/>
            <w:sz w:val="18"/>
            <w:szCs w:val="18"/>
            <w:u w:val="single" w:color="auto"/>
            <w:color w:val="0000FF"/>
          </w:rPr>
          <w:t>Amended and Restated Intercreditor Agreement (2017-2), dated as of October 5, 2017, among Wilmington Trust Company, as</w:t>
        </w:r>
      </w:hyperlink>
      <w:r>
        <w:rPr>
          <w:rFonts w:ascii="Arial" w:cs="Arial" w:eastAsia="Arial" w:hAnsi="Arial"/>
          <w:sz w:val="18"/>
          <w:szCs w:val="18"/>
          <w:color w:val="auto"/>
        </w:rPr>
        <w:t xml:space="preserve"> </w:t>
      </w:r>
      <w:hyperlink r:id="rId385">
        <w:r>
          <w:rPr>
            <w:rFonts w:ascii="Arial" w:cs="Arial" w:eastAsia="Arial" w:hAnsi="Arial"/>
            <w:sz w:val="18"/>
            <w:szCs w:val="18"/>
            <w:u w:val="single" w:color="auto"/>
            <w:color w:val="0000FF"/>
          </w:rPr>
          <w:t>Trustee of the American Airlines Pass Through Trust 2017-2AA, as Trustee of the American Airlines Pass Through Trust 2017-2A</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385">
        <w:r>
          <w:rPr>
            <w:rFonts w:ascii="Arial" w:cs="Arial" w:eastAsia="Arial" w:hAnsi="Arial"/>
            <w:sz w:val="18"/>
            <w:szCs w:val="18"/>
            <w:u w:val="single" w:color="auto"/>
            <w:color w:val="0000FF"/>
          </w:rPr>
          <w:t>and as Trustee of the American Airlines Pass Through Trust 2017-2B, National Australia Bank Limited, as Class AA Liquidity</w:t>
        </w:r>
      </w:hyperlink>
      <w:r>
        <w:rPr>
          <w:rFonts w:ascii="Arial" w:cs="Arial" w:eastAsia="Arial" w:hAnsi="Arial"/>
          <w:sz w:val="18"/>
          <w:szCs w:val="18"/>
          <w:u w:val="single" w:color="auto"/>
          <w:color w:val="0000FF"/>
        </w:rPr>
        <w:t xml:space="preserve"> </w:t>
      </w:r>
      <w:hyperlink r:id="rId385">
        <w:r>
          <w:rPr>
            <w:rFonts w:ascii="Arial" w:cs="Arial" w:eastAsia="Arial" w:hAnsi="Arial"/>
            <w:sz w:val="18"/>
            <w:szCs w:val="18"/>
            <w:u w:val="single" w:color="auto"/>
            <w:color w:val="0000FF"/>
          </w:rPr>
          <w:t>Provider, Class A Liquidity Provider and Class B Liquidity Provider, and Wilmington Trust Company, as Subordination Agent</w:t>
        </w:r>
      </w:hyperlink>
      <w:r>
        <w:rPr>
          <w:rFonts w:ascii="Arial" w:cs="Arial" w:eastAsia="Arial" w:hAnsi="Arial"/>
          <w:sz w:val="18"/>
          <w:szCs w:val="18"/>
          <w:u w:val="single" w:color="auto"/>
          <w:color w:val="0000FF"/>
        </w:rPr>
        <w:t xml:space="preserve"> </w:t>
      </w:r>
      <w:hyperlink r:id="rId385">
        <w:r>
          <w:rPr>
            <w:rFonts w:ascii="Arial" w:cs="Arial" w:eastAsia="Arial" w:hAnsi="Arial"/>
            <w:sz w:val="18"/>
            <w:szCs w:val="18"/>
            <w:u w:val="single" w:color="auto"/>
            <w:color w:val="0000FF"/>
          </w:rPr>
          <w:t>(incorporated by reference to Exhibit 4.3 to American’s Current Report on Form 8-K filed on October 6, 2017 (Commission File</w:t>
        </w:r>
      </w:hyperlink>
    </w:p>
    <w:p>
      <w:pPr>
        <w:spacing w:after="0" w:line="2"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385">
        <w:r>
          <w:rPr>
            <w:rFonts w:ascii="Arial" w:cs="Arial" w:eastAsia="Arial" w:hAnsi="Arial"/>
            <w:sz w:val="18"/>
            <w:szCs w:val="18"/>
            <w:u w:val="single" w:color="auto"/>
            <w:color w:val="0000FF"/>
          </w:rPr>
          <w:t>No. 1-2691)).</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4.140     </w:t>
      </w:r>
      <w:hyperlink r:id="rId386">
        <w:r>
          <w:rPr>
            <w:rFonts w:ascii="Arial" w:cs="Arial" w:eastAsia="Arial" w:hAnsi="Arial"/>
            <w:sz w:val="18"/>
            <w:szCs w:val="18"/>
            <w:u w:val="single" w:color="auto"/>
            <w:color w:val="0000FF"/>
          </w:rPr>
          <w:t>Amended and Restated Note Purchase Agreement, dated as of October 5, 2017, among American Airlines, Inc., Wilmington</w:t>
        </w:r>
      </w:hyperlink>
      <w:r>
        <w:rPr>
          <w:rFonts w:ascii="Arial" w:cs="Arial" w:eastAsia="Arial" w:hAnsi="Arial"/>
          <w:sz w:val="18"/>
          <w:szCs w:val="18"/>
          <w:color w:val="auto"/>
        </w:rPr>
        <w:t xml:space="preserve"> </w:t>
      </w:r>
      <w:hyperlink r:id="rId386">
        <w:r>
          <w:rPr>
            <w:rFonts w:ascii="Arial" w:cs="Arial" w:eastAsia="Arial" w:hAnsi="Arial"/>
            <w:sz w:val="18"/>
            <w:szCs w:val="18"/>
            <w:u w:val="single" w:color="auto"/>
            <w:color w:val="0000FF"/>
          </w:rPr>
          <w:t>Trust Company, as Pass Through Trustee under each of the Pass Through Trust Agreements, Wilmington Trust Company, as</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86">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386">
        <w:r>
          <w:rPr>
            <w:rFonts w:ascii="Arial" w:cs="Arial" w:eastAsia="Arial" w:hAnsi="Arial"/>
            <w:sz w:val="18"/>
            <w:szCs w:val="18"/>
            <w:u w:val="single" w:color="auto"/>
            <w:color w:val="0000FF"/>
          </w:rPr>
          <w:t>(incorporated by reference to Exhibit 4.6 to American’s Current Report on Form 8-K filed on October 6, 2017 (Commission File</w:t>
        </w:r>
      </w:hyperlink>
      <w:r>
        <w:rPr>
          <w:rFonts w:ascii="Arial" w:cs="Arial" w:eastAsia="Arial" w:hAnsi="Arial"/>
          <w:sz w:val="18"/>
          <w:szCs w:val="18"/>
          <w:u w:val="single" w:color="auto"/>
          <w:color w:val="0000FF"/>
        </w:rPr>
        <w:t xml:space="preserve"> </w:t>
      </w:r>
      <w:hyperlink r:id="rId386">
        <w:r>
          <w:rPr>
            <w:rFonts w:ascii="Arial" w:cs="Arial" w:eastAsia="Arial" w:hAnsi="Arial"/>
            <w:sz w:val="18"/>
            <w:szCs w:val="18"/>
            <w:u w:val="single" w:color="auto"/>
            <w:color w:val="0000FF"/>
          </w:rPr>
          <w:t>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4.141     </w:t>
      </w:r>
      <w:hyperlink r:id="rId387">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87">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87">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87">
        <w:r>
          <w:rPr>
            <w:rFonts w:ascii="Arial" w:cs="Arial" w:eastAsia="Arial" w:hAnsi="Arial"/>
            <w:sz w:val="18"/>
            <w:szCs w:val="18"/>
            <w:u w:val="single" w:color="auto"/>
            <w:color w:val="0000FF"/>
          </w:rPr>
          <w:t>(incorporated by reference to Exhibit B to Exhibit 4.6 to American’s Current Report on Form 8-K filed on October 6, 2017</w:t>
        </w:r>
      </w:hyperlink>
      <w:r>
        <w:rPr>
          <w:rFonts w:ascii="Arial" w:cs="Arial" w:eastAsia="Arial" w:hAnsi="Arial"/>
          <w:sz w:val="18"/>
          <w:szCs w:val="18"/>
          <w:u w:val="single" w:color="auto"/>
          <w:color w:val="0000FF"/>
        </w:rPr>
        <w:t xml:space="preserve"> </w:t>
      </w:r>
      <w:hyperlink r:id="rId387">
        <w:r>
          <w:rPr>
            <w:rFonts w:ascii="Arial" w:cs="Arial" w:eastAsia="Arial" w:hAnsi="Arial"/>
            <w:sz w:val="18"/>
            <w:szCs w:val="18"/>
            <w:u w:val="single" w:color="auto"/>
            <w:color w:val="0000FF"/>
          </w:rPr>
          <w:t>(Commission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4.142     </w:t>
      </w:r>
      <w:hyperlink r:id="rId388">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88">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88">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88">
        <w:r>
          <w:rPr>
            <w:rFonts w:ascii="Arial" w:cs="Arial" w:eastAsia="Arial" w:hAnsi="Arial"/>
            <w:sz w:val="18"/>
            <w:szCs w:val="18"/>
            <w:u w:val="single" w:color="auto"/>
            <w:color w:val="0000FF"/>
          </w:rPr>
          <w:t>capacity as set forth therein) (incorporated by reference to Exhibit D to Exhibit 4.6 to American’s Current Report on Form 8-K filed</w:t>
        </w:r>
      </w:hyperlink>
      <w:r>
        <w:rPr>
          <w:rFonts w:ascii="Arial" w:cs="Arial" w:eastAsia="Arial" w:hAnsi="Arial"/>
          <w:sz w:val="18"/>
          <w:szCs w:val="18"/>
          <w:u w:val="single" w:color="auto"/>
          <w:color w:val="0000FF"/>
        </w:rPr>
        <w:t xml:space="preserve"> </w:t>
      </w:r>
      <w:hyperlink r:id="rId388">
        <w:r>
          <w:rPr>
            <w:rFonts w:ascii="Arial" w:cs="Arial" w:eastAsia="Arial" w:hAnsi="Arial"/>
            <w:sz w:val="18"/>
            <w:szCs w:val="18"/>
            <w:u w:val="single" w:color="auto"/>
            <w:color w:val="0000FF"/>
          </w:rPr>
          <w:t>on October 6, 2017 (Commission File No. 1-2691)).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4.143     </w:t>
      </w:r>
      <w:hyperlink r:id="rId389">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89">
        <w:r>
          <w:rPr>
            <w:rFonts w:ascii="Arial" w:cs="Arial" w:eastAsia="Arial" w:hAnsi="Arial"/>
            <w:sz w:val="18"/>
            <w:szCs w:val="18"/>
            <w:u w:val="single" w:color="auto"/>
            <w:color w:val="0000FF"/>
          </w:rPr>
          <w:t>Trust Company, as Loan Trustee) (incorporated by reference to Exhibit C to Exhibit 4.6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9">
        <w:r>
          <w:rPr>
            <w:rFonts w:ascii="Arial" w:cs="Arial" w:eastAsia="Arial" w:hAnsi="Arial"/>
            <w:sz w:val="18"/>
            <w:szCs w:val="18"/>
            <w:u w:val="single" w:color="auto"/>
            <w:color w:val="0000FF"/>
          </w:rPr>
          <w:t>K filed on October 6, 2017 (Commission File No. 1-2691)).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4.144</w:t>
      </w:r>
      <w:r>
        <w:rPr>
          <w:sz w:val="20"/>
          <w:szCs w:val="20"/>
          <w:color w:val="auto"/>
        </w:rPr>
        <w:tab/>
      </w:r>
      <w:hyperlink r:id="rId390">
        <w:r>
          <w:rPr>
            <w:rFonts w:ascii="Arial" w:cs="Arial" w:eastAsia="Arial" w:hAnsi="Arial"/>
            <w:sz w:val="18"/>
            <w:szCs w:val="18"/>
            <w:u w:val="single" w:color="auto"/>
            <w:color w:val="0000FF"/>
          </w:rPr>
          <w:t>Form of Pass Through Trust Certificate, Series 2017-2B (incorporated by reference to Exhibit A to Exhibit 4.2 to American’s</w:t>
        </w:r>
      </w:hyperlink>
      <w:r>
        <w:rPr>
          <w:rFonts w:ascii="Arial" w:cs="Arial" w:eastAsia="Arial" w:hAnsi="Arial"/>
          <w:sz w:val="18"/>
          <w:szCs w:val="18"/>
          <w:u w:val="single" w:color="auto"/>
          <w:color w:val="0000FF"/>
        </w:rPr>
        <w:t xml:space="preserve"> </w:t>
      </w:r>
      <w:hyperlink r:id="rId390">
        <w:r>
          <w:rPr>
            <w:rFonts w:ascii="Arial" w:cs="Arial" w:eastAsia="Arial" w:hAnsi="Arial"/>
            <w:sz w:val="18"/>
            <w:szCs w:val="18"/>
            <w:u w:val="single" w:color="auto"/>
            <w:color w:val="0000FF"/>
          </w:rPr>
          <w:t>Current Report on Form 8-K filed on October 6, 2017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4.145     </w:t>
      </w:r>
      <w:hyperlink r:id="rId391">
        <w:r>
          <w:rPr>
            <w:rFonts w:ascii="Arial" w:cs="Arial" w:eastAsia="Arial" w:hAnsi="Arial"/>
            <w:sz w:val="18"/>
            <w:szCs w:val="18"/>
            <w:u w:val="single" w:color="auto"/>
            <w:color w:val="0000FF"/>
          </w:rPr>
          <w:t>Revolving Credit Agreement (2017-2B), dated as of October 5, 2017, between Wilmington Trust Company, as Subordination</w:t>
        </w:r>
      </w:hyperlink>
      <w:r>
        <w:rPr>
          <w:rFonts w:ascii="Arial" w:cs="Arial" w:eastAsia="Arial" w:hAnsi="Arial"/>
          <w:sz w:val="18"/>
          <w:szCs w:val="18"/>
          <w:color w:val="auto"/>
        </w:rPr>
        <w:t xml:space="preserve"> </w:t>
      </w:r>
      <w:hyperlink r:id="rId391">
        <w:r>
          <w:rPr>
            <w:rFonts w:ascii="Arial" w:cs="Arial" w:eastAsia="Arial" w:hAnsi="Arial"/>
            <w:sz w:val="18"/>
            <w:szCs w:val="18"/>
            <w:u w:val="single" w:color="auto"/>
            <w:color w:val="0000FF"/>
          </w:rPr>
          <w:t>Agent, as agent and trustee for the trustee of the American Airlines Pass Through Trust 2017-2B, as Borrower, and National</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91">
        <w:r>
          <w:rPr>
            <w:rFonts w:ascii="Arial" w:cs="Arial" w:eastAsia="Arial" w:hAnsi="Arial"/>
            <w:sz w:val="18"/>
            <w:szCs w:val="18"/>
            <w:u w:val="single" w:color="auto"/>
            <w:color w:val="0000FF"/>
          </w:rPr>
          <w:t>Australia Bank Limited, as Liquidity Provider (incorporated by reference to Exhibit 4.12 to American’s Current Report on Form 8-K</w:t>
        </w:r>
      </w:hyperlink>
      <w:r>
        <w:rPr>
          <w:rFonts w:ascii="Arial" w:cs="Arial" w:eastAsia="Arial" w:hAnsi="Arial"/>
          <w:sz w:val="18"/>
          <w:szCs w:val="18"/>
          <w:u w:val="single" w:color="auto"/>
          <w:color w:val="0000FF"/>
        </w:rPr>
        <w:t xml:space="preserve"> </w:t>
      </w:r>
      <w:hyperlink r:id="rId391">
        <w:r>
          <w:rPr>
            <w:rFonts w:ascii="Arial" w:cs="Arial" w:eastAsia="Arial" w:hAnsi="Arial"/>
            <w:sz w:val="18"/>
            <w:szCs w:val="18"/>
            <w:u w:val="single" w:color="auto"/>
            <w:color w:val="0000FF"/>
          </w:rPr>
          <w:t>filed on October 6,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4.146     </w:t>
      </w:r>
      <w:hyperlink r:id="rId392">
        <w:r>
          <w:rPr>
            <w:rFonts w:ascii="Arial" w:cs="Arial" w:eastAsia="Arial" w:hAnsi="Arial"/>
            <w:sz w:val="18"/>
            <w:szCs w:val="18"/>
            <w:u w:val="single" w:color="auto"/>
            <w:color w:val="0000FF"/>
          </w:rPr>
          <w:t>Trust Supplement No. 2012-2C(R), dated as of May 15, 2018, between American Airlines, Inc. and Wilmington Trust Company,</w:t>
        </w:r>
      </w:hyperlink>
      <w:r>
        <w:rPr>
          <w:rFonts w:ascii="Arial" w:cs="Arial" w:eastAsia="Arial" w:hAnsi="Arial"/>
          <w:sz w:val="18"/>
          <w:szCs w:val="18"/>
          <w:color w:val="auto"/>
        </w:rPr>
        <w:t xml:space="preserve"> </w:t>
      </w:r>
      <w:hyperlink r:id="rId392">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92">
        <w:r>
          <w:rPr>
            <w:rFonts w:ascii="Arial" w:cs="Arial" w:eastAsia="Arial" w:hAnsi="Arial"/>
            <w:sz w:val="18"/>
            <w:szCs w:val="18"/>
            <w:u w:val="single" w:color="auto"/>
            <w:color w:val="0000FF"/>
          </w:rPr>
          <w:t>American’s Current Report on Form 8-K filed on May 16, 2018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4.147     </w:t>
      </w:r>
      <w:hyperlink r:id="rId393">
        <w:r>
          <w:rPr>
            <w:rFonts w:ascii="Arial" w:cs="Arial" w:eastAsia="Arial" w:hAnsi="Arial"/>
            <w:sz w:val="18"/>
            <w:szCs w:val="18"/>
            <w:u w:val="single" w:color="auto"/>
            <w:color w:val="0000FF"/>
          </w:rPr>
          <w:t>Form of Amendment No. 2 to Intercreditor Agreement (2012-2C(R)) among Wilmington Trust Company, not in its individual</w:t>
        </w:r>
      </w:hyperlink>
      <w:r>
        <w:rPr>
          <w:rFonts w:ascii="Arial" w:cs="Arial" w:eastAsia="Arial" w:hAnsi="Arial"/>
          <w:sz w:val="18"/>
          <w:szCs w:val="18"/>
          <w:color w:val="auto"/>
        </w:rPr>
        <w:t xml:space="preserve"> </w:t>
      </w:r>
      <w:hyperlink r:id="rId393">
        <w:r>
          <w:rPr>
            <w:rFonts w:ascii="Arial" w:cs="Arial" w:eastAsia="Arial" w:hAnsi="Arial"/>
            <w:sz w:val="18"/>
            <w:szCs w:val="18"/>
            <w:u w:val="single" w:color="auto"/>
            <w:color w:val="0000FF"/>
          </w:rPr>
          <w:t>capacity but solely as Trustee of the American Airlines, Inc. Pass Through Trust 2012-2C(R), American Airlines, Inc. and</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Wilmington Trust Company, not in its individual capacity but solely as Subordination Agent and Trustee (incorporated by</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reference to Exhibit C to Exhibit 4.6 to American’s Current Report on Form 8-K filed on May 16, 2018 (Commission File No. 1-</w:t>
        </w:r>
      </w:hyperlink>
      <w:hyperlink r:id="rId393">
        <w:r>
          <w:rPr>
            <w:rFonts w:ascii="Arial" w:cs="Arial" w:eastAsia="Arial" w:hAnsi="Arial"/>
            <w:sz w:val="18"/>
            <w:szCs w:val="18"/>
            <w:u w:val="single" w:color="auto"/>
            <w:color w:val="0000FF"/>
          </w:rPr>
          <w:t>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4.148     </w:t>
      </w:r>
      <w:hyperlink r:id="rId393">
        <w:r>
          <w:rPr>
            <w:rFonts w:ascii="Arial" w:cs="Arial" w:eastAsia="Arial" w:hAnsi="Arial"/>
            <w:sz w:val="18"/>
            <w:szCs w:val="18"/>
            <w:u w:val="single" w:color="auto"/>
            <w:color w:val="0000FF"/>
          </w:rPr>
          <w:t>Note Purchase Agreement, dated as of May 15, 2018, among American Airlines, Inc., Wilmington Trust Company, not in its</w:t>
        </w:r>
      </w:hyperlink>
      <w:r>
        <w:rPr>
          <w:rFonts w:ascii="Arial" w:cs="Arial" w:eastAsia="Arial" w:hAnsi="Arial"/>
          <w:sz w:val="18"/>
          <w:szCs w:val="18"/>
          <w:color w:val="auto"/>
        </w:rPr>
        <w:t xml:space="preserve"> </w:t>
      </w:r>
      <w:hyperlink r:id="rId393">
        <w:r>
          <w:rPr>
            <w:rFonts w:ascii="Arial" w:cs="Arial" w:eastAsia="Arial" w:hAnsi="Arial"/>
            <w:sz w:val="18"/>
            <w:szCs w:val="18"/>
            <w:u w:val="single" w:color="auto"/>
            <w:color w:val="0000FF"/>
          </w:rPr>
          <w:t>individual capacity, but solely as Pass Through Trustee under the Class C(R) Pass Through Trust Agreement, as Subordination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Agent and as Indenture Trustee, Wilmington Trust, National Association, as Escrow Agent, and Wilmington Trust Company, as</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Paying Agent (incorporated by reference to Exhibit 4.6 to American’s Current Report on Form 8-K filed on May 16, 2018</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(Commission File No. 1- 2691)).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4.149     </w:t>
      </w:r>
      <w:hyperlink r:id="rId393">
        <w:r>
          <w:rPr>
            <w:rFonts w:ascii="Arial" w:cs="Arial" w:eastAsia="Arial" w:hAnsi="Arial"/>
            <w:sz w:val="18"/>
            <w:szCs w:val="18"/>
            <w:u w:val="single" w:color="auto"/>
            <w:color w:val="0000FF"/>
          </w:rPr>
          <w:t>Form of Amendment to Participation Agreement (Amendment to Participation Agreement among American Airlines, Inc.,</w:t>
        </w:r>
      </w:hyperlink>
      <w:r>
        <w:rPr>
          <w:rFonts w:ascii="Arial" w:cs="Arial" w:eastAsia="Arial" w:hAnsi="Arial"/>
          <w:sz w:val="18"/>
          <w:szCs w:val="18"/>
          <w:color w:val="auto"/>
        </w:rPr>
        <w:t xml:space="preserve"> </w:t>
      </w:r>
      <w:hyperlink r:id="rId393">
        <w:r>
          <w:rPr>
            <w:rFonts w:ascii="Arial" w:cs="Arial" w:eastAsia="Arial" w:hAnsi="Arial"/>
            <w:sz w:val="18"/>
            <w:szCs w:val="18"/>
            <w:u w:val="single" w:color="auto"/>
            <w:color w:val="0000FF"/>
          </w:rPr>
          <w:t>Wilmington Trust Company, not in its individual capacity, but solely as Subordination Agent and as Indenture Trustee, and</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Wilmington Trust Company, not in its individual capacity, but solely as Pass Through Trustee under each of the Pass Through</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Trust Agreements) (incorporated by reference to Exhibit A to Exhibit 4.6 to American’s Current Report on Form 8-K filed on May</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16, 2018 (Commission File No. 1- 2691)).</w:t>
        </w:r>
      </w:hyperlink>
    </w:p>
    <w:p>
      <w:pPr>
        <w:spacing w:after="0" w:line="4" w:lineRule="exact"/>
        <w:rPr>
          <w:rFonts w:ascii="Arial" w:cs="Arial" w:eastAsia="Arial" w:hAnsi="Arial"/>
          <w:sz w:val="18"/>
          <w:szCs w:val="18"/>
          <w:u w:val="single" w:color="auto"/>
          <w:color w:val="0000FF"/>
        </w:rPr>
      </w:pPr>
    </w:p>
    <w:p>
      <w:pPr>
        <w:ind w:left="920" w:right="520" w:hanging="890"/>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4.150</w:t>
      </w:r>
      <w:r>
        <w:rPr>
          <w:sz w:val="20"/>
          <w:szCs w:val="20"/>
          <w:color w:val="auto"/>
        </w:rPr>
        <w:tab/>
      </w:r>
      <w:hyperlink r:id="rId394">
        <w:r>
          <w:rPr>
            <w:rFonts w:ascii="Arial" w:cs="Arial" w:eastAsia="Arial" w:hAnsi="Arial"/>
            <w:sz w:val="18"/>
            <w:szCs w:val="18"/>
            <w:u w:val="single" w:color="auto"/>
            <w:color w:val="0000FF"/>
          </w:rPr>
          <w:t>Form of Pass Through Trust Certificate, Series 2021-1A (incorporated by reference to Exhibit A to Exhibit 4.2 to American’s</w:t>
        </w:r>
      </w:hyperlink>
      <w:r>
        <w:rPr>
          <w:rFonts w:ascii="Arial" w:cs="Arial" w:eastAsia="Arial" w:hAnsi="Arial"/>
          <w:sz w:val="18"/>
          <w:szCs w:val="18"/>
          <w:u w:val="single" w:color="auto"/>
          <w:color w:val="0000FF"/>
        </w:rPr>
        <w:t xml:space="preserve"> </w:t>
      </w:r>
      <w:hyperlink r:id="rId394">
        <w:r>
          <w:rPr>
            <w:rFonts w:ascii="Arial" w:cs="Arial" w:eastAsia="Arial" w:hAnsi="Arial"/>
            <w:sz w:val="18"/>
            <w:szCs w:val="18"/>
            <w:u w:val="single" w:color="auto"/>
            <w:color w:val="0000FF"/>
          </w:rPr>
          <w:t>Current Report on Form 8-K filed on November 12, 2021 (Commission File No. 1-02691)).</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4.151</w:t>
      </w:r>
      <w:r>
        <w:rPr>
          <w:sz w:val="20"/>
          <w:szCs w:val="20"/>
          <w:color w:val="auto"/>
        </w:rPr>
        <w:tab/>
      </w:r>
      <w:hyperlink r:id="rId396">
        <w:r>
          <w:rPr>
            <w:rFonts w:ascii="Arial" w:cs="Arial" w:eastAsia="Arial" w:hAnsi="Arial"/>
            <w:sz w:val="18"/>
            <w:szCs w:val="18"/>
            <w:u w:val="single" w:color="auto"/>
            <w:color w:val="0000FF"/>
          </w:rPr>
          <w:t>Form of Pass Through Trust Certificate, Series 2021-1B (incorporated by reference to Exhibit A to Exhibit 4.3 to American’s</w:t>
        </w:r>
      </w:hyperlink>
      <w:r>
        <w:rPr>
          <w:rFonts w:ascii="Arial" w:cs="Arial" w:eastAsia="Arial" w:hAnsi="Arial"/>
          <w:sz w:val="18"/>
          <w:szCs w:val="18"/>
          <w:u w:val="single" w:color="auto"/>
          <w:color w:val="0000FF"/>
        </w:rPr>
        <w:t xml:space="preserve"> </w:t>
      </w:r>
      <w:hyperlink r:id="rId396">
        <w:r>
          <w:rPr>
            <w:rFonts w:ascii="Arial" w:cs="Arial" w:eastAsia="Arial" w:hAnsi="Arial"/>
            <w:sz w:val="18"/>
            <w:szCs w:val="18"/>
            <w:u w:val="single" w:color="auto"/>
            <w:color w:val="0000FF"/>
          </w:rPr>
          <w:t>Current Report on Form 8-K filed on November 12, 2021 (Commission File No. 1-02691)).</w:t>
        </w:r>
      </w:hyperlink>
    </w:p>
    <w:p>
      <w:pPr>
        <w:spacing w:after="0" w:line="7" w:lineRule="exact"/>
        <w:rPr>
          <w:sz w:val="20"/>
          <w:szCs w:val="20"/>
          <w:color w:val="auto"/>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4.152</w:t>
      </w:r>
      <w:r>
        <w:rPr>
          <w:sz w:val="20"/>
          <w:szCs w:val="20"/>
          <w:color w:val="auto"/>
        </w:rPr>
        <w:tab/>
      </w:r>
      <w:hyperlink r:id="rId397">
        <w:r>
          <w:rPr>
            <w:rFonts w:ascii="Arial" w:cs="Arial" w:eastAsia="Arial" w:hAnsi="Arial"/>
            <w:sz w:val="18"/>
            <w:szCs w:val="18"/>
            <w:u w:val="single" w:color="auto"/>
            <w:color w:val="0000FF"/>
          </w:rPr>
          <w:t>Revolving Credit Agreement (2021-1A), dated as of November 8, 2021, between Wilmington Trust Company, as Subordination</w:t>
        </w:r>
      </w:hyperlink>
      <w:r>
        <w:rPr>
          <w:rFonts w:ascii="Arial" w:cs="Arial" w:eastAsia="Arial" w:hAnsi="Arial"/>
          <w:sz w:val="18"/>
          <w:szCs w:val="18"/>
          <w:u w:val="single" w:color="auto"/>
          <w:color w:val="0000FF"/>
        </w:rPr>
        <w:t xml:space="preserve"> </w:t>
      </w:r>
      <w:hyperlink r:id="rId397">
        <w:r>
          <w:rPr>
            <w:rFonts w:ascii="Arial" w:cs="Arial" w:eastAsia="Arial" w:hAnsi="Arial"/>
            <w:sz w:val="18"/>
            <w:szCs w:val="18"/>
            <w:u w:val="single" w:color="auto"/>
            <w:color w:val="0000FF"/>
          </w:rPr>
          <w:t>Agent, as agent and trustee for the trustee of the American Airlines Pass Through Trust 2021-1A, as Borrower, and Crédit</w:t>
        </w:r>
      </w:hyperlink>
      <w:r>
        <w:rPr>
          <w:rFonts w:ascii="Arial" w:cs="Arial" w:eastAsia="Arial" w:hAnsi="Arial"/>
          <w:sz w:val="18"/>
          <w:szCs w:val="18"/>
          <w:u w:val="single" w:color="auto"/>
          <w:color w:val="0000FF"/>
        </w:rPr>
        <w:t xml:space="preserve"> </w:t>
      </w:r>
      <w:hyperlink r:id="rId397">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97">
        <w:r>
          <w:rPr>
            <w:rFonts w:ascii="Arial" w:cs="Arial" w:eastAsia="Arial" w:hAnsi="Arial"/>
            <w:sz w:val="18"/>
            <w:szCs w:val="18"/>
            <w:u w:val="single" w:color="auto"/>
            <w:color w:val="0000FF"/>
          </w:rPr>
          <w:t>Exhibit 4.14 to American’s Current Report on Form 8-K filed on November 12, 2021 (Commission File No. 1-02691)).</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4.153</w:t>
      </w:r>
      <w:r>
        <w:rPr>
          <w:sz w:val="20"/>
          <w:szCs w:val="20"/>
          <w:color w:val="auto"/>
        </w:rPr>
        <w:tab/>
      </w:r>
      <w:hyperlink r:id="rId398">
        <w:r>
          <w:rPr>
            <w:rFonts w:ascii="Arial" w:cs="Arial" w:eastAsia="Arial" w:hAnsi="Arial"/>
            <w:sz w:val="18"/>
            <w:szCs w:val="18"/>
            <w:u w:val="single" w:color="auto"/>
            <w:color w:val="0000FF"/>
          </w:rPr>
          <w:t>Revolving Credit Agreement (2021-1B), dated as of November 8, 2021, between Wilmington Trust Company, as Subordination</w:t>
        </w:r>
      </w:hyperlink>
      <w:r>
        <w:rPr>
          <w:rFonts w:ascii="Arial" w:cs="Arial" w:eastAsia="Arial" w:hAnsi="Arial"/>
          <w:sz w:val="18"/>
          <w:szCs w:val="18"/>
          <w:u w:val="single" w:color="auto"/>
          <w:color w:val="0000FF"/>
        </w:rPr>
        <w:t xml:space="preserve"> </w:t>
      </w:r>
      <w:hyperlink r:id="rId398">
        <w:r>
          <w:rPr>
            <w:rFonts w:ascii="Arial" w:cs="Arial" w:eastAsia="Arial" w:hAnsi="Arial"/>
            <w:sz w:val="18"/>
            <w:szCs w:val="18"/>
            <w:u w:val="single" w:color="auto"/>
            <w:color w:val="0000FF"/>
          </w:rPr>
          <w:t>Agent, as agent and trustee for the trustee of the American Airlines Pass Through Trust 2021-1B, as Borrower, and Crédit</w:t>
        </w:r>
      </w:hyperlink>
      <w:r>
        <w:rPr>
          <w:rFonts w:ascii="Arial" w:cs="Arial" w:eastAsia="Arial" w:hAnsi="Arial"/>
          <w:sz w:val="18"/>
          <w:szCs w:val="18"/>
          <w:u w:val="single" w:color="auto"/>
          <w:color w:val="0000FF"/>
        </w:rPr>
        <w:t xml:space="preserve"> </w:t>
      </w:r>
      <w:hyperlink r:id="rId398">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98">
        <w:r>
          <w:rPr>
            <w:rFonts w:ascii="Arial" w:cs="Arial" w:eastAsia="Arial" w:hAnsi="Arial"/>
            <w:sz w:val="18"/>
            <w:szCs w:val="18"/>
            <w:u w:val="single" w:color="auto"/>
            <w:color w:val="0000FF"/>
          </w:rPr>
          <w:t>Exhibit 4.15 to American’s Current Report on Form 8-K filed on November 12, 2021 (Commission File No. 1-02691)).</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4.154</w:t>
      </w:r>
      <w:r>
        <w:rPr>
          <w:sz w:val="20"/>
          <w:szCs w:val="20"/>
          <w:color w:val="auto"/>
        </w:rPr>
        <w:tab/>
      </w:r>
      <w:hyperlink r:id="rId399">
        <w:r>
          <w:rPr>
            <w:rFonts w:ascii="Arial" w:cs="Arial" w:eastAsia="Arial" w:hAnsi="Arial"/>
            <w:sz w:val="18"/>
            <w:szCs w:val="18"/>
            <w:u w:val="single" w:color="auto"/>
            <w:color w:val="0000FF"/>
          </w:rPr>
          <w:t>Tax Benefit Preservation Plan, dated as of December 21, 2021, between American Airlines Group Inc. and American Stock</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Transfer &amp; Trust Company, LLC, which includes the Form of Certificate of Designations of Series B Junior Participating Preferred</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Stock as Exhibit A, the Form of Right Certificate as Exhibit B and the Summary of Rights to Purchase Preferred Shares as Exhibit</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C (incorporated by reference to Exhibit 4.1 to AAG’s Current Report on Form 8-K filed on December 22, 2021 (Commission File</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No. 1-8400)).</w:t>
        </w:r>
      </w:hyperlink>
    </w:p>
    <w:p>
      <w:pPr>
        <w:spacing w:after="0" w:line="14" w:lineRule="exact"/>
        <w:rPr>
          <w:rFonts w:ascii="Arial" w:cs="Arial" w:eastAsia="Arial" w:hAnsi="Arial"/>
          <w:sz w:val="18"/>
          <w:szCs w:val="18"/>
          <w:u w:val="single" w:color="auto"/>
          <w:color w:val="0000FF"/>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4.155</w:t>
      </w:r>
      <w:r>
        <w:rPr>
          <w:sz w:val="20"/>
          <w:szCs w:val="20"/>
          <w:color w:val="auto"/>
        </w:rPr>
        <w:tab/>
      </w:r>
      <w:hyperlink r:id="rId393">
        <w:r>
          <w:rPr>
            <w:rFonts w:ascii="Arial" w:cs="Arial" w:eastAsia="Arial" w:hAnsi="Arial"/>
            <w:sz w:val="18"/>
            <w:szCs w:val="18"/>
            <w:u w:val="single" w:color="auto"/>
            <w:color w:val="0000FF"/>
          </w:rPr>
          <w:t>Form of Amendment to Trust Indenture and Security Agreement (Amendment to Trust Indenture and Security Agreement</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between American Airlines, Inc., Wilmington Trust Company, not in its individual capacity, but solely as Indenture Trustee, and</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Wilmington Trust, National Association, as Securities Intermediary) (incorporated by reference to Exhibit B to Exhibit 4.6 to</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American’s Current Report on Form 8-K filed on May 16, 2018 (Commission File No. 1-2691)).</w:t>
        </w:r>
      </w:hyperlink>
    </w:p>
    <w:p>
      <w:pPr>
        <w:spacing w:after="0" w:line="1"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4.156</w:t>
      </w:r>
      <w:r>
        <w:rPr>
          <w:sz w:val="20"/>
          <w:szCs w:val="20"/>
          <w:color w:val="auto"/>
        </w:rPr>
        <w:tab/>
      </w:r>
      <w:hyperlink r:id="rId392">
        <w:r>
          <w:rPr>
            <w:rFonts w:ascii="Arial" w:cs="Arial" w:eastAsia="Arial" w:hAnsi="Arial"/>
            <w:sz w:val="18"/>
            <w:szCs w:val="18"/>
            <w:u w:val="single" w:color="auto"/>
            <w:color w:val="0000FF"/>
          </w:rPr>
          <w:t>Form of Pass Through Trust Certificate, Series 2012-2C(R) (incorporated by reference to Exhibit A to Exhibit 4.2 to American’s</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Current Report on Form 8-K filed on May 16, 2018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4.157     </w:t>
      </w:r>
      <w:hyperlink r:id="rId400">
        <w:r>
          <w:rPr>
            <w:rFonts w:ascii="Arial" w:cs="Arial" w:eastAsia="Arial" w:hAnsi="Arial"/>
            <w:sz w:val="18"/>
            <w:szCs w:val="18"/>
            <w:u w:val="single" w:color="auto"/>
            <w:color w:val="0000FF"/>
          </w:rPr>
          <w:t>Trust Supplement No. 2019-1AA (Aircraft EETC), dated as of August 15, 2019, between American Airlines, Inc. and Wilmington</w:t>
        </w:r>
      </w:hyperlink>
      <w:r>
        <w:rPr>
          <w:rFonts w:ascii="Arial" w:cs="Arial" w:eastAsia="Arial" w:hAnsi="Arial"/>
          <w:sz w:val="18"/>
          <w:szCs w:val="18"/>
          <w:color w:val="auto"/>
        </w:rPr>
        <w:t xml:space="preserve"> </w:t>
      </w:r>
      <w:hyperlink r:id="rId400">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0">
        <w:r>
          <w:rPr>
            <w:rFonts w:ascii="Arial" w:cs="Arial" w:eastAsia="Arial" w:hAnsi="Arial"/>
            <w:sz w:val="18"/>
            <w:szCs w:val="18"/>
            <w:u w:val="single" w:color="auto"/>
            <w:color w:val="0000FF"/>
          </w:rPr>
          <w:t>Exhibit 4.2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4.158     </w:t>
      </w:r>
      <w:hyperlink r:id="rId401">
        <w:r>
          <w:rPr>
            <w:rFonts w:ascii="Arial" w:cs="Arial" w:eastAsia="Arial" w:hAnsi="Arial"/>
            <w:sz w:val="18"/>
            <w:szCs w:val="18"/>
            <w:u w:val="single" w:color="auto"/>
            <w:color w:val="0000FF"/>
          </w:rPr>
          <w:t>Trust Supplement No. 2019-1A (Aircraft EETC), dated as of August 15, 2019, between American Airlines, Inc. and Wilmington</w:t>
        </w:r>
      </w:hyperlink>
      <w:r>
        <w:rPr>
          <w:rFonts w:ascii="Arial" w:cs="Arial" w:eastAsia="Arial" w:hAnsi="Arial"/>
          <w:sz w:val="18"/>
          <w:szCs w:val="18"/>
          <w:color w:val="auto"/>
        </w:rPr>
        <w:t xml:space="preserve"> </w:t>
      </w:r>
      <w:hyperlink r:id="rId401">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1">
        <w:r>
          <w:rPr>
            <w:rFonts w:ascii="Arial" w:cs="Arial" w:eastAsia="Arial" w:hAnsi="Arial"/>
            <w:sz w:val="18"/>
            <w:szCs w:val="18"/>
            <w:u w:val="single" w:color="auto"/>
            <w:color w:val="0000FF"/>
          </w:rPr>
          <w:t>Exhibit 4.3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4.159     </w:t>
      </w:r>
      <w:hyperlink r:id="rId402">
        <w:r>
          <w:rPr>
            <w:rFonts w:ascii="Arial" w:cs="Arial" w:eastAsia="Arial" w:hAnsi="Arial"/>
            <w:sz w:val="18"/>
            <w:szCs w:val="18"/>
            <w:u w:val="single" w:color="auto"/>
            <w:color w:val="0000FF"/>
          </w:rPr>
          <w:t>Trust Supplement No. 2019-1B (Aircraft EETC), dated as of August 15, 2019, between American Airlines, Inc. and Wilmington</w:t>
        </w:r>
      </w:hyperlink>
      <w:r>
        <w:rPr>
          <w:rFonts w:ascii="Arial" w:cs="Arial" w:eastAsia="Arial" w:hAnsi="Arial"/>
          <w:sz w:val="18"/>
          <w:szCs w:val="18"/>
          <w:color w:val="auto"/>
        </w:rPr>
        <w:t xml:space="preserve"> </w:t>
      </w:r>
      <w:hyperlink r:id="rId402">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2">
        <w:r>
          <w:rPr>
            <w:rFonts w:ascii="Arial" w:cs="Arial" w:eastAsia="Arial" w:hAnsi="Arial"/>
            <w:sz w:val="18"/>
            <w:szCs w:val="18"/>
            <w:u w:val="single" w:color="auto"/>
            <w:color w:val="0000FF"/>
          </w:rPr>
          <w:t>Exhibit 4.4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4.160     </w:t>
      </w:r>
      <w:hyperlink r:id="rId403">
        <w:r>
          <w:rPr>
            <w:rFonts w:ascii="Arial" w:cs="Arial" w:eastAsia="Arial" w:hAnsi="Arial"/>
            <w:sz w:val="18"/>
            <w:szCs w:val="18"/>
            <w:u w:val="single" w:color="auto"/>
            <w:color w:val="0000FF"/>
          </w:rPr>
          <w:t>Intercreditor Agreement (2019-1), dated as of August 15, 2019, among Wilmington Trust Company, as Trustee of the American</w:t>
        </w:r>
      </w:hyperlink>
      <w:r>
        <w:rPr>
          <w:rFonts w:ascii="Arial" w:cs="Arial" w:eastAsia="Arial" w:hAnsi="Arial"/>
          <w:sz w:val="18"/>
          <w:szCs w:val="18"/>
          <w:color w:val="auto"/>
        </w:rPr>
        <w:t xml:space="preserve"> </w:t>
      </w:r>
      <w:hyperlink r:id="rId403">
        <w:r>
          <w:rPr>
            <w:rFonts w:ascii="Arial" w:cs="Arial" w:eastAsia="Arial" w:hAnsi="Arial"/>
            <w:sz w:val="18"/>
            <w:szCs w:val="18"/>
            <w:u w:val="single" w:color="auto"/>
            <w:color w:val="0000FF"/>
          </w:rPr>
          <w:t>Airlines Pass Through Trust 2019-1AA (Aircraft EETC), as Trustee of the American Airlines Pass Through Trust 2019-1A (Aircraft</w:t>
        </w:r>
      </w:hyperlink>
    </w:p>
    <w:p>
      <w:pPr>
        <w:spacing w:after="0" w:line="1" w:lineRule="exact"/>
        <w:rPr>
          <w:sz w:val="20"/>
          <w:szCs w:val="20"/>
          <w:color w:val="auto"/>
        </w:rPr>
      </w:pPr>
    </w:p>
    <w:p>
      <w:pPr>
        <w:jc w:val="both"/>
        <w:ind w:left="920"/>
        <w:spacing w:after="0" w:line="221" w:lineRule="auto"/>
        <w:rPr>
          <w:rFonts w:ascii="Arial" w:cs="Arial" w:eastAsia="Arial" w:hAnsi="Arial"/>
          <w:sz w:val="17"/>
          <w:szCs w:val="17"/>
          <w:u w:val="single" w:color="auto"/>
          <w:color w:val="0000FF"/>
        </w:rPr>
      </w:pPr>
      <w:hyperlink r:id="rId403">
        <w:r>
          <w:rPr>
            <w:rFonts w:ascii="Arial" w:cs="Arial" w:eastAsia="Arial" w:hAnsi="Arial"/>
            <w:sz w:val="17"/>
            <w:szCs w:val="17"/>
            <w:u w:val="single" w:color="auto"/>
            <w:color w:val="0000FF"/>
          </w:rPr>
          <w:t>EETC) and as Trustee of the American Airlines Pass Through Trust 2019-1B (Aircraft EETC), National Australia Bank Limited, as</w:t>
        </w:r>
      </w:hyperlink>
      <w:r>
        <w:rPr>
          <w:rFonts w:ascii="Arial" w:cs="Arial" w:eastAsia="Arial" w:hAnsi="Arial"/>
          <w:sz w:val="17"/>
          <w:szCs w:val="17"/>
          <w:u w:val="single" w:color="auto"/>
          <w:color w:val="0000FF"/>
        </w:rPr>
        <w:t xml:space="preserve"> </w:t>
      </w:r>
      <w:hyperlink r:id="rId403">
        <w:r>
          <w:rPr>
            <w:rFonts w:ascii="Arial" w:cs="Arial" w:eastAsia="Arial" w:hAnsi="Arial"/>
            <w:sz w:val="17"/>
            <w:szCs w:val="17"/>
            <w:u w:val="single" w:color="auto"/>
            <w:color w:val="0000FF"/>
          </w:rPr>
          <w:t>Class AA Liquidity Provider, Class A Liquidity Provider and Class B Liquidity Provider, and Wilmington Trust Company, as</w:t>
        </w:r>
      </w:hyperlink>
      <w:r>
        <w:rPr>
          <w:rFonts w:ascii="Arial" w:cs="Arial" w:eastAsia="Arial" w:hAnsi="Arial"/>
          <w:sz w:val="17"/>
          <w:szCs w:val="17"/>
          <w:u w:val="single" w:color="auto"/>
          <w:color w:val="0000FF"/>
        </w:rPr>
        <w:t xml:space="preserve"> </w:t>
      </w:r>
      <w:hyperlink r:id="rId403">
        <w:r>
          <w:rPr>
            <w:rFonts w:ascii="Arial" w:cs="Arial" w:eastAsia="Arial" w:hAnsi="Arial"/>
            <w:sz w:val="17"/>
            <w:szCs w:val="17"/>
            <w:u w:val="single" w:color="auto"/>
            <w:color w:val="0000FF"/>
          </w:rPr>
          <w:t>Subordination Agent (incorporated by reference to Exhibit 4.5 to American’s Current Report on Form 8-K filed on August 15, 2019</w:t>
        </w:r>
      </w:hyperlink>
    </w:p>
    <w:p>
      <w:pPr>
        <w:ind w:left="920"/>
        <w:spacing w:after="0"/>
        <w:rPr>
          <w:rFonts w:ascii="Arial" w:cs="Arial" w:eastAsia="Arial" w:hAnsi="Arial"/>
          <w:sz w:val="18"/>
          <w:szCs w:val="18"/>
          <w:u w:val="single" w:color="auto"/>
          <w:color w:val="0000FF"/>
        </w:rPr>
      </w:pPr>
      <w:hyperlink r:id="rId403">
        <w:r>
          <w:rPr>
            <w:rFonts w:ascii="Arial" w:cs="Arial" w:eastAsia="Arial" w:hAnsi="Arial"/>
            <w:sz w:val="18"/>
            <w:szCs w:val="18"/>
            <w:u w:val="single" w:color="auto"/>
            <w:color w:val="0000FF"/>
          </w:rPr>
          <w:t>(Commission File No. 1-02691)).</w:t>
        </w:r>
      </w:hyperlink>
    </w:p>
    <w:p>
      <w:pPr>
        <w:spacing w:after="0" w:line="14" w:lineRule="exact"/>
        <w:rPr>
          <w:rFonts w:ascii="Arial" w:cs="Arial" w:eastAsia="Arial" w:hAnsi="Arial"/>
          <w:sz w:val="17"/>
          <w:szCs w:val="17"/>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4.161     </w:t>
      </w:r>
      <w:hyperlink r:id="rId404">
        <w:r>
          <w:rPr>
            <w:rFonts w:ascii="Arial" w:cs="Arial" w:eastAsia="Arial" w:hAnsi="Arial"/>
            <w:sz w:val="18"/>
            <w:szCs w:val="18"/>
            <w:u w:val="single" w:color="auto"/>
            <w:color w:val="0000FF"/>
          </w:rPr>
          <w:t>Note Purchase Agreement, dated as of August 15, 2019, among American Airlines, Inc., Wilmington Trust Company, as Pass</w:t>
        </w:r>
      </w:hyperlink>
      <w:r>
        <w:rPr>
          <w:rFonts w:ascii="Arial" w:cs="Arial" w:eastAsia="Arial" w:hAnsi="Arial"/>
          <w:sz w:val="18"/>
          <w:szCs w:val="18"/>
          <w:color w:val="auto"/>
        </w:rPr>
        <w:t xml:space="preserve"> </w:t>
      </w:r>
      <w:hyperlink r:id="rId404">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404">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404">
        <w:r>
          <w:rPr>
            <w:rFonts w:ascii="Arial" w:cs="Arial" w:eastAsia="Arial" w:hAnsi="Arial"/>
            <w:sz w:val="18"/>
            <w:szCs w:val="18"/>
            <w:u w:val="single" w:color="auto"/>
            <w:color w:val="0000FF"/>
          </w:rPr>
          <w:t>reference to Exhibit 4.12 to American’s Current Report on Form 8-K filed on August 15, 2019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4.162     </w:t>
      </w:r>
      <w:hyperlink r:id="rId404">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404">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404">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404">
        <w:r>
          <w:rPr>
            <w:rFonts w:ascii="Arial" w:cs="Arial" w:eastAsia="Arial" w:hAnsi="Arial"/>
            <w:sz w:val="18"/>
            <w:szCs w:val="18"/>
            <w:u w:val="single" w:color="auto"/>
            <w:color w:val="0000FF"/>
          </w:rPr>
          <w:t>(incorporated by reference to Exhibit B to Exhibit 4.12 to American’s Current Report on Form 8-K filed on August 15, 2019</w:t>
        </w:r>
      </w:hyperlink>
      <w:r>
        <w:rPr>
          <w:rFonts w:ascii="Arial" w:cs="Arial" w:eastAsia="Arial" w:hAnsi="Arial"/>
          <w:sz w:val="18"/>
          <w:szCs w:val="18"/>
          <w:u w:val="single" w:color="auto"/>
          <w:color w:val="0000FF"/>
        </w:rPr>
        <w:t xml:space="preserve"> </w:t>
      </w:r>
      <w:hyperlink r:id="rId404">
        <w:r>
          <w:rPr>
            <w:rFonts w:ascii="Arial" w:cs="Arial" w:eastAsia="Arial" w:hAnsi="Arial"/>
            <w:sz w:val="18"/>
            <w:szCs w:val="18"/>
            <w:u w:val="single" w:color="auto"/>
            <w:color w:val="0000FF"/>
          </w:rPr>
          <w:t>(Commission File No. 1-02691)).</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4.163     </w:t>
      </w:r>
      <w:hyperlink r:id="rId404">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404">
        <w:r>
          <w:rPr>
            <w:rFonts w:ascii="Arial" w:cs="Arial" w:eastAsia="Arial" w:hAnsi="Arial"/>
            <w:sz w:val="18"/>
            <w:szCs w:val="18"/>
            <w:u w:val="single" w:color="auto"/>
            <w:color w:val="0000FF"/>
          </w:rPr>
          <w:t>Trust Company, as Loan Trustee) (incorporated by reference to Exhibit C to Exhibit 4.12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4">
        <w:r>
          <w:rPr>
            <w:rFonts w:ascii="Arial" w:cs="Arial" w:eastAsia="Arial" w:hAnsi="Arial"/>
            <w:sz w:val="18"/>
            <w:szCs w:val="18"/>
            <w:u w:val="single" w:color="auto"/>
            <w:color w:val="0000FF"/>
          </w:rPr>
          <w:t>K filed on August 15, 2019 (Commission File No. 1-02691)).</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4.164</w:t>
      </w:r>
      <w:r>
        <w:rPr>
          <w:sz w:val="20"/>
          <w:szCs w:val="20"/>
          <w:color w:val="auto"/>
        </w:rPr>
        <w:tab/>
      </w:r>
      <w:hyperlink r:id="rId400">
        <w:r>
          <w:rPr>
            <w:rFonts w:ascii="Arial" w:cs="Arial" w:eastAsia="Arial" w:hAnsi="Arial"/>
            <w:sz w:val="18"/>
            <w:szCs w:val="18"/>
            <w:u w:val="single" w:color="auto"/>
            <w:color w:val="0000FF"/>
          </w:rPr>
          <w:t>Form of Pass Through Trust Certificate, Series 2019-1AA (Aircraft EETC) (incorporated by reference to Exhibit A to Exhibit 4.2 to</w:t>
        </w:r>
      </w:hyperlink>
      <w:r>
        <w:rPr>
          <w:rFonts w:ascii="Arial" w:cs="Arial" w:eastAsia="Arial" w:hAnsi="Arial"/>
          <w:sz w:val="18"/>
          <w:szCs w:val="18"/>
          <w:u w:val="single" w:color="auto"/>
          <w:color w:val="0000FF"/>
        </w:rPr>
        <w:t xml:space="preserve"> </w:t>
      </w:r>
      <w:hyperlink r:id="rId400">
        <w:r>
          <w:rPr>
            <w:rFonts w:ascii="Arial" w:cs="Arial" w:eastAsia="Arial" w:hAnsi="Arial"/>
            <w:sz w:val="18"/>
            <w:szCs w:val="18"/>
            <w:u w:val="single" w:color="auto"/>
            <w:color w:val="0000FF"/>
          </w:rPr>
          <w:t>American’s Current Report on Form 8-K filed on August 15, 2019 (Commission File No. 1-02691)).</w:t>
        </w:r>
      </w:hyperlink>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line="230"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4.165</w:t>
      </w:r>
      <w:r>
        <w:rPr>
          <w:sz w:val="20"/>
          <w:szCs w:val="20"/>
          <w:color w:val="auto"/>
        </w:rPr>
        <w:tab/>
      </w:r>
      <w:hyperlink r:id="rId401">
        <w:r>
          <w:rPr>
            <w:rFonts w:ascii="Arial" w:cs="Arial" w:eastAsia="Arial" w:hAnsi="Arial"/>
            <w:sz w:val="18"/>
            <w:szCs w:val="18"/>
            <w:u w:val="single" w:color="auto"/>
            <w:color w:val="0000FF"/>
          </w:rPr>
          <w:t>Form of Pass Through Trust Certificate, Series 2019-1A (Aircraft EETC) (incorporated by reference to Exhibit A to Exhibit 4.3 to</w:t>
        </w:r>
      </w:hyperlink>
      <w:r>
        <w:rPr>
          <w:rFonts w:ascii="Arial" w:cs="Arial" w:eastAsia="Arial" w:hAnsi="Arial"/>
          <w:sz w:val="18"/>
          <w:szCs w:val="18"/>
          <w:u w:val="single" w:color="auto"/>
          <w:color w:val="0000FF"/>
        </w:rPr>
        <w:t xml:space="preserve"> </w:t>
      </w:r>
      <w:hyperlink r:id="rId401">
        <w:r>
          <w:rPr>
            <w:rFonts w:ascii="Arial" w:cs="Arial" w:eastAsia="Arial" w:hAnsi="Arial"/>
            <w:sz w:val="18"/>
            <w:szCs w:val="18"/>
            <w:u w:val="single" w:color="auto"/>
            <w:color w:val="0000FF"/>
          </w:rPr>
          <w:t>American’s Current Report on Form 8-K filed on August 15, 2019 (Commission File No. 1-02691)).</w:t>
        </w:r>
      </w:hyperlink>
    </w:p>
    <w:p>
      <w:pPr>
        <w:spacing w:after="0" w:line="5" w:lineRule="exact"/>
        <w:rPr>
          <w:sz w:val="20"/>
          <w:szCs w:val="20"/>
          <w:color w:val="auto"/>
        </w:rPr>
      </w:pPr>
    </w:p>
    <w:p>
      <w:pPr>
        <w:jc w:val="both"/>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4.166</w:t>
      </w:r>
      <w:r>
        <w:rPr>
          <w:sz w:val="20"/>
          <w:szCs w:val="20"/>
          <w:color w:val="auto"/>
        </w:rPr>
        <w:tab/>
      </w:r>
      <w:hyperlink r:id="rId402">
        <w:r>
          <w:rPr>
            <w:rFonts w:ascii="Arial" w:cs="Arial" w:eastAsia="Arial" w:hAnsi="Arial"/>
            <w:sz w:val="18"/>
            <w:szCs w:val="18"/>
            <w:u w:val="single" w:color="auto"/>
            <w:color w:val="0000FF"/>
          </w:rPr>
          <w:t>Form of Pass Through Trust Certificate, Series 2019-1B (Aircraft EETC) (incorporated by reference to Exhibit A to Exhibit 4.4 to</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American’s Current Report on Form 8-K filed on August 15, 2019 (Commission File No. 1-02691)).</w:t>
        </w:r>
      </w:hyperlink>
    </w:p>
    <w:p>
      <w:pPr>
        <w:spacing w:after="0" w:line="5" w:lineRule="exact"/>
        <w:rPr>
          <w:sz w:val="20"/>
          <w:szCs w:val="20"/>
          <w:color w:val="auto"/>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4.167</w:t>
      </w:r>
      <w:r>
        <w:rPr>
          <w:sz w:val="20"/>
          <w:szCs w:val="20"/>
          <w:color w:val="auto"/>
        </w:rPr>
        <w:tab/>
      </w:r>
      <w:hyperlink r:id="rId406">
        <w:r>
          <w:rPr>
            <w:rFonts w:ascii="Arial" w:cs="Arial" w:eastAsia="Arial" w:hAnsi="Arial"/>
            <w:sz w:val="18"/>
            <w:szCs w:val="18"/>
            <w:u w:val="single" w:color="auto"/>
            <w:color w:val="0000FF"/>
          </w:rPr>
          <w:t>Revolving Credit Agreement (2019-1AA), dated as of August 15, 2019, between Wilmington Trust Company, as Subordination</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Agent, as agent and trustee for the trustee of the American Airlines Pass Through Trust 2019-1AA (Aircraft EETC),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06">
        <w:r>
          <w:rPr>
            <w:rFonts w:ascii="Arial" w:cs="Arial" w:eastAsia="Arial" w:hAnsi="Arial"/>
            <w:sz w:val="18"/>
            <w:szCs w:val="18"/>
            <w:u w:val="single" w:color="auto"/>
            <w:color w:val="0000FF"/>
          </w:rPr>
          <w:t>and National Australia Bank Limited, as Liquidity Provider (incorporated by reference to Exhibit 4.18 to American’s Current Report</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4.168</w:t>
      </w:r>
      <w:r>
        <w:rPr>
          <w:sz w:val="20"/>
          <w:szCs w:val="20"/>
          <w:color w:val="auto"/>
        </w:rPr>
        <w:tab/>
      </w:r>
      <w:hyperlink r:id="rId407">
        <w:r>
          <w:rPr>
            <w:rFonts w:ascii="Arial" w:cs="Arial" w:eastAsia="Arial" w:hAnsi="Arial"/>
            <w:sz w:val="18"/>
            <w:szCs w:val="18"/>
            <w:u w:val="single" w:color="auto"/>
            <w:color w:val="0000FF"/>
          </w:rPr>
          <w:t>Revolving Credit Agreement (2019-1A), dated as of August 15, 2019, between Wilmington Trust Company, as Subordination</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Agent, as agent and trustee for the trustee of the American Airlines Pass Through Trust 2019-1A (Aircraft EETC),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07">
        <w:r>
          <w:rPr>
            <w:rFonts w:ascii="Arial" w:cs="Arial" w:eastAsia="Arial" w:hAnsi="Arial"/>
            <w:sz w:val="18"/>
            <w:szCs w:val="18"/>
            <w:u w:val="single" w:color="auto"/>
            <w:color w:val="0000FF"/>
          </w:rPr>
          <w:t>and National Australia Bank Limited, as Liquidity Provider (incorporated by reference to Exhibit 4.19 to American’s Current Report</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4.169</w:t>
      </w:r>
      <w:r>
        <w:rPr>
          <w:sz w:val="20"/>
          <w:szCs w:val="20"/>
          <w:color w:val="auto"/>
        </w:rPr>
        <w:tab/>
      </w:r>
      <w:hyperlink r:id="rId394">
        <w:r>
          <w:rPr>
            <w:rFonts w:ascii="Arial" w:cs="Arial" w:eastAsia="Arial" w:hAnsi="Arial"/>
            <w:sz w:val="18"/>
            <w:szCs w:val="18"/>
            <w:u w:val="single" w:color="auto"/>
            <w:color w:val="0000FF"/>
          </w:rPr>
          <w:t>Trust Supplement No. 2021-1A, dated as of November 8, 2021, between American Airlines, Inc. and Wilmington Trust Company,</w:t>
        </w:r>
      </w:hyperlink>
      <w:r>
        <w:rPr>
          <w:rFonts w:ascii="Arial" w:cs="Arial" w:eastAsia="Arial" w:hAnsi="Arial"/>
          <w:sz w:val="18"/>
          <w:szCs w:val="18"/>
          <w:u w:val="single" w:color="auto"/>
          <w:color w:val="0000FF"/>
        </w:rPr>
        <w:t xml:space="preserve"> </w:t>
      </w:r>
      <w:hyperlink r:id="rId394">
        <w:r>
          <w:rPr>
            <w:rFonts w:ascii="Arial" w:cs="Arial" w:eastAsia="Arial" w:hAnsi="Arial"/>
            <w:sz w:val="18"/>
            <w:szCs w:val="18"/>
            <w:u w:val="single" w:color="auto"/>
            <w:color w:val="0000FF"/>
          </w:rPr>
          <w:t>as 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394">
        <w:r>
          <w:rPr>
            <w:rFonts w:ascii="Arial" w:cs="Arial" w:eastAsia="Arial" w:hAnsi="Arial"/>
            <w:sz w:val="18"/>
            <w:szCs w:val="18"/>
            <w:u w:val="single" w:color="auto"/>
            <w:color w:val="0000FF"/>
          </w:rPr>
          <w:t>American’s Current Report on Form 8-K filed on November 12, 2021 (Commission File No. 1-02691)).</w:t>
        </w:r>
      </w:hyperlink>
    </w:p>
    <w:p>
      <w:pPr>
        <w:spacing w:after="0" w:line="13"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4.170</w:t>
      </w:r>
      <w:r>
        <w:rPr>
          <w:sz w:val="20"/>
          <w:szCs w:val="20"/>
          <w:color w:val="auto"/>
        </w:rPr>
        <w:tab/>
      </w:r>
      <w:hyperlink r:id="rId396">
        <w:r>
          <w:rPr>
            <w:rFonts w:ascii="Arial" w:cs="Arial" w:eastAsia="Arial" w:hAnsi="Arial"/>
            <w:sz w:val="18"/>
            <w:szCs w:val="18"/>
            <w:u w:val="single" w:color="auto"/>
            <w:color w:val="0000FF"/>
          </w:rPr>
          <w:t>Trust Supplement No. 2021-1B, dated as of November 8, 2021, between American Airlines, Inc. and Wilmington Trust Company,</w:t>
        </w:r>
      </w:hyperlink>
      <w:r>
        <w:rPr>
          <w:rFonts w:ascii="Arial" w:cs="Arial" w:eastAsia="Arial" w:hAnsi="Arial"/>
          <w:sz w:val="18"/>
          <w:szCs w:val="18"/>
          <w:u w:val="single" w:color="auto"/>
          <w:color w:val="0000FF"/>
        </w:rPr>
        <w:t xml:space="preserve"> </w:t>
      </w:r>
      <w:hyperlink r:id="rId396">
        <w:r>
          <w:rPr>
            <w:rFonts w:ascii="Arial" w:cs="Arial" w:eastAsia="Arial" w:hAnsi="Arial"/>
            <w:sz w:val="18"/>
            <w:szCs w:val="18"/>
            <w:u w:val="single" w:color="auto"/>
            <w:color w:val="0000FF"/>
          </w:rPr>
          <w:t>as 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396">
        <w:r>
          <w:rPr>
            <w:rFonts w:ascii="Arial" w:cs="Arial" w:eastAsia="Arial" w:hAnsi="Arial"/>
            <w:sz w:val="18"/>
            <w:szCs w:val="18"/>
            <w:u w:val="single" w:color="auto"/>
            <w:color w:val="0000FF"/>
          </w:rPr>
          <w:t>American’s Current Report on Form 8-K filed on November 12, 2021 (Commission File No. 1-02691)).</w:t>
        </w:r>
      </w:hyperlink>
    </w:p>
    <w:p>
      <w:pPr>
        <w:spacing w:after="0" w:line="7" w:lineRule="exact"/>
        <w:rPr>
          <w:rFonts w:ascii="Arial" w:cs="Arial" w:eastAsia="Arial" w:hAnsi="Arial"/>
          <w:sz w:val="18"/>
          <w:szCs w:val="18"/>
          <w:u w:val="single" w:color="auto"/>
          <w:color w:val="0000FF"/>
        </w:rPr>
      </w:pPr>
    </w:p>
    <w:p>
      <w:pPr>
        <w:jc w:val="both"/>
        <w:ind w:left="920" w:hanging="890"/>
        <w:spacing w:after="0" w:line="24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4.171</w:t>
      </w:r>
      <w:r>
        <w:rPr>
          <w:sz w:val="20"/>
          <w:szCs w:val="20"/>
          <w:color w:val="auto"/>
        </w:rPr>
        <w:tab/>
      </w:r>
      <w:hyperlink r:id="rId408">
        <w:r>
          <w:rPr>
            <w:rFonts w:ascii="Arial" w:cs="Arial" w:eastAsia="Arial" w:hAnsi="Arial"/>
            <w:sz w:val="18"/>
            <w:szCs w:val="18"/>
            <w:u w:val="single" w:color="auto"/>
            <w:color w:val="0000FF"/>
          </w:rPr>
          <w:t>Intercreditor Agreement (2021-1), dated as of November 8, 2021, among Wilmington Trust Company, as Trustee of the American</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Airlines Pass Through Trust 2021-1A and as Trustee of the American Airlines Pass Through Trust 2021-1B, Crédit Agricole</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Corporate and Investment Bank, acting through its New York Branch, as Class A Liquidity Provider and Class B Liquidity</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Provider, and Wilmington Trust Company, as Subordination Agent (incorporated by reference to Exhibit 4.4 to American’s Current</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Report on Form 8-K filed on November 12, 2021 (Commission File No. 1-02691)).</w:t>
        </w:r>
      </w:hyperlink>
    </w:p>
    <w:p>
      <w:pPr>
        <w:spacing w:after="0" w:line="14"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4.172</w:t>
      </w:r>
      <w:r>
        <w:rPr>
          <w:sz w:val="20"/>
          <w:szCs w:val="20"/>
          <w:color w:val="auto"/>
        </w:rPr>
        <w:tab/>
      </w:r>
      <w:hyperlink r:id="rId409">
        <w:r>
          <w:rPr>
            <w:rFonts w:ascii="Arial" w:cs="Arial" w:eastAsia="Arial" w:hAnsi="Arial"/>
            <w:sz w:val="18"/>
            <w:szCs w:val="18"/>
            <w:u w:val="single" w:color="auto"/>
            <w:color w:val="0000FF"/>
          </w:rPr>
          <w:t>Note Purchase Agreement, dated as of November 8, 2021, among American Airlines, Inc., Wilmington Trust Company, as Pass</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reference to Exhibit 4.9 to American’s Current Report on Form 8-K filed on November 12, 2021 (Commission File No. 1-02691)).</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4.173</w:t>
      </w:r>
      <w:r>
        <w:rPr>
          <w:sz w:val="20"/>
          <w:szCs w:val="20"/>
          <w:color w:val="auto"/>
        </w:rPr>
        <w:tab/>
      </w:r>
      <w:hyperlink r:id="rId409">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(incorporated by reference to Exhibit B to Exhibit 4.9 to American’s Current Report on Form 8-K filed on November 12, 2021</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(Commission File No. 1-02691)).</w:t>
        </w:r>
      </w:hyperlink>
    </w:p>
    <w:p>
      <w:pPr>
        <w:spacing w:after="0" w:line="14"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4.174</w:t>
      </w:r>
      <w:r>
        <w:rPr>
          <w:sz w:val="20"/>
          <w:szCs w:val="20"/>
          <w:color w:val="auto"/>
        </w:rPr>
        <w:tab/>
      </w:r>
      <w:hyperlink r:id="rId409">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Trust Company, as Loan Trustee) (incorporated by reference to Exhibit C to Exhibit 4.9 to American’s Current Report on Form 8-</w:t>
        </w:r>
      </w:hyperlink>
      <w:hyperlink r:id="rId409">
        <w:r>
          <w:rPr>
            <w:rFonts w:ascii="Arial" w:cs="Arial" w:eastAsia="Arial" w:hAnsi="Arial"/>
            <w:sz w:val="18"/>
            <w:szCs w:val="18"/>
            <w:u w:val="single" w:color="auto"/>
            <w:color w:val="0000FF"/>
          </w:rPr>
          <w:t>K filed on November 12, 2021 (Commission File No. 1-02691)).</w:t>
        </w:r>
      </w:hyperlink>
    </w:p>
    <w:p>
      <w:pPr>
        <w:spacing w:after="0" w:line="7" w:lineRule="exact"/>
        <w:rPr>
          <w:rFonts w:ascii="Arial" w:cs="Arial" w:eastAsia="Arial" w:hAnsi="Arial"/>
          <w:sz w:val="18"/>
          <w:szCs w:val="18"/>
          <w:u w:val="single" w:color="auto"/>
          <w:color w:val="0000FF"/>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4.175</w:t>
      </w:r>
      <w:r>
        <w:rPr>
          <w:sz w:val="20"/>
          <w:szCs w:val="20"/>
          <w:color w:val="auto"/>
        </w:rPr>
        <w:tab/>
      </w:r>
      <w:hyperlink r:id="rId410">
        <w:r>
          <w:rPr>
            <w:rFonts w:ascii="Arial" w:cs="Arial" w:eastAsia="Arial" w:hAnsi="Arial"/>
            <w:sz w:val="18"/>
            <w:szCs w:val="18"/>
            <w:u w:val="single" w:color="auto"/>
            <w:color w:val="0000FF"/>
          </w:rPr>
          <w:t>Revolving Credit Agreement (2019-1B), dated as of August 15, 2019, between Wilmington Trust Company, as Subordination</w:t>
        </w:r>
      </w:hyperlink>
      <w:r>
        <w:rPr>
          <w:rFonts w:ascii="Arial" w:cs="Arial" w:eastAsia="Arial" w:hAnsi="Arial"/>
          <w:sz w:val="18"/>
          <w:szCs w:val="18"/>
          <w:u w:val="single" w:color="auto"/>
          <w:color w:val="0000FF"/>
        </w:rPr>
        <w:t xml:space="preserve"> </w:t>
      </w:r>
      <w:hyperlink r:id="rId410">
        <w:r>
          <w:rPr>
            <w:rFonts w:ascii="Arial" w:cs="Arial" w:eastAsia="Arial" w:hAnsi="Arial"/>
            <w:sz w:val="18"/>
            <w:szCs w:val="18"/>
            <w:u w:val="single" w:color="auto"/>
            <w:color w:val="0000FF"/>
          </w:rPr>
          <w:t>Agent, as agent and trustee for the trustee of the American Airlines Pass Through Trust 2019-1B (Aircraft EETC),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10">
        <w:r>
          <w:rPr>
            <w:rFonts w:ascii="Arial" w:cs="Arial" w:eastAsia="Arial" w:hAnsi="Arial"/>
            <w:sz w:val="18"/>
            <w:szCs w:val="18"/>
            <w:u w:val="single" w:color="auto"/>
            <w:color w:val="0000FF"/>
          </w:rPr>
          <w:t>and National Australia Bank Limited, as Liquidity Provider (incorporated by reference to Exhibit 4.20 to American’s Current Report</w:t>
        </w:r>
      </w:hyperlink>
      <w:r>
        <w:rPr>
          <w:rFonts w:ascii="Arial" w:cs="Arial" w:eastAsia="Arial" w:hAnsi="Arial"/>
          <w:sz w:val="18"/>
          <w:szCs w:val="18"/>
          <w:u w:val="single" w:color="auto"/>
          <w:color w:val="0000FF"/>
        </w:rPr>
        <w:t xml:space="preserve"> </w:t>
      </w:r>
      <w:hyperlink r:id="rId410">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4.176     </w:t>
      </w:r>
      <w:hyperlink r:id="rId411">
        <w:r>
          <w:rPr>
            <w:rFonts w:ascii="Arial" w:cs="Arial" w:eastAsia="Arial" w:hAnsi="Arial"/>
            <w:sz w:val="18"/>
            <w:szCs w:val="18"/>
            <w:u w:val="single" w:color="auto"/>
            <w:color w:val="0000FF"/>
          </w:rPr>
          <w:t>Indenture, dated as of May 20, 2019, by and among American Airlines Group Inc., the Guarantor (as defined therein) and</w:t>
        </w:r>
      </w:hyperlink>
      <w:r>
        <w:rPr>
          <w:rFonts w:ascii="Arial" w:cs="Arial" w:eastAsia="Arial" w:hAnsi="Arial"/>
          <w:sz w:val="18"/>
          <w:szCs w:val="18"/>
          <w:color w:val="auto"/>
        </w:rPr>
        <w:t xml:space="preserve"> </w:t>
      </w:r>
      <w:hyperlink r:id="rId411">
        <w:r>
          <w:rPr>
            <w:rFonts w:ascii="Arial" w:cs="Arial" w:eastAsia="Arial" w:hAnsi="Arial"/>
            <w:sz w:val="18"/>
            <w:szCs w:val="18"/>
            <w:u w:val="single" w:color="auto"/>
            <w:color w:val="0000FF"/>
          </w:rPr>
          <w:t>Wilmington Trust, National Association, as trustee (incorporated by reference to Exhibit 4.1 to AAG’s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1">
        <w:r>
          <w:rPr>
            <w:rFonts w:ascii="Arial" w:cs="Arial" w:eastAsia="Arial" w:hAnsi="Arial"/>
            <w:sz w:val="18"/>
            <w:szCs w:val="18"/>
            <w:u w:val="single" w:color="auto"/>
            <w:color w:val="0000FF"/>
          </w:rPr>
          <w:t>filed on May 21, 2019 (Commission File No. 1-8400)).</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4.177</w:t>
      </w:r>
      <w:r>
        <w:rPr>
          <w:sz w:val="20"/>
          <w:szCs w:val="20"/>
          <w:color w:val="auto"/>
        </w:rPr>
        <w:tab/>
      </w:r>
      <w:hyperlink r:id="rId411">
        <w:r>
          <w:rPr>
            <w:rFonts w:ascii="Arial" w:cs="Arial" w:eastAsia="Arial" w:hAnsi="Arial"/>
            <w:sz w:val="18"/>
            <w:szCs w:val="18"/>
            <w:u w:val="single" w:color="auto"/>
            <w:color w:val="0000FF"/>
          </w:rPr>
          <w:t>Form of 5.000% Senior Notes due 2022 (incorporated by reference to Exhibit A to Exhibit 4.1 to AAG’s Current Report on Form</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1">
        <w:r>
          <w:rPr>
            <w:rFonts w:ascii="Arial" w:cs="Arial" w:eastAsia="Arial" w:hAnsi="Arial"/>
            <w:sz w:val="18"/>
            <w:szCs w:val="18"/>
            <w:u w:val="single" w:color="auto"/>
            <w:color w:val="0000FF"/>
          </w:rPr>
          <w:t>8-K filed on May 21, 2019 (Commission File No. 1-8400)).</w:t>
        </w:r>
      </w:hyperlink>
    </w:p>
    <w:p>
      <w:pPr>
        <w:spacing w:after="0" w:line="18"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4.178     </w:t>
      </w:r>
      <w:hyperlink r:id="rId412">
        <w:r>
          <w:rPr>
            <w:rFonts w:ascii="Arial" w:cs="Arial" w:eastAsia="Arial" w:hAnsi="Arial"/>
            <w:sz w:val="18"/>
            <w:szCs w:val="18"/>
            <w:u w:val="single" w:color="auto"/>
            <w:color w:val="0000FF"/>
          </w:rPr>
          <w:t>Indenture, dated as of February 25, 2020, by and among American Airlines Group Inc., the Guarantor (as defined therein) and</w:t>
        </w:r>
      </w:hyperlink>
      <w:r>
        <w:rPr>
          <w:rFonts w:ascii="Arial" w:cs="Arial" w:eastAsia="Arial" w:hAnsi="Arial"/>
          <w:sz w:val="18"/>
          <w:szCs w:val="18"/>
          <w:color w:val="auto"/>
        </w:rPr>
        <w:t xml:space="preserve"> </w:t>
      </w:r>
      <w:hyperlink r:id="rId412">
        <w:r>
          <w:rPr>
            <w:rFonts w:ascii="Arial" w:cs="Arial" w:eastAsia="Arial" w:hAnsi="Arial"/>
            <w:sz w:val="18"/>
            <w:szCs w:val="18"/>
            <w:u w:val="single" w:color="auto"/>
            <w:color w:val="0000FF"/>
          </w:rPr>
          <w:t>Wilmington Trust, National Association, as trustee (incorporated by reference to Exhibit 4.1 to AAG's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2">
        <w:r>
          <w:rPr>
            <w:rFonts w:ascii="Arial" w:cs="Arial" w:eastAsia="Arial" w:hAnsi="Arial"/>
            <w:sz w:val="18"/>
            <w:szCs w:val="18"/>
            <w:u w:val="single" w:color="auto"/>
            <w:color w:val="0000FF"/>
          </w:rPr>
          <w:t>filed on February 26, 2020 (Commission File No. 1-8400)).</w:t>
        </w:r>
      </w:hyperlink>
    </w:p>
    <w:p>
      <w:pPr>
        <w:spacing w:after="0" w:line="14" w:lineRule="exact"/>
        <w:rPr>
          <w:sz w:val="20"/>
          <w:szCs w:val="20"/>
          <w:color w:val="auto"/>
        </w:rPr>
      </w:pPr>
    </w:p>
    <w:p>
      <w:pPr>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4.179</w:t>
      </w:r>
      <w:r>
        <w:rPr>
          <w:sz w:val="20"/>
          <w:szCs w:val="20"/>
          <w:color w:val="auto"/>
        </w:rPr>
        <w:tab/>
      </w:r>
      <w:hyperlink r:id="rId412">
        <w:r>
          <w:rPr>
            <w:rFonts w:ascii="Arial" w:cs="Arial" w:eastAsia="Arial" w:hAnsi="Arial"/>
            <w:sz w:val="18"/>
            <w:szCs w:val="18"/>
            <w:u w:val="single" w:color="auto"/>
            <w:color w:val="0000FF"/>
          </w:rPr>
          <w:t>Form of 3.75% Senior Notes due 2025 (incorporated by reference to Exhibit A to Exhibit 4.1 to AAG's Current Report on Form 8-</w:t>
        </w:r>
      </w:hyperlink>
      <w:hyperlink r:id="rId412">
        <w:r>
          <w:rPr>
            <w:rFonts w:ascii="Arial" w:cs="Arial" w:eastAsia="Arial" w:hAnsi="Arial"/>
            <w:sz w:val="18"/>
            <w:szCs w:val="18"/>
            <w:u w:val="single" w:color="auto"/>
            <w:color w:val="0000FF"/>
          </w:rPr>
          <w:t>K filed on February 26, 2020 (Commission File No. 1-8400)).</w:t>
        </w:r>
      </w:hyperlink>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line="21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4.180</w:t>
      </w:r>
      <w:r>
        <w:rPr>
          <w:sz w:val="20"/>
          <w:szCs w:val="20"/>
          <w:color w:val="auto"/>
        </w:rPr>
        <w:tab/>
      </w:r>
      <w:hyperlink r:id="rId414">
        <w:r>
          <w:rPr>
            <w:rFonts w:ascii="Arial" w:cs="Arial" w:eastAsia="Arial" w:hAnsi="Arial"/>
            <w:sz w:val="18"/>
            <w:szCs w:val="18"/>
            <w:u w:val="single" w:color="auto"/>
            <w:color w:val="0000FF"/>
          </w:rPr>
          <w:t>Indenture, dated as of June 25, 2020, by and between American Airlines Group Inc. and Wilmington Trust, National Association,</w:t>
        </w:r>
      </w:hyperlink>
      <w:r>
        <w:rPr>
          <w:rFonts w:ascii="Arial" w:cs="Arial" w:eastAsia="Arial" w:hAnsi="Arial"/>
          <w:sz w:val="18"/>
          <w:szCs w:val="18"/>
          <w:u w:val="single" w:color="auto"/>
          <w:color w:val="0000FF"/>
        </w:rPr>
        <w:t xml:space="preserve"> </w:t>
      </w:r>
      <w:hyperlink r:id="rId414">
        <w:r>
          <w:rPr>
            <w:rFonts w:ascii="Arial" w:cs="Arial" w:eastAsia="Arial" w:hAnsi="Arial"/>
            <w:sz w:val="18"/>
            <w:szCs w:val="18"/>
            <w:u w:val="single" w:color="auto"/>
            <w:color w:val="0000FF"/>
          </w:rPr>
          <w:t>as trustee (incorporated by reference to Exhibit 4.1 to AAG’s Current Report on Form 8-K filed on June 25, 2020 (Commission</w:t>
        </w:r>
      </w:hyperlink>
    </w:p>
    <w:p>
      <w:pPr>
        <w:spacing w:after="0" w:line="2" w:lineRule="exact"/>
        <w:rPr>
          <w:sz w:val="20"/>
          <w:szCs w:val="20"/>
          <w:color w:val="auto"/>
        </w:rPr>
      </w:pPr>
    </w:p>
    <w:p>
      <w:pPr>
        <w:ind w:left="920"/>
        <w:spacing w:after="0"/>
        <w:rPr>
          <w:rFonts w:ascii="Arial" w:cs="Arial" w:eastAsia="Arial" w:hAnsi="Arial"/>
          <w:sz w:val="18"/>
          <w:szCs w:val="18"/>
          <w:u w:val="single" w:color="auto"/>
          <w:color w:val="0000FF"/>
        </w:rPr>
      </w:pPr>
      <w:hyperlink r:id="rId414">
        <w:r>
          <w:rPr>
            <w:rFonts w:ascii="Arial" w:cs="Arial" w:eastAsia="Arial" w:hAnsi="Arial"/>
            <w:sz w:val="18"/>
            <w:szCs w:val="18"/>
            <w:u w:val="single" w:color="auto"/>
            <w:color w:val="0000FF"/>
          </w:rPr>
          <w:t>File No. 1-8400)).</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4.181</w:t>
      </w:r>
      <w:r>
        <w:rPr>
          <w:sz w:val="20"/>
          <w:szCs w:val="20"/>
          <w:color w:val="auto"/>
        </w:rPr>
        <w:tab/>
      </w:r>
      <w:hyperlink r:id="rId415">
        <w:r>
          <w:rPr>
            <w:rFonts w:ascii="Arial" w:cs="Arial" w:eastAsia="Arial" w:hAnsi="Arial"/>
            <w:sz w:val="18"/>
            <w:szCs w:val="18"/>
            <w:u w:val="single" w:color="auto"/>
            <w:color w:val="0000FF"/>
          </w:rPr>
          <w:t>First Supplemental Indenture, dated as of June 25, 2020, by and among American Airlines Group Inc., American Airlines, Inc.</w:t>
        </w:r>
      </w:hyperlink>
      <w:r>
        <w:rPr>
          <w:rFonts w:ascii="Arial" w:cs="Arial" w:eastAsia="Arial" w:hAnsi="Arial"/>
          <w:sz w:val="18"/>
          <w:szCs w:val="18"/>
          <w:u w:val="single" w:color="auto"/>
          <w:color w:val="0000FF"/>
        </w:rPr>
        <w:t xml:space="preserve"> </w:t>
      </w:r>
      <w:hyperlink r:id="rId415">
        <w:r>
          <w:rPr>
            <w:rFonts w:ascii="Arial" w:cs="Arial" w:eastAsia="Arial" w:hAnsi="Arial"/>
            <w:sz w:val="18"/>
            <w:szCs w:val="18"/>
            <w:u w:val="single" w:color="auto"/>
            <w:color w:val="0000FF"/>
          </w:rPr>
          <w:t>and Wilmington Trust, National Association, as trustee (incorporated by reference to Exhibit 4.2 to AAG’s Current Report on Form</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5">
        <w:r>
          <w:rPr>
            <w:rFonts w:ascii="Arial" w:cs="Arial" w:eastAsia="Arial" w:hAnsi="Arial"/>
            <w:sz w:val="18"/>
            <w:szCs w:val="18"/>
            <w:u w:val="single" w:color="auto"/>
            <w:color w:val="0000FF"/>
          </w:rPr>
          <w:t>8-K filed on June 25, 2020 (Commission File No. 1-8400)).</w:t>
        </w:r>
      </w:hyperlink>
    </w:p>
    <w:p>
      <w:pPr>
        <w:spacing w:after="0" w:line="14" w:lineRule="exact"/>
        <w:rPr>
          <w:sz w:val="20"/>
          <w:szCs w:val="20"/>
          <w:color w:val="auto"/>
        </w:rPr>
      </w:pPr>
    </w:p>
    <w:p>
      <w:pPr>
        <w:jc w:val="both"/>
        <w:ind w:left="920" w:right="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4.182</w:t>
      </w:r>
      <w:r>
        <w:rPr>
          <w:sz w:val="20"/>
          <w:szCs w:val="20"/>
          <w:color w:val="auto"/>
        </w:rPr>
        <w:tab/>
      </w:r>
      <w:hyperlink r:id="rId415">
        <w:r>
          <w:rPr>
            <w:rFonts w:ascii="Arial" w:cs="Arial" w:eastAsia="Arial" w:hAnsi="Arial"/>
            <w:sz w:val="18"/>
            <w:szCs w:val="18"/>
            <w:u w:val="single" w:color="auto"/>
            <w:color w:val="0000FF"/>
          </w:rPr>
          <w:t>Form of 6.50% Convertible Senior Notes due 2025 (incorporated by reference to Exhibit A to Exhibit 4.2 to AAG’s Current Report</w:t>
        </w:r>
      </w:hyperlink>
      <w:r>
        <w:rPr>
          <w:rFonts w:ascii="Arial" w:cs="Arial" w:eastAsia="Arial" w:hAnsi="Arial"/>
          <w:sz w:val="18"/>
          <w:szCs w:val="18"/>
          <w:u w:val="single" w:color="auto"/>
          <w:color w:val="0000FF"/>
        </w:rPr>
        <w:t xml:space="preserve"> </w:t>
      </w:r>
      <w:hyperlink r:id="rId415">
        <w:r>
          <w:rPr>
            <w:rFonts w:ascii="Arial" w:cs="Arial" w:eastAsia="Arial" w:hAnsi="Arial"/>
            <w:sz w:val="18"/>
            <w:szCs w:val="18"/>
            <w:u w:val="single" w:color="auto"/>
            <w:color w:val="0000FF"/>
          </w:rPr>
          <w:t>on Form 8-K filed on June 25, 2020 (Commission File No. 1-8400)).</w:t>
        </w:r>
      </w:hyperlink>
    </w:p>
    <w:p>
      <w:pPr>
        <w:spacing w:after="0" w:line="6" w:lineRule="exact"/>
        <w:rPr>
          <w:sz w:val="20"/>
          <w:szCs w:val="20"/>
          <w:color w:val="auto"/>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4.183</w:t>
      </w:r>
      <w:r>
        <w:rPr>
          <w:sz w:val="20"/>
          <w:szCs w:val="20"/>
          <w:color w:val="auto"/>
        </w:rPr>
        <w:tab/>
      </w:r>
      <w:hyperlink r:id="rId416">
        <w:r>
          <w:rPr>
            <w:rFonts w:ascii="Arial" w:cs="Arial" w:eastAsia="Arial" w:hAnsi="Arial"/>
            <w:sz w:val="18"/>
            <w:szCs w:val="18"/>
            <w:u w:val="single" w:color="auto"/>
            <w:color w:val="0000FF"/>
          </w:rPr>
          <w:t>Indenture, dated as of June 30, 2020, by and among American Airlines, Inc., American Airlines Group, Inc. and Wilmington Trust,</w:t>
        </w:r>
      </w:hyperlink>
      <w:r>
        <w:rPr>
          <w:rFonts w:ascii="Arial" w:cs="Arial" w:eastAsia="Arial" w:hAnsi="Arial"/>
          <w:sz w:val="18"/>
          <w:szCs w:val="18"/>
          <w:u w:val="single" w:color="auto"/>
          <w:color w:val="0000FF"/>
        </w:rPr>
        <w:t xml:space="preserve"> </w:t>
      </w:r>
      <w:hyperlink r:id="rId416">
        <w:r>
          <w:rPr>
            <w:rFonts w:ascii="Arial" w:cs="Arial" w:eastAsia="Arial" w:hAnsi="Arial"/>
            <w:sz w:val="18"/>
            <w:szCs w:val="18"/>
            <w:u w:val="single" w:color="auto"/>
            <w:color w:val="0000FF"/>
          </w:rPr>
          <w:t>National Association, as trustee (incorporated by reference to Exhibit 4.1 to AAG’s Current Report on Form 8-K filed on July 2,</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6">
        <w:r>
          <w:rPr>
            <w:rFonts w:ascii="Arial" w:cs="Arial" w:eastAsia="Arial" w:hAnsi="Arial"/>
            <w:sz w:val="18"/>
            <w:szCs w:val="18"/>
            <w:u w:val="single" w:color="auto"/>
            <w:color w:val="0000FF"/>
          </w:rPr>
          <w:t>2020 (Commission File No. 1-8400)).</w:t>
        </w:r>
      </w:hyperlink>
    </w:p>
    <w:p>
      <w:pPr>
        <w:spacing w:after="0" w:line="14" w:lineRule="exact"/>
        <w:rPr>
          <w:sz w:val="20"/>
          <w:szCs w:val="20"/>
          <w:color w:val="auto"/>
        </w:rPr>
      </w:pPr>
    </w:p>
    <w:p>
      <w:pPr>
        <w:jc w:val="both"/>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4.184</w:t>
      </w:r>
      <w:r>
        <w:rPr>
          <w:sz w:val="20"/>
          <w:szCs w:val="20"/>
          <w:color w:val="auto"/>
        </w:rPr>
        <w:tab/>
      </w:r>
      <w:hyperlink r:id="rId416">
        <w:r>
          <w:rPr>
            <w:rFonts w:ascii="Arial" w:cs="Arial" w:eastAsia="Arial" w:hAnsi="Arial"/>
            <w:sz w:val="18"/>
            <w:szCs w:val="18"/>
            <w:u w:val="single" w:color="auto"/>
            <w:color w:val="0000FF"/>
          </w:rPr>
          <w:t>Form of 11.75% Senior Notes due 2025 (incorporated by reference to Exhibit A to Exhibit 4.1 to AAG’s Current Report on Form 8-</w:t>
        </w:r>
      </w:hyperlink>
      <w:hyperlink r:id="rId416">
        <w:r>
          <w:rPr>
            <w:rFonts w:ascii="Arial" w:cs="Arial" w:eastAsia="Arial" w:hAnsi="Arial"/>
            <w:sz w:val="18"/>
            <w:szCs w:val="18"/>
            <w:u w:val="single" w:color="auto"/>
            <w:color w:val="0000FF"/>
          </w:rPr>
          <w:t>K filed on July 2, 2020 (Commission File Number 1-8400)).</w:t>
        </w:r>
      </w:hyperlink>
    </w:p>
    <w:p>
      <w:pPr>
        <w:spacing w:after="0" w:line="6" w:lineRule="exact"/>
        <w:rPr>
          <w:sz w:val="20"/>
          <w:szCs w:val="20"/>
          <w:color w:val="auto"/>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4.185</w:t>
      </w:r>
      <w:r>
        <w:rPr>
          <w:sz w:val="20"/>
          <w:szCs w:val="20"/>
          <w:color w:val="auto"/>
        </w:rPr>
        <w:tab/>
      </w:r>
      <w:hyperlink r:id="rId417">
        <w:r>
          <w:rPr>
            <w:rFonts w:ascii="Arial" w:cs="Arial" w:eastAsia="Arial" w:hAnsi="Arial"/>
            <w:sz w:val="18"/>
            <w:szCs w:val="18"/>
            <w:u w:val="single" w:color="auto"/>
            <w:color w:val="0000FF"/>
          </w:rPr>
          <w:t>Indenture (IP Notes), dated as of September 25, 2020, by and among American Airlines, Inc., American Airlines Group Inc. and</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Wilmington Trust, National Association, as trustee and as collateral trustee (incorporated by reference to Exhibit 4.1 to AAG’s</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17">
        <w:r>
          <w:rPr>
            <w:rFonts w:ascii="Arial" w:cs="Arial" w:eastAsia="Arial" w:hAnsi="Arial"/>
            <w:sz w:val="18"/>
            <w:szCs w:val="18"/>
            <w:u w:val="single" w:color="auto"/>
            <w:color w:val="0000FF"/>
          </w:rPr>
          <w:t>Quarterly Report on Form 10-Q for the quarter ended September 30,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4.186</w:t>
      </w:r>
      <w:r>
        <w:rPr>
          <w:sz w:val="20"/>
          <w:szCs w:val="20"/>
          <w:color w:val="auto"/>
        </w:rPr>
        <w:tab/>
      </w:r>
      <w:hyperlink r:id="rId417">
        <w:r>
          <w:rPr>
            <w:rFonts w:ascii="Arial" w:cs="Arial" w:eastAsia="Arial" w:hAnsi="Arial"/>
            <w:sz w:val="18"/>
            <w:szCs w:val="18"/>
            <w:u w:val="single" w:color="auto"/>
            <w:color w:val="0000FF"/>
          </w:rPr>
          <w:t>Form of 10.75%/12.00% PIK Senior Secured IP Notes due 2026 (incorporated by reference to Exhibit A to Exhibit 4.1 to AAG’s</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Quarterly Report on Form 10-Q for the quarter ended September 30, 2020 (Commission File No. 1-8400)).</w:t>
        </w:r>
      </w:hyperlink>
    </w:p>
    <w:p>
      <w:pPr>
        <w:spacing w:after="0" w:line="6" w:lineRule="exact"/>
        <w:rPr>
          <w:sz w:val="20"/>
          <w:szCs w:val="20"/>
          <w:color w:val="auto"/>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4.187</w:t>
      </w:r>
      <w:r>
        <w:rPr>
          <w:sz w:val="20"/>
          <w:szCs w:val="20"/>
          <w:color w:val="auto"/>
        </w:rPr>
        <w:tab/>
      </w:r>
      <w:hyperlink r:id="rId418">
        <w:r>
          <w:rPr>
            <w:rFonts w:ascii="Arial" w:cs="Arial" w:eastAsia="Arial" w:hAnsi="Arial"/>
            <w:sz w:val="18"/>
            <w:szCs w:val="18"/>
            <w:u w:val="single" w:color="auto"/>
            <w:color w:val="0000FF"/>
          </w:rPr>
          <w:t>Indenture (LGA/DCA Notes), dated as of September 25, 2020, by and among American Airlines, Inc., American Airlines Group</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Inc. and Wilmington Trust, National Association, as trustee and as collateral trustee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18">
        <w:r>
          <w:rPr>
            <w:rFonts w:ascii="Arial" w:cs="Arial" w:eastAsia="Arial" w:hAnsi="Arial"/>
            <w:sz w:val="18"/>
            <w:szCs w:val="18"/>
            <w:u w:val="single" w:color="auto"/>
            <w:color w:val="0000FF"/>
          </w:rPr>
          <w:t>AAG’s Quarterly Report on Form 10-Q for the quarter ended September 30,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4.188</w:t>
      </w:r>
      <w:r>
        <w:rPr>
          <w:sz w:val="20"/>
          <w:szCs w:val="20"/>
          <w:color w:val="auto"/>
        </w:rPr>
        <w:tab/>
      </w:r>
      <w:hyperlink r:id="rId418">
        <w:r>
          <w:rPr>
            <w:rFonts w:ascii="Arial" w:cs="Arial" w:eastAsia="Arial" w:hAnsi="Arial"/>
            <w:sz w:val="18"/>
            <w:szCs w:val="18"/>
            <w:u w:val="single" w:color="auto"/>
            <w:color w:val="0000FF"/>
          </w:rPr>
          <w:t>Form of 10.75%/12.00% PIK Senior Secured Notes due 2026 (incorporated by reference to Exhibit A to Exhibit 4.3 to AAG’s</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Quarterly Report on Form 10-Q for the quarter ended September 30, 2020 (Commission File No. 1-8400)).</w:t>
        </w:r>
      </w:hyperlink>
    </w:p>
    <w:p>
      <w:pPr>
        <w:spacing w:after="0" w:line="6" w:lineRule="exact"/>
        <w:rPr>
          <w:sz w:val="20"/>
          <w:szCs w:val="20"/>
          <w:color w:val="auto"/>
        </w:rPr>
      </w:pPr>
    </w:p>
    <w:p>
      <w:pPr>
        <w:jc w:val="both"/>
        <w:ind w:left="920" w:hanging="890"/>
        <w:spacing w:after="0" w:line="234"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4.189</w:t>
      </w:r>
      <w:r>
        <w:rPr>
          <w:sz w:val="20"/>
          <w:szCs w:val="20"/>
          <w:color w:val="auto"/>
        </w:rPr>
        <w:tab/>
      </w:r>
      <w:hyperlink r:id="rId419">
        <w:r>
          <w:rPr>
            <w:rFonts w:ascii="Arial" w:cs="Arial" w:eastAsia="Arial" w:hAnsi="Arial"/>
            <w:sz w:val="17"/>
            <w:szCs w:val="17"/>
            <w:u w:val="single" w:color="auto"/>
            <w:color w:val="0000FF"/>
          </w:rPr>
          <w:t>Warrant Agreement, dated as of April 20, 2020, between American Airlines Group, Inc. and the United States Department of the</w:t>
        </w:r>
      </w:hyperlink>
      <w:r>
        <w:rPr>
          <w:rFonts w:ascii="Arial" w:cs="Arial" w:eastAsia="Arial" w:hAnsi="Arial"/>
          <w:sz w:val="17"/>
          <w:szCs w:val="17"/>
          <w:u w:val="single" w:color="auto"/>
          <w:color w:val="0000FF"/>
        </w:rPr>
        <w:t xml:space="preserve"> </w:t>
      </w:r>
      <w:hyperlink r:id="rId419">
        <w:r>
          <w:rPr>
            <w:rFonts w:ascii="Arial" w:cs="Arial" w:eastAsia="Arial" w:hAnsi="Arial"/>
            <w:sz w:val="17"/>
            <w:szCs w:val="17"/>
            <w:u w:val="single" w:color="auto"/>
            <w:color w:val="0000FF"/>
          </w:rPr>
          <w:t>Treasury (incorporated by reference to Exhibit 4.3 to AAG’s Quarterly Report on Form 10-Q for the quarter ended March 31, 2020</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9">
        <w:r>
          <w:rPr>
            <w:rFonts w:ascii="Arial" w:cs="Arial" w:eastAsia="Arial" w:hAnsi="Arial"/>
            <w:sz w:val="18"/>
            <w:szCs w:val="18"/>
            <w:u w:val="single" w:color="auto"/>
            <w:color w:val="0000FF"/>
          </w:rPr>
          <w:t>(Commission File No. 1-8400)).</w:t>
        </w:r>
      </w:hyperlink>
    </w:p>
    <w:p>
      <w:pPr>
        <w:spacing w:after="0" w:line="14" w:lineRule="exact"/>
        <w:rPr>
          <w:sz w:val="20"/>
          <w:szCs w:val="20"/>
          <w:color w:val="auto"/>
        </w:rPr>
      </w:pPr>
    </w:p>
    <w:p>
      <w:pPr>
        <w:jc w:val="both"/>
        <w:ind w:left="920" w:right="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4.190</w:t>
      </w:r>
      <w:r>
        <w:rPr>
          <w:sz w:val="20"/>
          <w:szCs w:val="20"/>
          <w:color w:val="auto"/>
        </w:rPr>
        <w:tab/>
      </w:r>
      <w:hyperlink r:id="rId419">
        <w:r>
          <w:rPr>
            <w:rFonts w:ascii="Arial" w:cs="Arial" w:eastAsia="Arial" w:hAnsi="Arial"/>
            <w:sz w:val="18"/>
            <w:szCs w:val="18"/>
            <w:u w:val="single" w:color="auto"/>
            <w:color w:val="0000FF"/>
          </w:rPr>
          <w:t>Form of PSP1 Warrant (incorporated by reference to Annex B to Exhibit 4.3 to AAG’s Quarterly Report on Form 10-Q for the</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quarter ended March 31, 2020 (Commission File No. 1-8400)).</w:t>
        </w:r>
      </w:hyperlink>
    </w:p>
    <w:p>
      <w:pPr>
        <w:spacing w:after="0" w:line="6" w:lineRule="exact"/>
        <w:rPr>
          <w:sz w:val="20"/>
          <w:szCs w:val="20"/>
          <w:color w:val="auto"/>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4.191</w:t>
      </w:r>
      <w:r>
        <w:rPr>
          <w:sz w:val="20"/>
          <w:szCs w:val="20"/>
          <w:color w:val="auto"/>
        </w:rPr>
        <w:tab/>
      </w:r>
      <w:hyperlink r:id="rId420">
        <w:r>
          <w:rPr>
            <w:rFonts w:ascii="Arial" w:cs="Arial" w:eastAsia="Arial" w:hAnsi="Arial"/>
            <w:sz w:val="18"/>
            <w:szCs w:val="18"/>
            <w:u w:val="single" w:color="auto"/>
            <w:color w:val="0000FF"/>
          </w:rPr>
          <w:t>Warrant Agreement, dated as of September 25, 2020, between American Airlines Group, Inc. and the United States Department</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of the Treasury (incorporated by reference to Exhibit 4.5 to AAG’s Quarterly Report on Form 10-Q for the quarter ended</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20">
        <w:r>
          <w:rPr>
            <w:rFonts w:ascii="Arial" w:cs="Arial" w:eastAsia="Arial" w:hAnsi="Arial"/>
            <w:sz w:val="18"/>
            <w:szCs w:val="18"/>
            <w:u w:val="single" w:color="auto"/>
            <w:color w:val="0000FF"/>
          </w:rPr>
          <w:t>September 30, 2020 (Commission File No. 1-8400)).</w:t>
        </w:r>
      </w:hyperlink>
    </w:p>
    <w:p>
      <w:pPr>
        <w:spacing w:after="0" w:line="14" w:lineRule="exact"/>
        <w:rPr>
          <w:sz w:val="20"/>
          <w:szCs w:val="20"/>
          <w:color w:val="auto"/>
        </w:rPr>
      </w:pPr>
    </w:p>
    <w:p>
      <w:pPr>
        <w:jc w:val="both"/>
        <w:ind w:left="920" w:hanging="890"/>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4.192</w:t>
      </w:r>
      <w:r>
        <w:rPr>
          <w:sz w:val="20"/>
          <w:szCs w:val="20"/>
          <w:color w:val="auto"/>
        </w:rPr>
        <w:tab/>
      </w:r>
      <w:hyperlink r:id="rId420">
        <w:r>
          <w:rPr>
            <w:rFonts w:ascii="Arial" w:cs="Arial" w:eastAsia="Arial" w:hAnsi="Arial"/>
            <w:sz w:val="18"/>
            <w:szCs w:val="18"/>
            <w:u w:val="single" w:color="auto"/>
            <w:color w:val="0000FF"/>
          </w:rPr>
          <w:t>Form of Treasury Loan Warrant (incorporated by reference to Annex B to Exhibit 4.5 to AAG’s Quarterly Report on Form 10-Q for</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the quarter ended September 30, 2020 (Commission File No. 1-8400)).</w:t>
        </w:r>
      </w:hyperlink>
    </w:p>
    <w:p>
      <w:pPr>
        <w:spacing w:after="0" w:line="6" w:lineRule="exact"/>
        <w:rPr>
          <w:sz w:val="20"/>
          <w:szCs w:val="20"/>
          <w:color w:val="auto"/>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4.193</w:t>
      </w:r>
      <w:r>
        <w:rPr>
          <w:sz w:val="20"/>
          <w:szCs w:val="20"/>
          <w:color w:val="auto"/>
        </w:rPr>
        <w:tab/>
      </w:r>
      <w:hyperlink r:id="rId421">
        <w:r>
          <w:rPr>
            <w:rFonts w:ascii="Arial" w:cs="Arial" w:eastAsia="Arial" w:hAnsi="Arial"/>
            <w:sz w:val="18"/>
            <w:szCs w:val="18"/>
            <w:u w:val="single" w:color="auto"/>
            <w:color w:val="0000FF"/>
          </w:rPr>
          <w:t>Warrant Agreement, dated as of January 15, 2021, between American Airlines Group, Inc. and the United States Department of</w:t>
        </w:r>
      </w:hyperlink>
      <w:r>
        <w:rPr>
          <w:rFonts w:ascii="Arial" w:cs="Arial" w:eastAsia="Arial" w:hAnsi="Arial"/>
          <w:sz w:val="18"/>
          <w:szCs w:val="18"/>
          <w:u w:val="single" w:color="auto"/>
          <w:color w:val="0000FF"/>
        </w:rPr>
        <w:t xml:space="preserve"> </w:t>
      </w:r>
      <w:hyperlink r:id="rId421">
        <w:r>
          <w:rPr>
            <w:rFonts w:ascii="Arial" w:cs="Arial" w:eastAsia="Arial" w:hAnsi="Arial"/>
            <w:sz w:val="18"/>
            <w:szCs w:val="18"/>
            <w:u w:val="single" w:color="auto"/>
            <w:color w:val="0000FF"/>
          </w:rPr>
          <w:t>the Treasury (incorporated by reference to Exhibit 4.182 to AAG’s Annual Report on Form 10-K for the year ended December 31,</w:t>
        </w:r>
      </w:hyperlink>
      <w:r>
        <w:rPr>
          <w:rFonts w:ascii="Arial" w:cs="Arial" w:eastAsia="Arial" w:hAnsi="Arial"/>
          <w:sz w:val="18"/>
          <w:szCs w:val="18"/>
          <w:u w:val="single" w:color="auto"/>
          <w:color w:val="0000FF"/>
        </w:rPr>
        <w:t xml:space="preserve"> </w:t>
      </w:r>
      <w:hyperlink r:id="rId421">
        <w:r>
          <w:rPr>
            <w:rFonts w:ascii="Arial" w:cs="Arial" w:eastAsia="Arial" w:hAnsi="Arial"/>
            <w:sz w:val="18"/>
            <w:szCs w:val="18"/>
            <w:u w:val="single" w:color="auto"/>
            <w:color w:val="0000FF"/>
          </w:rPr>
          <w:t>2020 (Commission File No. 1-8400)).</w:t>
        </w:r>
      </w:hyperlink>
    </w:p>
    <w:p>
      <w:pPr>
        <w:spacing w:after="0" w:line="7" w:lineRule="exact"/>
        <w:rPr>
          <w:rFonts w:ascii="Arial" w:cs="Arial" w:eastAsia="Arial" w:hAnsi="Arial"/>
          <w:sz w:val="18"/>
          <w:szCs w:val="18"/>
          <w:u w:val="single" w:color="auto"/>
          <w:color w:val="0000FF"/>
        </w:rPr>
      </w:pPr>
    </w:p>
    <w:p>
      <w:pPr>
        <w:ind w:left="20"/>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4.194</w:t>
      </w:r>
      <w:r>
        <w:rPr>
          <w:sz w:val="20"/>
          <w:szCs w:val="20"/>
          <w:color w:val="auto"/>
        </w:rPr>
        <w:tab/>
      </w:r>
      <w:hyperlink r:id="rId421">
        <w:r>
          <w:rPr>
            <w:rFonts w:ascii="Arial" w:cs="Arial" w:eastAsia="Arial" w:hAnsi="Arial"/>
            <w:sz w:val="17"/>
            <w:szCs w:val="17"/>
            <w:u w:val="single" w:color="auto"/>
            <w:color w:val="0000FF"/>
          </w:rPr>
          <w:t>Form of PSP2 Warrant (incorporated by reference to Annex B to Exhibit 4.182).</w:t>
        </w:r>
      </w:hyperlink>
    </w:p>
    <w:p>
      <w:pPr>
        <w:spacing w:after="0" w:line="3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4.195</w:t>
      </w:r>
      <w:r>
        <w:rPr>
          <w:sz w:val="20"/>
          <w:szCs w:val="20"/>
          <w:color w:val="auto"/>
        </w:rPr>
        <w:tab/>
      </w:r>
      <w:hyperlink r:id="rId422">
        <w:r>
          <w:rPr>
            <w:rFonts w:ascii="Arial" w:cs="Arial" w:eastAsia="Arial" w:hAnsi="Arial"/>
            <w:sz w:val="18"/>
            <w:szCs w:val="18"/>
            <w:u w:val="single" w:color="auto"/>
            <w:color w:val="0000FF"/>
          </w:rPr>
          <w:t>Warrant Agreement, dated as of April 23, 2021, between American Airlines Group Inc. and the United States Department of the</w:t>
        </w:r>
      </w:hyperlink>
      <w:r>
        <w:rPr>
          <w:rFonts w:ascii="Arial" w:cs="Arial" w:eastAsia="Arial" w:hAnsi="Arial"/>
          <w:sz w:val="18"/>
          <w:szCs w:val="18"/>
          <w:u w:val="single" w:color="auto"/>
          <w:color w:val="0000FF"/>
        </w:rPr>
        <w:t xml:space="preserve"> </w:t>
      </w:r>
      <w:hyperlink r:id="rId422">
        <w:r>
          <w:rPr>
            <w:rFonts w:ascii="Arial" w:cs="Arial" w:eastAsia="Arial" w:hAnsi="Arial"/>
            <w:sz w:val="18"/>
            <w:szCs w:val="18"/>
            <w:u w:val="single" w:color="auto"/>
            <w:color w:val="0000FF"/>
          </w:rPr>
          <w:t>Treasury (incorporated by reference to Exhibit 4.1 to AAG’s Quarterly Report on Form 10-Q for the quarter ended June 30, 2021</w:t>
        </w:r>
      </w:hyperlink>
      <w:r>
        <w:rPr>
          <w:rFonts w:ascii="Arial" w:cs="Arial" w:eastAsia="Arial" w:hAnsi="Arial"/>
          <w:sz w:val="18"/>
          <w:szCs w:val="18"/>
          <w:u w:val="single" w:color="auto"/>
          <w:color w:val="0000FF"/>
        </w:rPr>
        <w:t xml:space="preserve"> </w:t>
      </w:r>
      <w:hyperlink r:id="rId422">
        <w:r>
          <w:rPr>
            <w:rFonts w:ascii="Arial" w:cs="Arial" w:eastAsia="Arial" w:hAnsi="Arial"/>
            <w:sz w:val="18"/>
            <w:szCs w:val="18"/>
            <w:u w:val="single" w:color="auto"/>
            <w:color w:val="0000FF"/>
          </w:rPr>
          <w:t>(Commission File No. 1-8400)).</w:t>
        </w:r>
      </w:hyperlink>
    </w:p>
    <w:p>
      <w:pPr>
        <w:spacing w:after="0" w:line="13" w:lineRule="exact"/>
        <w:rPr>
          <w:rFonts w:ascii="Arial" w:cs="Arial" w:eastAsia="Arial" w:hAnsi="Arial"/>
          <w:sz w:val="18"/>
          <w:szCs w:val="18"/>
          <w:u w:val="single" w:color="auto"/>
          <w:color w:val="0000FF"/>
        </w:rPr>
      </w:pPr>
    </w:p>
    <w:p>
      <w:pPr>
        <w:jc w:val="both"/>
        <w:ind w:left="920" w:right="20" w:hanging="890"/>
        <w:spacing w:after="0" w:line="26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4.196</w:t>
      </w:r>
      <w:r>
        <w:rPr>
          <w:sz w:val="20"/>
          <w:szCs w:val="20"/>
          <w:color w:val="auto"/>
        </w:rPr>
        <w:tab/>
      </w:r>
      <w:hyperlink r:id="rId422">
        <w:r>
          <w:rPr>
            <w:rFonts w:ascii="Arial" w:cs="Arial" w:eastAsia="Arial" w:hAnsi="Arial"/>
            <w:sz w:val="18"/>
            <w:szCs w:val="18"/>
            <w:u w:val="single" w:color="auto"/>
            <w:color w:val="0000FF"/>
          </w:rPr>
          <w:t>Form of PSP3 Warrant (incorporated by reference to Annex B to Exhibit 4.1 to AAG’s Quarterly Report on Form 10-Q for the</w:t>
        </w:r>
      </w:hyperlink>
      <w:r>
        <w:rPr>
          <w:rFonts w:ascii="Arial" w:cs="Arial" w:eastAsia="Arial" w:hAnsi="Arial"/>
          <w:sz w:val="18"/>
          <w:szCs w:val="18"/>
          <w:u w:val="single" w:color="auto"/>
          <w:color w:val="0000FF"/>
        </w:rPr>
        <w:t xml:space="preserve"> </w:t>
      </w:r>
      <w:hyperlink r:id="rId422">
        <w:r>
          <w:rPr>
            <w:rFonts w:ascii="Arial" w:cs="Arial" w:eastAsia="Arial" w:hAnsi="Arial"/>
            <w:sz w:val="18"/>
            <w:szCs w:val="18"/>
            <w:u w:val="single" w:color="auto"/>
            <w:color w:val="0000FF"/>
          </w:rPr>
          <w:t>quarter ended June 30, 2021 (Commission File No. 1-8400)).</w:t>
        </w:r>
      </w:hyperlink>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4.197</w:t>
      </w:r>
      <w:r>
        <w:rPr>
          <w:sz w:val="20"/>
          <w:szCs w:val="20"/>
          <w:color w:val="auto"/>
        </w:rPr>
        <w:tab/>
      </w:r>
      <w:hyperlink r:id="rId423">
        <w:r>
          <w:rPr>
            <w:rFonts w:ascii="Arial" w:cs="Arial" w:eastAsia="Arial" w:hAnsi="Arial"/>
            <w:sz w:val="18"/>
            <w:szCs w:val="18"/>
            <w:u w:val="single" w:color="auto"/>
            <w:color w:val="0000FF"/>
          </w:rPr>
          <w:t>Indenture, dated as of March 24, 2021, by and among American Airlines, Inc., AAdvantage Loyalty IP Ltd., American Airlines</w:t>
        </w:r>
      </w:hyperlink>
      <w:r>
        <w:rPr>
          <w:rFonts w:ascii="Arial" w:cs="Arial" w:eastAsia="Arial" w:hAnsi="Arial"/>
          <w:sz w:val="18"/>
          <w:szCs w:val="18"/>
          <w:u w:val="single" w:color="auto"/>
          <w:color w:val="0000FF"/>
        </w:rPr>
        <w:t xml:space="preserve"> </w:t>
      </w:r>
      <w:hyperlink r:id="rId423">
        <w:r>
          <w:rPr>
            <w:rFonts w:ascii="Arial" w:cs="Arial" w:eastAsia="Arial" w:hAnsi="Arial"/>
            <w:sz w:val="18"/>
            <w:szCs w:val="18"/>
            <w:u w:val="single" w:color="auto"/>
            <w:color w:val="0000FF"/>
          </w:rPr>
          <w:t>Group Inc., AAdvantage Holdings 1, Ltd. and AAdvantage Holdings 2, Ltd. and Wilmington Trust, National Association, as trustee</w:t>
        </w:r>
      </w:hyperlink>
      <w:r>
        <w:rPr>
          <w:rFonts w:ascii="Arial" w:cs="Arial" w:eastAsia="Arial" w:hAnsi="Arial"/>
          <w:sz w:val="18"/>
          <w:szCs w:val="18"/>
          <w:u w:val="single" w:color="auto"/>
          <w:color w:val="0000FF"/>
        </w:rPr>
        <w:t xml:space="preserve"> </w:t>
      </w:r>
      <w:hyperlink r:id="rId423">
        <w:r>
          <w:rPr>
            <w:rFonts w:ascii="Arial" w:cs="Arial" w:eastAsia="Arial" w:hAnsi="Arial"/>
            <w:sz w:val="18"/>
            <w:szCs w:val="18"/>
            <w:u w:val="single" w:color="auto"/>
            <w:color w:val="0000FF"/>
          </w:rPr>
          <w:t>(incorporated by reference to Exhibit 4.3 to AAG’s Quarterly Report on Form 10-Q for the quarter ended March 31, 2021</w:t>
        </w:r>
      </w:hyperlink>
      <w:r>
        <w:rPr>
          <w:rFonts w:ascii="Arial" w:cs="Arial" w:eastAsia="Arial" w:hAnsi="Arial"/>
          <w:sz w:val="18"/>
          <w:szCs w:val="18"/>
          <w:u w:val="single" w:color="auto"/>
          <w:color w:val="0000FF"/>
        </w:rPr>
        <w:t xml:space="preserve"> </w:t>
      </w:r>
      <w:hyperlink r:id="rId423">
        <w:r>
          <w:rPr>
            <w:rFonts w:ascii="Arial" w:cs="Arial" w:eastAsia="Arial" w:hAnsi="Arial"/>
            <w:sz w:val="18"/>
            <w:szCs w:val="18"/>
            <w:u w:val="single" w:color="auto"/>
            <w:color w:val="0000FF"/>
          </w:rPr>
          <w:t>(Commission File No. 1-8400)).</w:t>
        </w:r>
      </w:hyperlink>
    </w:p>
    <w:p>
      <w:pPr>
        <w:spacing w:after="0" w:line="12" w:lineRule="exact"/>
        <w:rPr>
          <w:rFonts w:ascii="Arial" w:cs="Arial" w:eastAsia="Arial" w:hAnsi="Arial"/>
          <w:sz w:val="18"/>
          <w:szCs w:val="18"/>
          <w:u w:val="single" w:color="auto"/>
          <w:color w:val="0000FF"/>
        </w:rPr>
      </w:pPr>
    </w:p>
    <w:p>
      <w:pPr>
        <w:jc w:val="both"/>
        <w:ind w:left="920" w:hanging="890"/>
        <w:spacing w:after="0" w:line="26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4.198</w:t>
      </w:r>
      <w:r>
        <w:rPr>
          <w:sz w:val="20"/>
          <w:szCs w:val="20"/>
          <w:color w:val="auto"/>
        </w:rPr>
        <w:tab/>
      </w:r>
      <w:hyperlink r:id="rId423">
        <w:r>
          <w:rPr>
            <w:rFonts w:ascii="Arial" w:cs="Arial" w:eastAsia="Arial" w:hAnsi="Arial"/>
            <w:sz w:val="18"/>
            <w:szCs w:val="18"/>
            <w:u w:val="single" w:color="auto"/>
            <w:color w:val="0000FF"/>
          </w:rPr>
          <w:t>Form of 5.50% Senior Secured Notes due 2026 (incorporated by reference as Exhibit A-1 to Exhibit 4.3 to AAG’s Quarterly</w:t>
        </w:r>
      </w:hyperlink>
      <w:r>
        <w:rPr>
          <w:rFonts w:ascii="Arial" w:cs="Arial" w:eastAsia="Arial" w:hAnsi="Arial"/>
          <w:sz w:val="18"/>
          <w:szCs w:val="18"/>
          <w:u w:val="single" w:color="auto"/>
          <w:color w:val="0000FF"/>
        </w:rPr>
        <w:t xml:space="preserve"> </w:t>
      </w:r>
      <w:hyperlink r:id="rId423">
        <w:r>
          <w:rPr>
            <w:rFonts w:ascii="Arial" w:cs="Arial" w:eastAsia="Arial" w:hAnsi="Arial"/>
            <w:sz w:val="18"/>
            <w:szCs w:val="18"/>
            <w:u w:val="single" w:color="auto"/>
            <w:color w:val="0000FF"/>
          </w:rPr>
          <w:t>Report on Form 10-Q for the quarter ended March 31, 2021 (Commission File No. 1-8400)).</w:t>
        </w:r>
      </w:hyperlink>
    </w:p>
    <w:p>
      <w:pPr>
        <w:jc w:val="both"/>
        <w:ind w:left="920" w:hanging="890"/>
        <w:spacing w:after="0" w:line="26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4.199</w:t>
      </w:r>
      <w:r>
        <w:rPr>
          <w:sz w:val="20"/>
          <w:szCs w:val="20"/>
          <w:color w:val="auto"/>
        </w:rPr>
        <w:tab/>
      </w:r>
      <w:hyperlink r:id="rId423">
        <w:r>
          <w:rPr>
            <w:rFonts w:ascii="Arial" w:cs="Arial" w:eastAsia="Arial" w:hAnsi="Arial"/>
            <w:sz w:val="18"/>
            <w:szCs w:val="18"/>
            <w:u w:val="single" w:color="auto"/>
            <w:color w:val="0000FF"/>
          </w:rPr>
          <w:t>Form of 5.75% Senior Secured Notes due 2029 (incorporated by reference as Exhibit A-2 to Exhibit 4.3 to AAG’s Quarterly</w:t>
        </w:r>
      </w:hyperlink>
      <w:r>
        <w:rPr>
          <w:rFonts w:ascii="Arial" w:cs="Arial" w:eastAsia="Arial" w:hAnsi="Arial"/>
          <w:sz w:val="18"/>
          <w:szCs w:val="18"/>
          <w:u w:val="single" w:color="auto"/>
          <w:color w:val="0000FF"/>
        </w:rPr>
        <w:t xml:space="preserve"> </w:t>
      </w:r>
      <w:hyperlink r:id="rId423">
        <w:r>
          <w:rPr>
            <w:rFonts w:ascii="Arial" w:cs="Arial" w:eastAsia="Arial" w:hAnsi="Arial"/>
            <w:sz w:val="18"/>
            <w:szCs w:val="18"/>
            <w:u w:val="single" w:color="auto"/>
            <w:color w:val="0000FF"/>
          </w:rPr>
          <w:t>Report on Form 10-Q for the quarter ended March 31, 2021 (Commission File No. 1-8400)).</w:t>
        </w:r>
      </w:hyperlink>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24">
        <w:r>
          <w:rPr>
            <w:rFonts w:ascii="Arial" w:cs="Arial" w:eastAsia="Arial" w:hAnsi="Arial"/>
            <w:sz w:val="18"/>
            <w:szCs w:val="18"/>
            <w:u w:val="single" w:color="auto"/>
            <w:color w:val="0000FF"/>
          </w:rPr>
          <w:t>Payroll Support Program Agreement, dated as of April 20, 2020, between American Airlines, Inc. and the United States</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Department of the Treasury (incorporated by reference to Exhibit 10.5 to AAG’s Quarterly Report on Form 10-Q for the quarter</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24">
        <w:r>
          <w:rPr>
            <w:rFonts w:ascii="Arial" w:cs="Arial" w:eastAsia="Arial" w:hAnsi="Arial"/>
            <w:sz w:val="18"/>
            <w:szCs w:val="18"/>
            <w:u w:val="single" w:color="auto"/>
            <w:color w:val="0000FF"/>
          </w:rPr>
          <w:t>ended March 31, 2020 (Commission File No. 1-8400)).</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line="21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26">
        <w:r>
          <w:rPr>
            <w:rFonts w:ascii="Arial" w:cs="Arial" w:eastAsia="Arial" w:hAnsi="Arial"/>
            <w:sz w:val="18"/>
            <w:szCs w:val="18"/>
            <w:u w:val="single" w:color="auto"/>
            <w:color w:val="0000FF"/>
          </w:rPr>
          <w:t>Promissory Note, dated as of April 20, 2020, issued by American Airlines Group Inc. in the name of the United States Department</w:t>
        </w:r>
      </w:hyperlink>
      <w:r>
        <w:rPr>
          <w:rFonts w:ascii="Arial" w:cs="Arial" w:eastAsia="Arial" w:hAnsi="Arial"/>
          <w:sz w:val="18"/>
          <w:szCs w:val="18"/>
          <w:u w:val="single" w:color="auto"/>
          <w:color w:val="0000FF"/>
        </w:rPr>
        <w:t xml:space="preserve"> </w:t>
      </w:r>
      <w:hyperlink r:id="rId426">
        <w:r>
          <w:rPr>
            <w:rFonts w:ascii="Arial" w:cs="Arial" w:eastAsia="Arial" w:hAnsi="Arial"/>
            <w:sz w:val="18"/>
            <w:szCs w:val="18"/>
            <w:u w:val="single" w:color="auto"/>
            <w:color w:val="0000FF"/>
          </w:rPr>
          <w:t>of the Treasury and guaranteed by American Airlines, Inc., Envoy Air Inc., Piedmont Airlines, Inc. and PSA Airlines, Inc.</w:t>
        </w:r>
      </w:hyperlink>
    </w:p>
    <w:p>
      <w:pPr>
        <w:spacing w:after="0" w:line="2"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26">
        <w:r>
          <w:rPr>
            <w:rFonts w:ascii="Arial" w:cs="Arial" w:eastAsia="Arial" w:hAnsi="Arial"/>
            <w:sz w:val="18"/>
            <w:szCs w:val="18"/>
            <w:u w:val="single" w:color="auto"/>
            <w:color w:val="0000FF"/>
          </w:rPr>
          <w:t>(incorporated by reference to Exhibit 10.6 to AAG’s Quarterly Report on Form 10-Q for the quarter ended March 31, 2020</w:t>
        </w:r>
      </w:hyperlink>
      <w:r>
        <w:rPr>
          <w:rFonts w:ascii="Arial" w:cs="Arial" w:eastAsia="Arial" w:hAnsi="Arial"/>
          <w:sz w:val="18"/>
          <w:szCs w:val="18"/>
          <w:u w:val="single" w:color="auto"/>
          <w:color w:val="0000FF"/>
        </w:rPr>
        <w:t xml:space="preserve"> </w:t>
      </w:r>
      <w:hyperlink r:id="rId426">
        <w:r>
          <w:rPr>
            <w:rFonts w:ascii="Arial" w:cs="Arial" w:eastAsia="Arial" w:hAnsi="Arial"/>
            <w:sz w:val="18"/>
            <w:szCs w:val="18"/>
            <w:u w:val="single" w:color="auto"/>
            <w:color w:val="0000FF"/>
          </w:rPr>
          <w:t>(Commission File No. 1-8400)).</w:t>
        </w:r>
      </w:hyperlink>
    </w:p>
    <w:p>
      <w:pPr>
        <w:spacing w:after="0" w:line="1" w:lineRule="exact"/>
        <w:rPr>
          <w:sz w:val="20"/>
          <w:szCs w:val="20"/>
          <w:color w:val="auto"/>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27">
        <w:r>
          <w:rPr>
            <w:rFonts w:ascii="Arial" w:cs="Arial" w:eastAsia="Arial" w:hAnsi="Arial"/>
            <w:sz w:val="18"/>
            <w:szCs w:val="18"/>
            <w:u w:val="single" w:color="auto"/>
            <w:color w:val="0000FF"/>
          </w:rPr>
          <w:t>Payroll Support Program Extension Agreement, dated as of January 15, 2021, between American Airlines, Inc. and the United</w:t>
        </w:r>
      </w:hyperlink>
      <w:r>
        <w:rPr>
          <w:rFonts w:ascii="Arial" w:cs="Arial" w:eastAsia="Arial" w:hAnsi="Arial"/>
          <w:sz w:val="18"/>
          <w:szCs w:val="18"/>
          <w:u w:val="single" w:color="auto"/>
          <w:color w:val="0000FF"/>
        </w:rPr>
        <w:t xml:space="preserve"> </w:t>
      </w:r>
      <w:hyperlink r:id="rId427">
        <w:r>
          <w:rPr>
            <w:rFonts w:ascii="Arial" w:cs="Arial" w:eastAsia="Arial" w:hAnsi="Arial"/>
            <w:sz w:val="18"/>
            <w:szCs w:val="18"/>
            <w:u w:val="single" w:color="auto"/>
            <w:color w:val="0000FF"/>
          </w:rPr>
          <w:t>States Department of the Treasury (incorporated by reference to Exhibit 10.3 to AAG’s Annual Report on Form 10-K for the year</w:t>
        </w:r>
      </w:hyperlink>
      <w:r>
        <w:rPr>
          <w:rFonts w:ascii="Arial" w:cs="Arial" w:eastAsia="Arial" w:hAnsi="Arial"/>
          <w:sz w:val="18"/>
          <w:szCs w:val="18"/>
          <w:u w:val="single" w:color="auto"/>
          <w:color w:val="0000FF"/>
        </w:rPr>
        <w:t xml:space="preserve"> </w:t>
      </w:r>
      <w:hyperlink r:id="rId427">
        <w:r>
          <w:rPr>
            <w:rFonts w:ascii="Arial" w:cs="Arial" w:eastAsia="Arial" w:hAnsi="Arial"/>
            <w:sz w:val="18"/>
            <w:szCs w:val="18"/>
            <w:u w:val="single" w:color="auto"/>
            <w:color w:val="0000FF"/>
          </w:rPr>
          <w:t>ended December 31, 2020 (Commission File No. 1-8400)).</w:t>
        </w:r>
      </w:hyperlink>
    </w:p>
    <w:p>
      <w:pPr>
        <w:spacing w:after="0" w:line="13" w:lineRule="exact"/>
        <w:rPr>
          <w:rFonts w:ascii="Arial" w:cs="Arial" w:eastAsia="Arial" w:hAnsi="Arial"/>
          <w:sz w:val="18"/>
          <w:szCs w:val="18"/>
          <w:u w:val="single" w:color="auto"/>
          <w:color w:val="0000FF"/>
        </w:rPr>
      </w:pPr>
    </w:p>
    <w:p>
      <w:pPr>
        <w:jc w:val="both"/>
        <w:ind w:left="920" w:hanging="890"/>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28">
        <w:r>
          <w:rPr>
            <w:rFonts w:ascii="Arial" w:cs="Arial" w:eastAsia="Arial" w:hAnsi="Arial"/>
            <w:sz w:val="18"/>
            <w:szCs w:val="18"/>
            <w:u w:val="single" w:color="auto"/>
            <w:color w:val="0000FF"/>
          </w:rPr>
          <w:t>Promissory Note, dated as of January 15, 2021, issued by American Airlines Group Inc. in the name of the United States</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Department of the Treasury and guaranteed by American Airlines, Inc., Envoy Air Inc., Piedmont Airlines, Inc. and PSA Airlines,</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Inc. (incorporated by reference to Exhibit 10.4 to AAG’s Annual Report on Form 10-K for the year ended December 31, 2020</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(Commission File No. 1-8400)).</w:t>
        </w:r>
      </w:hyperlink>
    </w:p>
    <w:p>
      <w:pPr>
        <w:spacing w:after="0" w:line="8" w:lineRule="exact"/>
        <w:rPr>
          <w:rFonts w:ascii="Arial" w:cs="Arial" w:eastAsia="Arial" w:hAnsi="Arial"/>
          <w:sz w:val="18"/>
          <w:szCs w:val="18"/>
          <w:u w:val="single" w:color="auto"/>
          <w:color w:val="0000FF"/>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429">
        <w:r>
          <w:rPr>
            <w:rFonts w:ascii="Arial" w:cs="Arial" w:eastAsia="Arial" w:hAnsi="Arial"/>
            <w:sz w:val="18"/>
            <w:szCs w:val="18"/>
            <w:u w:val="single" w:color="auto"/>
            <w:color w:val="0000FF"/>
          </w:rPr>
          <w:t>Amendment, dated as of June 30, 2022, to the Promissory Notes and the Warrants issued by American Airlines Group Inc. to the</w:t>
        </w:r>
      </w:hyperlink>
      <w:r>
        <w:rPr>
          <w:rFonts w:ascii="Arial" w:cs="Arial" w:eastAsia="Arial" w:hAnsi="Arial"/>
          <w:sz w:val="18"/>
          <w:szCs w:val="18"/>
          <w:u w:val="single" w:color="auto"/>
          <w:color w:val="0000FF"/>
        </w:rPr>
        <w:t xml:space="preserve"> </w:t>
      </w:r>
      <w:hyperlink r:id="rId429">
        <w:r>
          <w:rPr>
            <w:rFonts w:ascii="Arial" w:cs="Arial" w:eastAsia="Arial" w:hAnsi="Arial"/>
            <w:sz w:val="18"/>
            <w:szCs w:val="18"/>
            <w:u w:val="single" w:color="auto"/>
            <w:color w:val="0000FF"/>
          </w:rPr>
          <w:t>United States Department of the Treasury (incorporated by reference to Exhibit 10.3 to AAG’s Quarterly Report on Form 10-Q for</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29">
        <w:r>
          <w:rPr>
            <w:rFonts w:ascii="Arial" w:cs="Arial" w:eastAsia="Arial" w:hAnsi="Arial"/>
            <w:sz w:val="18"/>
            <w:szCs w:val="18"/>
            <w:u w:val="single" w:color="auto"/>
            <w:color w:val="0000FF"/>
          </w:rPr>
          <w:t>the quarter ended June 30, 2022 (Commission File No. 1-8400)).</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30">
        <w:r>
          <w:rPr>
            <w:rFonts w:ascii="Arial" w:cs="Arial" w:eastAsia="Arial" w:hAnsi="Arial"/>
            <w:sz w:val="18"/>
            <w:szCs w:val="18"/>
            <w:u w:val="single" w:color="auto"/>
            <w:color w:val="0000FF"/>
          </w:rPr>
          <w:t>Loan and Guarantee Agreement, dated as of September 25, 2020, among American Airlines, Inc., American Airlines Group Inc.,</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the other guarantors party thereto from time to time, the United States Department of the Treasury and the Bank of New York</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30">
        <w:r>
          <w:rPr>
            <w:rFonts w:ascii="Arial" w:cs="Arial" w:eastAsia="Arial" w:hAnsi="Arial"/>
            <w:sz w:val="18"/>
            <w:szCs w:val="18"/>
            <w:u w:val="single" w:color="auto"/>
            <w:color w:val="0000FF"/>
          </w:rPr>
          <w:t>Mellon, as administrative and collateral agent (incorporated by reference to Exhibit 10.1 to AAG’s Quarterly Report on Form 10-Q</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for the quarter ended September 30, 2020 (Commission File No. 1-8400).</w:t>
        </w:r>
      </w:hyperlink>
    </w:p>
    <w:p>
      <w:pPr>
        <w:spacing w:after="0" w:line="1" w:lineRule="exact"/>
        <w:rPr>
          <w:sz w:val="20"/>
          <w:szCs w:val="20"/>
          <w:color w:val="auto"/>
        </w:rPr>
      </w:pPr>
    </w:p>
    <w:p>
      <w:pPr>
        <w:jc w:val="both"/>
        <w:ind w:left="920" w:hanging="890"/>
        <w:spacing w:after="0" w:line="24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w:t>
      </w:r>
      <w:r>
        <w:rPr>
          <w:sz w:val="20"/>
          <w:szCs w:val="20"/>
          <w:color w:val="auto"/>
        </w:rPr>
        <w:tab/>
      </w:r>
      <w:hyperlink r:id="rId431">
        <w:r>
          <w:rPr>
            <w:rFonts w:ascii="Arial" w:cs="Arial" w:eastAsia="Arial" w:hAnsi="Arial"/>
            <w:sz w:val="18"/>
            <w:szCs w:val="18"/>
            <w:u w:val="single" w:color="auto"/>
            <w:color w:val="0000FF"/>
          </w:rPr>
          <w:t>Restatement Agreement, dated as of October 21, 2020, to Loan and Guarantee Agreement, dated as of September 25, 2020,</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among American Airlines, Inc., American Airlines Group Inc., the other guarantors party thereto from time to time, the United</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States Department of the Treasury and the Bank of New York Mellon, as administrative and collateral agent (incorporated by</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reference to Exhibit 10.6 to AAG’s Annual Report on Form 10-K for the year ended December 31, 2020 (Commission File No. 1-</w:t>
        </w:r>
      </w:hyperlink>
      <w:hyperlink r:id="rId431">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18"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32">
        <w:r>
          <w:rPr>
            <w:rFonts w:ascii="Arial" w:cs="Arial" w:eastAsia="Arial" w:hAnsi="Arial"/>
            <w:sz w:val="18"/>
            <w:szCs w:val="18"/>
            <w:u w:val="single" w:color="auto"/>
            <w:color w:val="0000FF"/>
          </w:rPr>
          <w:t>Letter Agreement, dated as of January 15, 2021, to Loan and Guarantee Agreement, dated as of September 25, 2020, among</w:t>
        </w:r>
      </w:hyperlink>
      <w:r>
        <w:rPr>
          <w:rFonts w:ascii="Arial" w:cs="Arial" w:eastAsia="Arial" w:hAnsi="Arial"/>
          <w:sz w:val="18"/>
          <w:szCs w:val="18"/>
          <w:u w:val="single" w:color="auto"/>
          <w:color w:val="0000FF"/>
        </w:rPr>
        <w:t xml:space="preserve"> </w:t>
      </w:r>
      <w:hyperlink r:id="rId432">
        <w:r>
          <w:rPr>
            <w:rFonts w:ascii="Arial" w:cs="Arial" w:eastAsia="Arial" w:hAnsi="Arial"/>
            <w:sz w:val="18"/>
            <w:szCs w:val="18"/>
            <w:u w:val="single" w:color="auto"/>
            <w:color w:val="0000FF"/>
          </w:rPr>
          <w:t>American Airlines, Inc., American Airlines Group Inc., the other guarantors party thereto from time to time, the United States</w:t>
        </w:r>
      </w:hyperlink>
      <w:r>
        <w:rPr>
          <w:rFonts w:ascii="Arial" w:cs="Arial" w:eastAsia="Arial" w:hAnsi="Arial"/>
          <w:sz w:val="18"/>
          <w:szCs w:val="18"/>
          <w:u w:val="single" w:color="auto"/>
          <w:color w:val="0000FF"/>
        </w:rPr>
        <w:t xml:space="preserve"> </w:t>
      </w:r>
      <w:hyperlink r:id="rId432">
        <w:r>
          <w:rPr>
            <w:rFonts w:ascii="Arial" w:cs="Arial" w:eastAsia="Arial" w:hAnsi="Arial"/>
            <w:sz w:val="18"/>
            <w:szCs w:val="18"/>
            <w:u w:val="single" w:color="auto"/>
            <w:color w:val="0000FF"/>
          </w:rPr>
          <w:t>Department of the Treasury and the Bank of New York Mellon, as administrative and collateral agent (incorporated by reference</w:t>
        </w:r>
      </w:hyperlink>
      <w:r>
        <w:rPr>
          <w:rFonts w:ascii="Arial" w:cs="Arial" w:eastAsia="Arial" w:hAnsi="Arial"/>
          <w:sz w:val="18"/>
          <w:szCs w:val="18"/>
          <w:u w:val="single" w:color="auto"/>
          <w:color w:val="0000FF"/>
        </w:rPr>
        <w:t xml:space="preserve"> </w:t>
      </w:r>
      <w:hyperlink r:id="rId432">
        <w:r>
          <w:rPr>
            <w:rFonts w:ascii="Arial" w:cs="Arial" w:eastAsia="Arial" w:hAnsi="Arial"/>
            <w:sz w:val="18"/>
            <w:szCs w:val="18"/>
            <w:u w:val="single" w:color="auto"/>
            <w:color w:val="0000FF"/>
          </w:rPr>
          <w:t>to Exhibit 10.7 to AAG’s Annual Report on Form 10-K for the year ended December 31, 2020 (Commission File No. 1-8400)).</w:t>
        </w:r>
      </w:hyperlink>
    </w:p>
    <w:p>
      <w:pPr>
        <w:spacing w:after="0" w:line="12" w:lineRule="exact"/>
        <w:rPr>
          <w:rFonts w:ascii="Arial" w:cs="Arial" w:eastAsia="Arial" w:hAnsi="Arial"/>
          <w:sz w:val="18"/>
          <w:szCs w:val="18"/>
          <w:u w:val="single" w:color="auto"/>
          <w:color w:val="0000FF"/>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33">
        <w:r>
          <w:rPr>
            <w:rFonts w:ascii="Arial" w:cs="Arial" w:eastAsia="Arial" w:hAnsi="Arial"/>
            <w:sz w:val="18"/>
            <w:szCs w:val="18"/>
            <w:u w:val="single" w:color="auto"/>
            <w:color w:val="0000FF"/>
          </w:rPr>
          <w:t>Amended and Restated Credit and Guaranty Agreement, dated as of December 15, 2016, amending the Loan Agreement, dated</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as of May 23, 2013, among American Airlines, Inc. (as successor in interest to US Airways, Inc., as borrower), as the borrower,</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33">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guarantor), the lenders from time to time party thereto, Citibank N.A., as administrative agent and collateral agent (as successor</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in interest to Citicorp North America Inc., as administrative agent and collateral agent), and certain other parties thereto.</w:t>
        </w:r>
      </w:hyperlink>
    </w:p>
    <w:p>
      <w:pPr>
        <w:spacing w:after="0" w:line="2" w:lineRule="exact"/>
        <w:rPr>
          <w:rFonts w:ascii="Arial" w:cs="Arial" w:eastAsia="Arial" w:hAnsi="Arial"/>
          <w:sz w:val="18"/>
          <w:szCs w:val="18"/>
          <w:u w:val="single" w:color="auto"/>
          <w:color w:val="0000FF"/>
        </w:rPr>
      </w:pPr>
    </w:p>
    <w:p>
      <w:pPr>
        <w:jc w:val="both"/>
        <w:ind w:left="920"/>
        <w:spacing w:after="0" w:line="229" w:lineRule="auto"/>
        <w:rPr>
          <w:rFonts w:ascii="Arial" w:cs="Arial" w:eastAsia="Arial" w:hAnsi="Arial"/>
          <w:sz w:val="18"/>
          <w:szCs w:val="18"/>
          <w:u w:val="single" w:color="auto"/>
          <w:color w:val="0000FF"/>
        </w:rPr>
      </w:pPr>
      <w:hyperlink r:id="rId433">
        <w:r>
          <w:rPr>
            <w:rFonts w:ascii="Arial" w:cs="Arial" w:eastAsia="Arial" w:hAnsi="Arial"/>
            <w:sz w:val="18"/>
            <w:szCs w:val="18"/>
            <w:u w:val="single" w:color="auto"/>
            <w:color w:val="0000FF"/>
          </w:rPr>
          <w:t>(incorporated by reference to Exhibit 10.1 to AAG’s Annual Report on Form 10-K for the year ended December 31, 2016</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434">
        <w:r>
          <w:rPr>
            <w:rFonts w:ascii="Arial" w:cs="Arial" w:eastAsia="Arial" w:hAnsi="Arial"/>
            <w:sz w:val="18"/>
            <w:szCs w:val="18"/>
            <w:u w:val="single" w:color="auto"/>
            <w:color w:val="0000FF"/>
          </w:rPr>
          <w:t>First Amendment to Amended and Restated Credit and Guaranty Agreement, dated as of November 14, 2017, amending the</w:t>
        </w:r>
      </w:hyperlink>
      <w:r>
        <w:rPr>
          <w:rFonts w:ascii="Arial" w:cs="Arial" w:eastAsia="Arial" w:hAnsi="Arial"/>
          <w:sz w:val="18"/>
          <w:szCs w:val="18"/>
          <w:color w:val="auto"/>
        </w:rPr>
        <w:t xml:space="preserve"> </w:t>
      </w:r>
      <w:hyperlink r:id="rId434">
        <w:r>
          <w:rPr>
            <w:rFonts w:ascii="Arial" w:cs="Arial" w:eastAsia="Arial" w:hAnsi="Arial"/>
            <w:sz w:val="18"/>
            <w:szCs w:val="18"/>
            <w:u w:val="single" w:color="auto"/>
            <w:color w:val="0000FF"/>
          </w:rPr>
          <w:t>Amended and Restated Credit and Guaranty Agreement, dated as of December 15, 2016, amending the Loan Agreement, dated</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34">
        <w:r>
          <w:rPr>
            <w:rFonts w:ascii="Arial" w:cs="Arial" w:eastAsia="Arial" w:hAnsi="Arial"/>
            <w:sz w:val="18"/>
            <w:szCs w:val="18"/>
            <w:u w:val="single" w:color="auto"/>
            <w:color w:val="0000FF"/>
          </w:rPr>
          <w:t>as of May 23, 2013, among American Airlines, Inc. (as successor in interest to US Airways, Inc., as borrower), as the borrower,</w:t>
        </w:r>
      </w:hyperlink>
      <w:r>
        <w:rPr>
          <w:rFonts w:ascii="Arial" w:cs="Arial" w:eastAsia="Arial" w:hAnsi="Arial"/>
          <w:sz w:val="18"/>
          <w:szCs w:val="18"/>
          <w:u w:val="single" w:color="auto"/>
          <w:color w:val="0000FF"/>
        </w:rPr>
        <w:t xml:space="preserve"> </w:t>
      </w:r>
      <w:hyperlink r:id="rId434">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434">
        <w:r>
          <w:rPr>
            <w:rFonts w:ascii="Arial" w:cs="Arial" w:eastAsia="Arial" w:hAnsi="Arial"/>
            <w:sz w:val="18"/>
            <w:szCs w:val="18"/>
            <w:u w:val="single" w:color="auto"/>
            <w:color w:val="0000FF"/>
          </w:rPr>
          <w:t>guarantor), the lenders from time to time party thereto, Citibank N.A., as administrative agent and collateral agent (as successor</w:t>
        </w:r>
      </w:hyperlink>
    </w:p>
    <w:p>
      <w:pPr>
        <w:spacing w:after="0" w:line="2" w:lineRule="exact"/>
        <w:rPr>
          <w:rFonts w:ascii="Arial" w:cs="Arial" w:eastAsia="Arial" w:hAnsi="Arial"/>
          <w:sz w:val="18"/>
          <w:szCs w:val="18"/>
          <w:u w:val="single" w:color="auto"/>
          <w:color w:val="0000FF"/>
        </w:rPr>
      </w:pPr>
    </w:p>
    <w:p>
      <w:pPr>
        <w:jc w:val="both"/>
        <w:ind w:left="920"/>
        <w:spacing w:after="0" w:line="221" w:lineRule="auto"/>
        <w:rPr>
          <w:rFonts w:ascii="Arial" w:cs="Arial" w:eastAsia="Arial" w:hAnsi="Arial"/>
          <w:sz w:val="18"/>
          <w:szCs w:val="18"/>
          <w:u w:val="single" w:color="auto"/>
          <w:color w:val="0000FF"/>
        </w:rPr>
      </w:pPr>
      <w:hyperlink r:id="rId434">
        <w:r>
          <w:rPr>
            <w:rFonts w:ascii="Arial" w:cs="Arial" w:eastAsia="Arial" w:hAnsi="Arial"/>
            <w:sz w:val="18"/>
            <w:szCs w:val="18"/>
            <w:u w:val="single" w:color="auto"/>
            <w:color w:val="0000FF"/>
          </w:rPr>
          <w:t>in interest to Citicorp North America Inc., as administrative agent and collateral agent), and certain other parties thereto</w:t>
        </w:r>
      </w:hyperlink>
      <w:r>
        <w:rPr>
          <w:rFonts w:ascii="Arial" w:cs="Arial" w:eastAsia="Arial" w:hAnsi="Arial"/>
          <w:sz w:val="18"/>
          <w:szCs w:val="18"/>
          <w:u w:val="single" w:color="auto"/>
          <w:color w:val="0000FF"/>
        </w:rPr>
        <w:t xml:space="preserve"> </w:t>
      </w:r>
      <w:hyperlink r:id="rId434">
        <w:r>
          <w:rPr>
            <w:rFonts w:ascii="Arial" w:cs="Arial" w:eastAsia="Arial" w:hAnsi="Arial"/>
            <w:sz w:val="18"/>
            <w:szCs w:val="18"/>
            <w:u w:val="single" w:color="auto"/>
            <w:color w:val="0000FF"/>
          </w:rPr>
          <w:t>(incorporated by reference to Exhibit 10.2 to AAG’s Annual Report on Form 10-K for the year ended December 31, 2017</w:t>
        </w:r>
      </w:hyperlink>
      <w:r>
        <w:rPr>
          <w:rFonts w:ascii="Arial" w:cs="Arial" w:eastAsia="Arial" w:hAnsi="Arial"/>
          <w:sz w:val="18"/>
          <w:szCs w:val="18"/>
          <w:u w:val="single" w:color="auto"/>
          <w:color w:val="0000FF"/>
        </w:rPr>
        <w:t xml:space="preserve"> </w:t>
      </w:r>
      <w:hyperlink r:id="rId434">
        <w:r>
          <w:rPr>
            <w:rFonts w:ascii="Arial" w:cs="Arial" w:eastAsia="Arial" w:hAnsi="Arial"/>
            <w:sz w:val="18"/>
            <w:szCs w:val="18"/>
            <w:u w:val="single" w:color="auto"/>
            <w:color w:val="0000FF"/>
          </w:rPr>
          <w:t>(Commission File No. 1-8400)).</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435">
        <w:r>
          <w:rPr>
            <w:rFonts w:ascii="Arial" w:cs="Arial" w:eastAsia="Arial" w:hAnsi="Arial"/>
            <w:sz w:val="18"/>
            <w:szCs w:val="18"/>
            <w:u w:val="single" w:color="auto"/>
            <w:color w:val="0000FF"/>
          </w:rPr>
          <w:t>First Amendment and Restatement Agreement, dated as of April 20, 2015, in relation to the Credit and Guaranty Agreement,</w:t>
        </w:r>
      </w:hyperlink>
      <w:r>
        <w:rPr>
          <w:rFonts w:ascii="Arial" w:cs="Arial" w:eastAsia="Arial" w:hAnsi="Arial"/>
          <w:sz w:val="18"/>
          <w:szCs w:val="18"/>
          <w:color w:val="auto"/>
        </w:rPr>
        <w:t xml:space="preserve"> </w:t>
      </w:r>
      <w:hyperlink r:id="rId435">
        <w:r>
          <w:rPr>
            <w:rFonts w:ascii="Arial" w:cs="Arial" w:eastAsia="Arial" w:hAnsi="Arial"/>
            <w:sz w:val="18"/>
            <w:szCs w:val="18"/>
            <w:u w:val="single" w:color="auto"/>
            <w:color w:val="0000FF"/>
          </w:rPr>
          <w:t>dated as of October 10, 2014 (as amended), among American Airlines Group Inc. (as successor in interest to US Airways Group,</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35">
        <w:r>
          <w:rPr>
            <w:rFonts w:ascii="Arial" w:cs="Arial" w:eastAsia="Arial" w:hAnsi="Arial"/>
            <w:sz w:val="18"/>
            <w:szCs w:val="18"/>
            <w:u w:val="single" w:color="auto"/>
            <w:color w:val="0000FF"/>
          </w:rPr>
          <w:t>Inc.), American Airlines, Inc. (as successor in interest to US Airways, Inc.), the Revolving Lenders (as defined therein) party</w:t>
        </w:r>
      </w:hyperlink>
      <w:r>
        <w:rPr>
          <w:rFonts w:ascii="Arial" w:cs="Arial" w:eastAsia="Arial" w:hAnsi="Arial"/>
          <w:sz w:val="18"/>
          <w:szCs w:val="18"/>
          <w:u w:val="single" w:color="auto"/>
          <w:color w:val="0000FF"/>
        </w:rPr>
        <w:t xml:space="preserve"> </w:t>
      </w:r>
      <w:hyperlink r:id="rId435">
        <w:r>
          <w:rPr>
            <w:rFonts w:ascii="Arial" w:cs="Arial" w:eastAsia="Arial" w:hAnsi="Arial"/>
            <w:sz w:val="18"/>
            <w:szCs w:val="18"/>
            <w:u w:val="single" w:color="auto"/>
            <w:color w:val="0000FF"/>
          </w:rPr>
          <w:t>thereto, the 2015 Term Loan Lenders (as defined therein) party thereto and Citibank N.A., as administrative agent and collateral</w:t>
        </w:r>
      </w:hyperlink>
      <w:r>
        <w:rPr>
          <w:rFonts w:ascii="Arial" w:cs="Arial" w:eastAsia="Arial" w:hAnsi="Arial"/>
          <w:sz w:val="18"/>
          <w:szCs w:val="18"/>
          <w:u w:val="single" w:color="auto"/>
          <w:color w:val="0000FF"/>
        </w:rPr>
        <w:t xml:space="preserve"> </w:t>
      </w:r>
      <w:hyperlink r:id="rId435">
        <w:r>
          <w:rPr>
            <w:rFonts w:ascii="Arial" w:cs="Arial" w:eastAsia="Arial" w:hAnsi="Arial"/>
            <w:sz w:val="18"/>
            <w:szCs w:val="18"/>
            <w:u w:val="single" w:color="auto"/>
            <w:color w:val="0000FF"/>
          </w:rPr>
          <w:t>agent (incorporated by reference to Exhibit 10.4 to AAG’s Quarterly Report on Form 10-Q for the quarter ended June 30, 2015</w:t>
        </w:r>
      </w:hyperlink>
    </w:p>
    <w:p>
      <w:pPr>
        <w:spacing w:after="0" w:line="2"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35">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436">
        <w:r>
          <w:rPr>
            <w:rFonts w:ascii="Arial" w:cs="Arial" w:eastAsia="Arial" w:hAnsi="Arial"/>
            <w:sz w:val="18"/>
            <w:szCs w:val="18"/>
            <w:u w:val="single" w:color="auto"/>
            <w:color w:val="0000FF"/>
          </w:rPr>
          <w:t>First Amendment to Amended and Restated Credit and Guaranty Agreement, dated as of October 26, 2015, amending the</w:t>
        </w:r>
      </w:hyperlink>
      <w:r>
        <w:rPr>
          <w:rFonts w:ascii="Arial" w:cs="Arial" w:eastAsia="Arial" w:hAnsi="Arial"/>
          <w:sz w:val="18"/>
          <w:szCs w:val="18"/>
          <w:color w:val="auto"/>
        </w:rPr>
        <w:t xml:space="preserve"> </w:t>
      </w:r>
      <w:hyperlink r:id="rId436">
        <w:r>
          <w:rPr>
            <w:rFonts w:ascii="Arial" w:cs="Arial" w:eastAsia="Arial" w:hAnsi="Arial"/>
            <w:sz w:val="18"/>
            <w:szCs w:val="18"/>
            <w:u w:val="single" w:color="auto"/>
            <w:color w:val="0000FF"/>
          </w:rPr>
          <w:t>Amended and Restated Credit and Guaranty Agreement, dated as of April 20, 2015, among American Airlines, Inc. (as successor</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36">
        <w:r>
          <w:rPr>
            <w:rFonts w:ascii="Arial" w:cs="Arial" w:eastAsia="Arial" w:hAnsi="Arial"/>
            <w:sz w:val="18"/>
            <w:szCs w:val="18"/>
            <w:u w:val="single" w:color="auto"/>
            <w:color w:val="0000FF"/>
          </w:rPr>
          <w:t>in interest to US Airways, Inc.), American Airlines Group Inc. (as successor in interest to US Airways Group, Inc.), the lenders</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from time to time party thereto, Citibank N.A., as administrative agent, and certain other parties thereto (incorporated by</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reference to Exhibit 10.6 to AAG’s Annual Report on Form 10-K for the year ended December 31, 2015 (Commission File No. 1-</w:t>
        </w:r>
      </w:hyperlink>
    </w:p>
    <w:p>
      <w:pPr>
        <w:spacing w:after="0" w:line="2"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36">
        <w:r>
          <w:rPr>
            <w:rFonts w:ascii="Arial" w:cs="Arial" w:eastAsia="Arial" w:hAnsi="Arial"/>
            <w:sz w:val="18"/>
            <w:szCs w:val="18"/>
            <w:u w:val="single" w:color="auto"/>
            <w:color w:val="0000FF"/>
          </w:rPr>
          <w:t>8400)).</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438">
        <w:r>
          <w:rPr>
            <w:rFonts w:ascii="Arial" w:cs="Arial" w:eastAsia="Arial" w:hAnsi="Arial"/>
            <w:sz w:val="18"/>
            <w:szCs w:val="18"/>
            <w:u w:val="single" w:color="auto"/>
            <w:color w:val="0000FF"/>
          </w:rPr>
          <w:t>Second Amendment to Amended and Restated Credit and Guaranty Agreement, dated as of September 22, 2016, amending the</w:t>
        </w:r>
      </w:hyperlink>
      <w:r>
        <w:rPr>
          <w:rFonts w:ascii="Arial" w:cs="Arial" w:eastAsia="Arial" w:hAnsi="Arial"/>
          <w:sz w:val="18"/>
          <w:szCs w:val="18"/>
          <w:color w:val="auto"/>
        </w:rPr>
        <w:t xml:space="preserve"> </w:t>
      </w:r>
      <w:hyperlink r:id="rId438">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2"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438">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38">
        <w:r>
          <w:rPr>
            <w:rFonts w:ascii="Arial" w:cs="Arial" w:eastAsia="Arial" w:hAnsi="Arial"/>
            <w:sz w:val="18"/>
            <w:szCs w:val="18"/>
            <w:u w:val="single" w:color="auto"/>
            <w:color w:val="0000FF"/>
          </w:rPr>
          <w:t>thereto (incorporated by reference to Exhibit 10.1 to AAG’s Quarterly Report on Form 10-Q for the quarter ended September 30,</w:t>
        </w:r>
      </w:hyperlink>
      <w:r>
        <w:rPr>
          <w:rFonts w:ascii="Arial" w:cs="Arial" w:eastAsia="Arial" w:hAnsi="Arial"/>
          <w:sz w:val="18"/>
          <w:szCs w:val="18"/>
          <w:u w:val="single" w:color="auto"/>
          <w:color w:val="0000FF"/>
        </w:rPr>
        <w:t xml:space="preserve"> </w:t>
      </w:r>
      <w:hyperlink r:id="rId438">
        <w:r>
          <w:rPr>
            <w:rFonts w:ascii="Arial" w:cs="Arial" w:eastAsia="Arial" w:hAnsi="Arial"/>
            <w:sz w:val="18"/>
            <w:szCs w:val="18"/>
            <w:u w:val="single" w:color="auto"/>
            <w:color w:val="0000FF"/>
          </w:rPr>
          <w:t>2016 (Commission File No. 1-8400)).</w:t>
        </w:r>
      </w:hyperlink>
    </w:p>
    <w:p>
      <w:pPr>
        <w:spacing w:after="0" w:line="4"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439">
        <w:r>
          <w:rPr>
            <w:rFonts w:ascii="Arial" w:cs="Arial" w:eastAsia="Arial" w:hAnsi="Arial"/>
            <w:sz w:val="18"/>
            <w:szCs w:val="18"/>
            <w:u w:val="single" w:color="auto"/>
            <w:color w:val="0000FF"/>
          </w:rPr>
          <w:t>Letter Agreement No. AAL-LA-2100511, dated as of March 9, 2021, to Purchase Agreement No. 3219 by and between American</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Airlines, Inc. and The Boeing Company (incorporated by reference to Exhibit 10.8 to AAG’s Quarterly Report on Form 10-Q for</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the quarter ended March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440">
        <w:r>
          <w:rPr>
            <w:rFonts w:ascii="Arial" w:cs="Arial" w:eastAsia="Arial" w:hAnsi="Arial"/>
            <w:sz w:val="18"/>
            <w:szCs w:val="18"/>
            <w:u w:val="single" w:color="auto"/>
            <w:color w:val="0000FF"/>
          </w:rPr>
          <w:t>Amendment 1, dated as of March 25, 2021, to the Letter Agreement No. AAL-LA-2100511, dated as of March 9, 2021, to</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Purchase Agreement No. 3219 by and between American Airlines, Inc. and The Boeing Company (incorporated by reference to</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Exhibit 10.9 to AAG’s Quarterly Report on Form 10-Q for the quarter ended March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441">
        <w:r>
          <w:rPr>
            <w:rFonts w:ascii="Arial" w:cs="Arial" w:eastAsia="Arial" w:hAnsi="Arial"/>
            <w:sz w:val="18"/>
            <w:szCs w:val="18"/>
            <w:u w:val="single" w:color="auto"/>
            <w:color w:val="0000FF"/>
          </w:rPr>
          <w:t>Amendment 2, dated as of June 28, 2021, to the Letter Agreement No. AAL-LA-2100511, dated as of March 9, 2021, to Purchase</w:t>
        </w:r>
      </w:hyperlink>
      <w:r>
        <w:rPr>
          <w:rFonts w:ascii="Arial" w:cs="Arial" w:eastAsia="Arial" w:hAnsi="Arial"/>
          <w:sz w:val="18"/>
          <w:szCs w:val="18"/>
          <w:u w:val="single" w:color="auto"/>
          <w:color w:val="0000FF"/>
        </w:rPr>
        <w:t xml:space="preserve"> </w:t>
      </w:r>
      <w:hyperlink r:id="rId441">
        <w:r>
          <w:rPr>
            <w:rFonts w:ascii="Arial" w:cs="Arial" w:eastAsia="Arial" w:hAnsi="Arial"/>
            <w:sz w:val="18"/>
            <w:szCs w:val="18"/>
            <w:u w:val="single" w:color="auto"/>
            <w:color w:val="0000FF"/>
          </w:rPr>
          <w:t>Agreement No. 3219 by and between American Airlines, Inc. and The Boeing Company (incorporated by reference to Exhibit</w:t>
        </w:r>
      </w:hyperlink>
      <w:r>
        <w:rPr>
          <w:rFonts w:ascii="Arial" w:cs="Arial" w:eastAsia="Arial" w:hAnsi="Arial"/>
          <w:sz w:val="18"/>
          <w:szCs w:val="18"/>
          <w:u w:val="single" w:color="auto"/>
          <w:color w:val="0000FF"/>
        </w:rPr>
        <w:t xml:space="preserve"> </w:t>
      </w:r>
      <w:hyperlink r:id="rId441">
        <w:r>
          <w:rPr>
            <w:rFonts w:ascii="Arial" w:cs="Arial" w:eastAsia="Arial" w:hAnsi="Arial"/>
            <w:sz w:val="18"/>
            <w:szCs w:val="18"/>
            <w:u w:val="single" w:color="auto"/>
            <w:color w:val="0000FF"/>
          </w:rPr>
          <w:t>10.3 to AAG’s Quarterly Report on Form 10-Q for the quarter ended June 30,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442">
        <w:r>
          <w:rPr>
            <w:rFonts w:ascii="Arial" w:cs="Arial" w:eastAsia="Arial" w:hAnsi="Arial"/>
            <w:sz w:val="18"/>
            <w:szCs w:val="18"/>
            <w:u w:val="single" w:color="auto"/>
            <w:color w:val="0000FF"/>
          </w:rPr>
          <w:t>Amendment No. 3, dated as of September 24, 2021, to the Letter Agreement No. AAL-LA-2100511, dated as of March 9, 2021, to</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Purchase Agreement No. 3219 by and between American Airlines, Inc. and The Boeing Company (incorporated by reference to</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Exhibit 10.1 to AAG’s Quarterly Report on Form 10-Q for the quarter ended September 30, 2021 (Commission File No. 1-</w:t>
        </w:r>
      </w:hyperlink>
      <w:hyperlink r:id="rId442">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443">
        <w:r>
          <w:rPr>
            <w:rFonts w:ascii="Arial" w:cs="Arial" w:eastAsia="Arial" w:hAnsi="Arial"/>
            <w:sz w:val="18"/>
            <w:szCs w:val="18"/>
            <w:u w:val="single" w:color="auto"/>
            <w:color w:val="0000FF"/>
          </w:rPr>
          <w:t>Letter Agreement No. AAL LA 2100530, dated as of March 9, 2021, to Purchase Agreement No. 3219 by and between American</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Airlines, Inc. and The Boeing Company (incorporated by reference to Exhibit 10.10 to AAG’s Quarterly Report on Form 10-Q for</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the quarter ended March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10.19</w:t>
      </w:r>
      <w:r>
        <w:rPr>
          <w:sz w:val="20"/>
          <w:szCs w:val="20"/>
          <w:color w:val="auto"/>
        </w:rPr>
        <w:tab/>
      </w:r>
      <w:hyperlink r:id="rId444">
        <w:r>
          <w:rPr>
            <w:rFonts w:ascii="Arial" w:cs="Arial" w:eastAsia="Arial" w:hAnsi="Arial"/>
            <w:sz w:val="18"/>
            <w:szCs w:val="18"/>
            <w:u w:val="single" w:color="auto"/>
            <w:color w:val="0000FF"/>
          </w:rPr>
          <w:t>Supplemental Agreement No. 16, dated as of May 21, 2021, to Purchase Agreement No. 3219 dated as of October 15, 2008, by</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and between American Airlines, Inc. and The Boeing Company (incorporated by reference to Exhibit 10.4 to AAG’s Quarterly</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Report on Form 10-Q for the quarter ended June 30,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445">
        <w:r>
          <w:rPr>
            <w:rFonts w:ascii="Arial" w:cs="Arial" w:eastAsia="Arial" w:hAnsi="Arial"/>
            <w:sz w:val="18"/>
            <w:szCs w:val="18"/>
            <w:u w:val="single" w:color="auto"/>
            <w:color w:val="0000FF"/>
          </w:rPr>
          <w:t>Amendment No. 4, dated as of December 15, 2021, to the Letter Agreement No. AAL-LA-2100511, dated as of March 9, 2021, to</w:t>
        </w:r>
      </w:hyperlink>
      <w:r>
        <w:rPr>
          <w:rFonts w:ascii="Arial" w:cs="Arial" w:eastAsia="Arial" w:hAnsi="Arial"/>
          <w:sz w:val="18"/>
          <w:szCs w:val="18"/>
          <w:u w:val="single" w:color="auto"/>
          <w:color w:val="0000FF"/>
        </w:rPr>
        <w:t xml:space="preserve"> </w:t>
      </w:r>
      <w:hyperlink r:id="rId445">
        <w:r>
          <w:rPr>
            <w:rFonts w:ascii="Arial" w:cs="Arial" w:eastAsia="Arial" w:hAnsi="Arial"/>
            <w:sz w:val="18"/>
            <w:szCs w:val="18"/>
            <w:u w:val="single" w:color="auto"/>
            <w:color w:val="0000FF"/>
          </w:rPr>
          <w:t>Purchase Agreement No. 3219 by and between American Airlines, Inc. and The Boeing Company (incorporated by reference to</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45">
        <w:r>
          <w:rPr>
            <w:rFonts w:ascii="Arial" w:cs="Arial" w:eastAsia="Arial" w:hAnsi="Arial"/>
            <w:sz w:val="18"/>
            <w:szCs w:val="18"/>
            <w:u w:val="single" w:color="auto"/>
            <w:color w:val="0000FF"/>
          </w:rPr>
          <w:t>Exhibit 10.19 to AAG’s Annual Report on Form 10-K for the year ended December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446">
        <w:r>
          <w:rPr>
            <w:rFonts w:ascii="Arial" w:cs="Arial" w:eastAsia="Arial" w:hAnsi="Arial"/>
            <w:sz w:val="18"/>
            <w:szCs w:val="18"/>
            <w:u w:val="single" w:color="auto"/>
            <w:color w:val="0000FF"/>
          </w:rPr>
          <w:t>Supplemental Agreement No. 17, dated as of January 31, 2022, to Purchase Agreement No. 3219 dated as of October 15, 2008,</w:t>
        </w:r>
      </w:hyperlink>
      <w:r>
        <w:rPr>
          <w:rFonts w:ascii="Arial" w:cs="Arial" w:eastAsia="Arial" w:hAnsi="Arial"/>
          <w:sz w:val="18"/>
          <w:szCs w:val="18"/>
          <w:u w:val="single" w:color="auto"/>
          <w:color w:val="0000FF"/>
        </w:rPr>
        <w:t xml:space="preserve"> </w:t>
      </w:r>
      <w:hyperlink r:id="rId446">
        <w:r>
          <w:rPr>
            <w:rFonts w:ascii="Arial" w:cs="Arial" w:eastAsia="Arial" w:hAnsi="Arial"/>
            <w:sz w:val="18"/>
            <w:szCs w:val="18"/>
            <w:u w:val="single" w:color="auto"/>
            <w:color w:val="0000FF"/>
          </w:rPr>
          <w:t>by and between American Airlines, Inc. and The Boeing Company (incorporated by reference to Exhibit 10.1 to AAG’s Quarterly</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46">
        <w:r>
          <w:rPr>
            <w:rFonts w:ascii="Arial" w:cs="Arial" w:eastAsia="Arial" w:hAnsi="Arial"/>
            <w:sz w:val="18"/>
            <w:szCs w:val="18"/>
            <w:u w:val="single" w:color="auto"/>
            <w:color w:val="0000FF"/>
          </w:rPr>
          <w:t>Report on Form 10-Q for the quarter ended March 31, 2022 (Commission File No. 1-8400)).**</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447">
        <w:r>
          <w:rPr>
            <w:rFonts w:ascii="Arial" w:cs="Arial" w:eastAsia="Arial" w:hAnsi="Arial"/>
            <w:sz w:val="18"/>
            <w:szCs w:val="18"/>
            <w:u w:val="single" w:color="auto"/>
            <w:color w:val="0000FF"/>
          </w:rPr>
          <w:t>Third Amendment to the Amended and Restated Credit and Guaranty Agreement, dated as of June 14, 2017, amending the</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447">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thereto (incorporated by reference to Exhibit 10.2 to AAG’s Quarterly Report on Form 10-Q for the quarter ended June 30, 2017</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(Commission File No. 1-8400)).</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448">
        <w:r>
          <w:rPr>
            <w:rFonts w:ascii="Arial" w:cs="Arial" w:eastAsia="Arial" w:hAnsi="Arial"/>
            <w:sz w:val="18"/>
            <w:szCs w:val="18"/>
            <w:u w:val="single" w:color="auto"/>
            <w:color w:val="0000FF"/>
          </w:rPr>
          <w:t>Fourth Amendment to the Amended and Restated Credit and Guaranty Agreement, dated as of August 21, 2017, amending the</w:t>
        </w:r>
      </w:hyperlink>
      <w:r>
        <w:rPr>
          <w:rFonts w:ascii="Arial" w:cs="Arial" w:eastAsia="Arial" w:hAnsi="Arial"/>
          <w:sz w:val="18"/>
          <w:szCs w:val="18"/>
          <w:color w:val="auto"/>
        </w:rPr>
        <w:t xml:space="preserve"> </w:t>
      </w:r>
      <w:hyperlink r:id="rId448">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color w:val="0000FF"/>
        </w:rPr>
      </w:pPr>
      <w:hyperlink r:id="rId448">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thereto (incorporated by reference to Exhibit 10.1 to AAG’s Quarterly Report on Form 10-Q for the quarter ended March 31, 2018</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449">
        <w:r>
          <w:rPr>
            <w:rFonts w:ascii="Arial" w:cs="Arial" w:eastAsia="Arial" w:hAnsi="Arial"/>
            <w:sz w:val="18"/>
            <w:szCs w:val="18"/>
            <w:u w:val="single" w:color="auto"/>
            <w:color w:val="0000FF"/>
          </w:rPr>
          <w:t>Fifth Amendment to the Amended and Restated Credit and Guaranty Agreement, dated as of September 17, 2018, amending the</w:t>
        </w:r>
      </w:hyperlink>
      <w:r>
        <w:rPr>
          <w:rFonts w:ascii="Arial" w:cs="Arial" w:eastAsia="Arial" w:hAnsi="Arial"/>
          <w:sz w:val="18"/>
          <w:szCs w:val="18"/>
          <w:color w:val="auto"/>
        </w:rPr>
        <w:t xml:space="preserve"> </w:t>
      </w:r>
      <w:hyperlink r:id="rId449">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449">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49">
        <w:r>
          <w:rPr>
            <w:rFonts w:ascii="Arial" w:cs="Arial" w:eastAsia="Arial" w:hAnsi="Arial"/>
            <w:sz w:val="18"/>
            <w:szCs w:val="18"/>
            <w:u w:val="single" w:color="auto"/>
            <w:color w:val="0000FF"/>
          </w:rPr>
          <w:t>thereto (incorporated by reference to Exhibit 10.1 to AAG’s Quarterly Report on Form 10-Q for the quarter ended September 30,</w:t>
        </w:r>
      </w:hyperlink>
      <w:r>
        <w:rPr>
          <w:rFonts w:ascii="Arial" w:cs="Arial" w:eastAsia="Arial" w:hAnsi="Arial"/>
          <w:sz w:val="18"/>
          <w:szCs w:val="18"/>
          <w:u w:val="single" w:color="auto"/>
          <w:color w:val="0000FF"/>
        </w:rPr>
        <w:t xml:space="preserve"> </w:t>
      </w:r>
      <w:hyperlink r:id="rId449">
        <w:r>
          <w:rPr>
            <w:rFonts w:ascii="Arial" w:cs="Arial" w:eastAsia="Arial" w:hAnsi="Arial"/>
            <w:sz w:val="18"/>
            <w:szCs w:val="18"/>
            <w:u w:val="single" w:color="auto"/>
            <w:color w:val="0000FF"/>
          </w:rPr>
          <w:t>2018 (Commission File No. 1-8400)).</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450">
        <w:r>
          <w:rPr>
            <w:rFonts w:ascii="Arial" w:cs="Arial" w:eastAsia="Arial" w:hAnsi="Arial"/>
            <w:sz w:val="18"/>
            <w:szCs w:val="18"/>
            <w:u w:val="single" w:color="auto"/>
            <w:color w:val="0000FF"/>
          </w:rPr>
          <w:t>Sixth Amendment to the Amended and Restated Credit and Guaranty Agreement, dated as of December 10, 2018, amending the</w:t>
        </w:r>
      </w:hyperlink>
      <w:r>
        <w:rPr>
          <w:rFonts w:ascii="Arial" w:cs="Arial" w:eastAsia="Arial" w:hAnsi="Arial"/>
          <w:sz w:val="18"/>
          <w:szCs w:val="18"/>
          <w:color w:val="auto"/>
        </w:rPr>
        <w:t xml:space="preserve"> </w:t>
      </w:r>
      <w:hyperlink r:id="rId450">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color w:val="0000FF"/>
        </w:rPr>
      </w:pPr>
      <w:hyperlink r:id="rId450">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50">
        <w:r>
          <w:rPr>
            <w:rFonts w:ascii="Arial" w:cs="Arial" w:eastAsia="Arial" w:hAnsi="Arial"/>
            <w:sz w:val="18"/>
            <w:szCs w:val="18"/>
            <w:u w:val="single" w:color="auto"/>
            <w:color w:val="0000FF"/>
          </w:rPr>
          <w:t>thereto (incorporated by reference to Exhibit 10.9 to AAG’s Annual Report on Form 10-K for the year ended December 31, 2018</w:t>
        </w:r>
      </w:hyperlink>
      <w:r>
        <w:rPr>
          <w:rFonts w:ascii="Arial" w:cs="Arial" w:eastAsia="Arial" w:hAnsi="Arial"/>
          <w:sz w:val="18"/>
          <w:szCs w:val="18"/>
          <w:u w:val="single" w:color="auto"/>
          <w:color w:val="0000FF"/>
        </w:rPr>
        <w:t xml:space="preserve"> </w:t>
      </w:r>
      <w:hyperlink r:id="rId450">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17"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w:t>
      </w:r>
      <w:hyperlink r:id="rId452">
        <w:r>
          <w:rPr>
            <w:rFonts w:ascii="Arial" w:cs="Arial" w:eastAsia="Arial" w:hAnsi="Arial"/>
            <w:sz w:val="18"/>
            <w:szCs w:val="18"/>
            <w:u w:val="single" w:color="auto"/>
            <w:color w:val="0000FF"/>
          </w:rPr>
          <w:t>Seventh Amendment to the Amended and Restated Credit and Guaranty Agreement, dated as of November 8, 2019, amending</w:t>
        </w:r>
      </w:hyperlink>
      <w:r>
        <w:rPr>
          <w:rFonts w:ascii="Arial" w:cs="Arial" w:eastAsia="Arial" w:hAnsi="Arial"/>
          <w:sz w:val="18"/>
          <w:szCs w:val="18"/>
          <w:color w:val="auto"/>
        </w:rPr>
        <w:t xml:space="preserve"> </w:t>
      </w:r>
      <w:hyperlink r:id="rId452">
        <w:r>
          <w:rPr>
            <w:rFonts w:ascii="Arial" w:cs="Arial" w:eastAsia="Arial" w:hAnsi="Arial"/>
            <w:sz w:val="18"/>
            <w:szCs w:val="18"/>
            <w:u w:val="single" w:color="auto"/>
            <w:color w:val="0000FF"/>
          </w:rPr>
          <w:t>the Amended and Restated Credit and Guaranty Agreement, dated as of April 20, 2015, among American Airlines, Inc., American</w:t>
        </w:r>
      </w:hyperlink>
    </w:p>
    <w:p>
      <w:pPr>
        <w:spacing w:after="0" w:line="2" w:lineRule="exact"/>
        <w:rPr>
          <w:sz w:val="20"/>
          <w:szCs w:val="20"/>
          <w:color w:val="auto"/>
        </w:rPr>
      </w:pPr>
    </w:p>
    <w:p>
      <w:pPr>
        <w:jc w:val="both"/>
        <w:ind w:left="920"/>
        <w:spacing w:after="0" w:line="221" w:lineRule="auto"/>
        <w:rPr>
          <w:rFonts w:ascii="Arial" w:cs="Arial" w:eastAsia="Arial" w:hAnsi="Arial"/>
          <w:sz w:val="18"/>
          <w:szCs w:val="18"/>
          <w:color w:val="0000FF"/>
        </w:rPr>
      </w:pPr>
      <w:hyperlink r:id="rId452">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52">
        <w:r>
          <w:rPr>
            <w:rFonts w:ascii="Arial" w:cs="Arial" w:eastAsia="Arial" w:hAnsi="Arial"/>
            <w:sz w:val="18"/>
            <w:szCs w:val="18"/>
            <w:u w:val="single" w:color="auto"/>
            <w:color w:val="0000FF"/>
          </w:rPr>
          <w:t>thereto (incorporated by reference to Exhibit 10.10 to AAG’s Annual Report on Form 10-K for the year ended December 31, 2019</w:t>
        </w:r>
      </w:hyperlink>
      <w:r>
        <w:rPr>
          <w:rFonts w:ascii="Arial" w:cs="Arial" w:eastAsia="Arial" w:hAnsi="Arial"/>
          <w:sz w:val="18"/>
          <w:szCs w:val="18"/>
          <w:u w:val="single" w:color="auto"/>
          <w:color w:val="0000FF"/>
        </w:rPr>
        <w:t xml:space="preserve"> </w:t>
      </w:r>
      <w:hyperlink r:id="rId452">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453">
        <w:r>
          <w:rPr>
            <w:rFonts w:ascii="Arial" w:cs="Arial" w:eastAsia="Arial" w:hAnsi="Arial"/>
            <w:sz w:val="18"/>
            <w:szCs w:val="18"/>
            <w:u w:val="single" w:color="auto"/>
            <w:color w:val="0000FF"/>
          </w:rPr>
          <w:t>First Amendment and Restatement Agreement, dated as of May 21, 2015, in relation to the Credit and Guaranty Agreement,</w:t>
        </w:r>
      </w:hyperlink>
      <w:r>
        <w:rPr>
          <w:rFonts w:ascii="Arial" w:cs="Arial" w:eastAsia="Arial" w:hAnsi="Arial"/>
          <w:sz w:val="18"/>
          <w:szCs w:val="18"/>
          <w:color w:val="auto"/>
        </w:rPr>
        <w:t xml:space="preserve"> </w:t>
      </w:r>
      <w:hyperlink r:id="rId453">
        <w:r>
          <w:rPr>
            <w:rFonts w:ascii="Arial" w:cs="Arial" w:eastAsia="Arial" w:hAnsi="Arial"/>
            <w:sz w:val="18"/>
            <w:szCs w:val="18"/>
            <w:u w:val="single" w:color="auto"/>
            <w:color w:val="0000FF"/>
          </w:rPr>
          <w:t>dated as of June 27, 2013 (as amended), among American Airlines Group Inc. (as successor in interest to US Airways Group,</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53">
        <w:r>
          <w:rPr>
            <w:rFonts w:ascii="Arial" w:cs="Arial" w:eastAsia="Arial" w:hAnsi="Arial"/>
            <w:sz w:val="18"/>
            <w:szCs w:val="18"/>
            <w:u w:val="single" w:color="auto"/>
            <w:color w:val="0000FF"/>
          </w:rPr>
          <w:t>Inc.), American Airlines, Inc. (as successor in interest to US Airways, Inc.), the Revolving Lenders (as defined therein) party</w:t>
        </w:r>
      </w:hyperlink>
      <w:r>
        <w:rPr>
          <w:rFonts w:ascii="Arial" w:cs="Arial" w:eastAsia="Arial" w:hAnsi="Arial"/>
          <w:sz w:val="18"/>
          <w:szCs w:val="18"/>
          <w:u w:val="single" w:color="auto"/>
          <w:color w:val="0000FF"/>
        </w:rPr>
        <w:t xml:space="preserve"> </w:t>
      </w:r>
      <w:hyperlink r:id="rId453">
        <w:r>
          <w:rPr>
            <w:rFonts w:ascii="Arial" w:cs="Arial" w:eastAsia="Arial" w:hAnsi="Arial"/>
            <w:sz w:val="18"/>
            <w:szCs w:val="18"/>
            <w:u w:val="single" w:color="auto"/>
            <w:color w:val="0000FF"/>
          </w:rPr>
          <w:t>thereto, the 2015 Term Loan Lenders (as defined therein) party thereto and Deutsche Bank AG New York Branch, as</w:t>
        </w:r>
      </w:hyperlink>
      <w:r>
        <w:rPr>
          <w:rFonts w:ascii="Arial" w:cs="Arial" w:eastAsia="Arial" w:hAnsi="Arial"/>
          <w:sz w:val="18"/>
          <w:szCs w:val="18"/>
          <w:u w:val="single" w:color="auto"/>
          <w:color w:val="0000FF"/>
        </w:rPr>
        <w:t xml:space="preserve"> </w:t>
      </w:r>
      <w:hyperlink r:id="rId453">
        <w:r>
          <w:rPr>
            <w:rFonts w:ascii="Arial" w:cs="Arial" w:eastAsia="Arial" w:hAnsi="Arial"/>
            <w:sz w:val="18"/>
            <w:szCs w:val="18"/>
            <w:u w:val="single" w:color="auto"/>
            <w:color w:val="0000FF"/>
          </w:rPr>
          <w:t>administrative agent and collateral agent (incorporated by reference to Exhibit 10.5 to AAG’s Quarterly Report on Form 10-Q for</w:t>
        </w:r>
      </w:hyperlink>
    </w:p>
    <w:p>
      <w:pPr>
        <w:spacing w:after="0" w:line="2"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53">
        <w:r>
          <w:rPr>
            <w:rFonts w:ascii="Arial" w:cs="Arial" w:eastAsia="Arial" w:hAnsi="Arial"/>
            <w:sz w:val="18"/>
            <w:szCs w:val="18"/>
            <w:u w:val="single" w:color="auto"/>
            <w:color w:val="0000FF"/>
          </w:rPr>
          <w:t>the quarter ended June 30, 2015 (Commission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10.28     </w:t>
      </w:r>
      <w:hyperlink r:id="rId454">
        <w:r>
          <w:rPr>
            <w:rFonts w:ascii="Arial" w:cs="Arial" w:eastAsia="Arial" w:hAnsi="Arial"/>
            <w:sz w:val="18"/>
            <w:szCs w:val="18"/>
            <w:u w:val="single" w:color="auto"/>
            <w:color w:val="0000FF"/>
          </w:rPr>
          <w:t>First Amendment to Amended and Restated Credit and Guaranty Agreement, dated as of October 26, 2015, amending the</w:t>
        </w:r>
      </w:hyperlink>
      <w:r>
        <w:rPr>
          <w:rFonts w:ascii="Arial" w:cs="Arial" w:eastAsia="Arial" w:hAnsi="Arial"/>
          <w:sz w:val="18"/>
          <w:szCs w:val="18"/>
          <w:color w:val="auto"/>
        </w:rPr>
        <w:t xml:space="preserve"> </w:t>
      </w:r>
      <w:hyperlink r:id="rId454">
        <w:r>
          <w:rPr>
            <w:rFonts w:ascii="Arial" w:cs="Arial" w:eastAsia="Arial" w:hAnsi="Arial"/>
            <w:sz w:val="18"/>
            <w:szCs w:val="18"/>
            <w:u w:val="single" w:color="auto"/>
            <w:color w:val="0000FF"/>
          </w:rPr>
          <w:t>Amended and Restated Credit and Guaranty Agreement, dated as of May 21, 2015, among American Airlines, Inc. (as successor</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54">
        <w:r>
          <w:rPr>
            <w:rFonts w:ascii="Arial" w:cs="Arial" w:eastAsia="Arial" w:hAnsi="Arial"/>
            <w:sz w:val="18"/>
            <w:szCs w:val="18"/>
            <w:u w:val="single" w:color="auto"/>
            <w:color w:val="0000FF"/>
          </w:rPr>
          <w:t>in interest to US Airways, Inc.), American Airlines Group Inc., (as successor in interest to US Airways Group, Inc.), the lenders</w:t>
        </w:r>
      </w:hyperlink>
      <w:r>
        <w:rPr>
          <w:rFonts w:ascii="Arial" w:cs="Arial" w:eastAsia="Arial" w:hAnsi="Arial"/>
          <w:sz w:val="18"/>
          <w:szCs w:val="18"/>
          <w:u w:val="single" w:color="auto"/>
          <w:color w:val="0000FF"/>
        </w:rPr>
        <w:t xml:space="preserve"> </w:t>
      </w:r>
      <w:hyperlink r:id="rId454">
        <w:r>
          <w:rPr>
            <w:rFonts w:ascii="Arial" w:cs="Arial" w:eastAsia="Arial" w:hAnsi="Arial"/>
            <w:sz w:val="18"/>
            <w:szCs w:val="18"/>
            <w:u w:val="single" w:color="auto"/>
            <w:color w:val="0000FF"/>
          </w:rPr>
          <w:t>from time to time party thereto, Deutsche Bank AG New York Branch, as administrative agent, and certain other parties thereto</w:t>
        </w:r>
      </w:hyperlink>
      <w:r>
        <w:rPr>
          <w:rFonts w:ascii="Arial" w:cs="Arial" w:eastAsia="Arial" w:hAnsi="Arial"/>
          <w:sz w:val="18"/>
          <w:szCs w:val="18"/>
          <w:u w:val="single" w:color="auto"/>
          <w:color w:val="0000FF"/>
        </w:rPr>
        <w:t xml:space="preserve"> </w:t>
      </w:r>
      <w:hyperlink r:id="rId454">
        <w:r>
          <w:rPr>
            <w:rFonts w:ascii="Arial" w:cs="Arial" w:eastAsia="Arial" w:hAnsi="Arial"/>
            <w:sz w:val="18"/>
            <w:szCs w:val="18"/>
            <w:u w:val="single" w:color="auto"/>
            <w:color w:val="0000FF"/>
          </w:rPr>
          <w:t>(incorporated by reference to Exhibit 10.8 to AAG’s Annual Report on Form 10-K for the year ended December 31, 2015</w:t>
        </w:r>
      </w:hyperlink>
    </w:p>
    <w:p>
      <w:pPr>
        <w:spacing w:after="0" w:line="2"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54">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10.29     </w:t>
      </w:r>
      <w:hyperlink r:id="rId455">
        <w:r>
          <w:rPr>
            <w:rFonts w:ascii="Arial" w:cs="Arial" w:eastAsia="Arial" w:hAnsi="Arial"/>
            <w:sz w:val="18"/>
            <w:szCs w:val="18"/>
            <w:u w:val="single" w:color="auto"/>
            <w:color w:val="0000FF"/>
          </w:rPr>
          <w:t>Second Amendment to Amended and Restated Credit and Guaranty Agreement, dated as of March 14, 2017, amending the</w:t>
        </w:r>
      </w:hyperlink>
      <w:r>
        <w:rPr>
          <w:rFonts w:ascii="Arial" w:cs="Arial" w:eastAsia="Arial" w:hAnsi="Arial"/>
          <w:sz w:val="18"/>
          <w:szCs w:val="18"/>
          <w:color w:val="auto"/>
        </w:rPr>
        <w:t xml:space="preserve"> </w:t>
      </w:r>
      <w:hyperlink r:id="rId455">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455">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55">
        <w:r>
          <w:rPr>
            <w:rFonts w:ascii="Arial" w:cs="Arial" w:eastAsia="Arial" w:hAnsi="Arial"/>
            <w:sz w:val="18"/>
            <w:szCs w:val="18"/>
            <w:u w:val="single" w:color="auto"/>
            <w:color w:val="0000FF"/>
          </w:rPr>
          <w:t>and certain other parties thereto (incorporated by reference to Exhibit 10.2 to AAG’s Quarterly Report on Form 10-Q for the</w:t>
        </w:r>
      </w:hyperlink>
      <w:r>
        <w:rPr>
          <w:rFonts w:ascii="Arial" w:cs="Arial" w:eastAsia="Arial" w:hAnsi="Arial"/>
          <w:sz w:val="18"/>
          <w:szCs w:val="18"/>
          <w:u w:val="single" w:color="auto"/>
          <w:color w:val="0000FF"/>
        </w:rPr>
        <w:t xml:space="preserve"> </w:t>
      </w:r>
      <w:hyperlink r:id="rId455">
        <w:r>
          <w:rPr>
            <w:rFonts w:ascii="Arial" w:cs="Arial" w:eastAsia="Arial" w:hAnsi="Arial"/>
            <w:sz w:val="18"/>
            <w:szCs w:val="18"/>
            <w:u w:val="single" w:color="auto"/>
            <w:color w:val="0000FF"/>
          </w:rPr>
          <w:t>quarter ended March 31, 2017 (Commission File No. 1-8400)).</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456">
        <w:r>
          <w:rPr>
            <w:rFonts w:ascii="Arial" w:cs="Arial" w:eastAsia="Arial" w:hAnsi="Arial"/>
            <w:sz w:val="18"/>
            <w:szCs w:val="18"/>
            <w:u w:val="single" w:color="auto"/>
            <w:color w:val="0000FF"/>
          </w:rPr>
          <w:t>Third Amendment to the Amended and Restated Credit And Guaranty Agreement, dated as of August 21, 2017, amending the</w:t>
        </w:r>
      </w:hyperlink>
      <w:r>
        <w:rPr>
          <w:rFonts w:ascii="Arial" w:cs="Arial" w:eastAsia="Arial" w:hAnsi="Arial"/>
          <w:sz w:val="18"/>
          <w:szCs w:val="18"/>
          <w:color w:val="auto"/>
        </w:rPr>
        <w:t xml:space="preserve"> </w:t>
      </w:r>
      <w:hyperlink r:id="rId456">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color w:val="0000FF"/>
        </w:rPr>
      </w:pPr>
      <w:hyperlink r:id="rId456">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56">
        <w:r>
          <w:rPr>
            <w:rFonts w:ascii="Arial" w:cs="Arial" w:eastAsia="Arial" w:hAnsi="Arial"/>
            <w:sz w:val="18"/>
            <w:szCs w:val="18"/>
            <w:u w:val="single" w:color="auto"/>
            <w:color w:val="0000FF"/>
          </w:rPr>
          <w:t>and certain other parties thereto (incorporated by reference to Exhibit 10.11 to AAG’s Annual Report on Form 10-K for the year</w:t>
        </w:r>
      </w:hyperlink>
      <w:r>
        <w:rPr>
          <w:rFonts w:ascii="Arial" w:cs="Arial" w:eastAsia="Arial" w:hAnsi="Arial"/>
          <w:sz w:val="18"/>
          <w:szCs w:val="18"/>
          <w:u w:val="single" w:color="auto"/>
          <w:color w:val="0000FF"/>
        </w:rPr>
        <w:t xml:space="preserve"> </w:t>
      </w:r>
      <w:hyperlink r:id="rId456">
        <w:r>
          <w:rPr>
            <w:rFonts w:ascii="Arial" w:cs="Arial" w:eastAsia="Arial" w:hAnsi="Arial"/>
            <w:sz w:val="18"/>
            <w:szCs w:val="18"/>
            <w:u w:val="single" w:color="auto"/>
            <w:color w:val="0000FF"/>
          </w:rPr>
          <w:t>ended December 31, 2017 (Commission File No. 1-8400)).</w:t>
        </w:r>
        <w:r>
          <w:rPr>
            <w:rFonts w:ascii="Arial" w:cs="Arial" w:eastAsia="Arial" w:hAnsi="Arial"/>
            <w:sz w:val="18"/>
            <w:szCs w:val="18"/>
            <w:color w:val="000000"/>
          </w:rPr>
          <w:t>*</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457">
        <w:r>
          <w:rPr>
            <w:rFonts w:ascii="Arial" w:cs="Arial" w:eastAsia="Arial" w:hAnsi="Arial"/>
            <w:sz w:val="18"/>
            <w:szCs w:val="18"/>
            <w:u w:val="single" w:color="auto"/>
            <w:color w:val="0000FF"/>
          </w:rPr>
          <w:t>Fourth Amendment to Amended and Restated Credit and Guaranty Agreement, dated as of May 15, 2018, amending the</w:t>
        </w:r>
      </w:hyperlink>
      <w:r>
        <w:rPr>
          <w:rFonts w:ascii="Arial" w:cs="Arial" w:eastAsia="Arial" w:hAnsi="Arial"/>
          <w:sz w:val="18"/>
          <w:szCs w:val="18"/>
          <w:color w:val="auto"/>
        </w:rPr>
        <w:t xml:space="preserve"> </w:t>
      </w:r>
      <w:hyperlink r:id="rId457">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u w:val="single" w:color="auto"/>
          <w:color w:val="0000FF"/>
        </w:rPr>
      </w:pPr>
      <w:hyperlink r:id="rId457">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57">
        <w:r>
          <w:rPr>
            <w:rFonts w:ascii="Arial" w:cs="Arial" w:eastAsia="Arial" w:hAnsi="Arial"/>
            <w:sz w:val="18"/>
            <w:szCs w:val="18"/>
            <w:u w:val="single" w:color="auto"/>
            <w:color w:val="0000FF"/>
          </w:rPr>
          <w:t>and Barclays Bank PLC, as designated replacement term lender (incorporated by reference to Exhibit 10.3 to AAG’s Quarterly</w:t>
        </w:r>
      </w:hyperlink>
      <w:r>
        <w:rPr>
          <w:rFonts w:ascii="Arial" w:cs="Arial" w:eastAsia="Arial" w:hAnsi="Arial"/>
          <w:sz w:val="18"/>
          <w:szCs w:val="18"/>
          <w:u w:val="single" w:color="auto"/>
          <w:color w:val="0000FF"/>
        </w:rPr>
        <w:t xml:space="preserve"> </w:t>
      </w:r>
      <w:hyperlink r:id="rId457">
        <w:r>
          <w:rPr>
            <w:rFonts w:ascii="Arial" w:cs="Arial" w:eastAsia="Arial" w:hAnsi="Arial"/>
            <w:sz w:val="18"/>
            <w:szCs w:val="18"/>
            <w:u w:val="single" w:color="auto"/>
            <w:color w:val="0000FF"/>
          </w:rPr>
          <w:t>Report on Form 10-Q for the quarter ended June 30, 2018 (Commission File No. 1-8400)).</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458">
        <w:r>
          <w:rPr>
            <w:rFonts w:ascii="Arial" w:cs="Arial" w:eastAsia="Arial" w:hAnsi="Arial"/>
            <w:sz w:val="18"/>
            <w:szCs w:val="18"/>
            <w:u w:val="single" w:color="auto"/>
            <w:color w:val="0000FF"/>
          </w:rPr>
          <w:t>Fifth Amendment to Amended and Restated Credit and Guaranty Agreement, dated as of December 10, 2018, amending the</w:t>
        </w:r>
      </w:hyperlink>
      <w:r>
        <w:rPr>
          <w:rFonts w:ascii="Arial" w:cs="Arial" w:eastAsia="Arial" w:hAnsi="Arial"/>
          <w:sz w:val="18"/>
          <w:szCs w:val="18"/>
          <w:color w:val="auto"/>
        </w:rPr>
        <w:t xml:space="preserve"> </w:t>
      </w:r>
      <w:hyperlink r:id="rId458">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color w:val="0000FF"/>
        </w:rPr>
      </w:pPr>
      <w:hyperlink r:id="rId458">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and Barclays Bank PLC, as designated replacement term lender (incorporated by reference to Exhibit 10.15 to AAG’s Annual</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Report on Form 10-K for the year ended December 31, 2018 (Commission File No. 1-8400)).</w:t>
        </w:r>
        <w:r>
          <w:rPr>
            <w:rFonts w:ascii="Arial" w:cs="Arial" w:eastAsia="Arial" w:hAnsi="Arial"/>
            <w:sz w:val="18"/>
            <w:szCs w:val="18"/>
            <w:color w:val="000000"/>
          </w:rPr>
          <w:t>**</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10.33     </w:t>
      </w:r>
      <w:hyperlink r:id="rId459">
        <w:r>
          <w:rPr>
            <w:rFonts w:ascii="Arial" w:cs="Arial" w:eastAsia="Arial" w:hAnsi="Arial"/>
            <w:sz w:val="18"/>
            <w:szCs w:val="18"/>
            <w:u w:val="single" w:color="auto"/>
            <w:color w:val="0000FF"/>
          </w:rPr>
          <w:t>Sixth Amendment to Amended and Restated Credit and Guaranty Agreement, dated as of November 8, 2019, amending the</w:t>
        </w:r>
      </w:hyperlink>
      <w:r>
        <w:rPr>
          <w:rFonts w:ascii="Arial" w:cs="Arial" w:eastAsia="Arial" w:hAnsi="Arial"/>
          <w:sz w:val="18"/>
          <w:szCs w:val="18"/>
          <w:color w:val="auto"/>
        </w:rPr>
        <w:t xml:space="preserve"> </w:t>
      </w:r>
      <w:hyperlink r:id="rId459">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1" w:lineRule="auto"/>
        <w:rPr>
          <w:rFonts w:ascii="Arial" w:cs="Arial" w:eastAsia="Arial" w:hAnsi="Arial"/>
          <w:sz w:val="18"/>
          <w:szCs w:val="18"/>
          <w:color w:val="0000FF"/>
        </w:rPr>
      </w:pPr>
      <w:hyperlink r:id="rId459">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59">
        <w:r>
          <w:rPr>
            <w:rFonts w:ascii="Arial" w:cs="Arial" w:eastAsia="Arial" w:hAnsi="Arial"/>
            <w:sz w:val="18"/>
            <w:szCs w:val="18"/>
            <w:u w:val="single" w:color="auto"/>
            <w:color w:val="0000FF"/>
          </w:rPr>
          <w:t>and Barclays Bank PLC, as designated replacement term lender (incorporated by reference to Exhibit 10.17 to AGG’s Annual</w:t>
        </w:r>
      </w:hyperlink>
      <w:r>
        <w:rPr>
          <w:rFonts w:ascii="Arial" w:cs="Arial" w:eastAsia="Arial" w:hAnsi="Arial"/>
          <w:sz w:val="18"/>
          <w:szCs w:val="18"/>
          <w:u w:val="single" w:color="auto"/>
          <w:color w:val="0000FF"/>
        </w:rPr>
        <w:t xml:space="preserve"> </w:t>
      </w:r>
      <w:hyperlink r:id="rId459">
        <w:r>
          <w:rPr>
            <w:rFonts w:ascii="Arial" w:cs="Arial" w:eastAsia="Arial" w:hAnsi="Arial"/>
            <w:sz w:val="18"/>
            <w:szCs w:val="18"/>
            <w:u w:val="single" w:color="auto"/>
            <w:color w:val="0000FF"/>
          </w:rPr>
          <w:t>Report on Form 10-K for the year ended December 31, 2019 (Commission File No. 1-8400)).</w:t>
        </w:r>
        <w:r>
          <w:rPr>
            <w:rFonts w:ascii="Arial" w:cs="Arial" w:eastAsia="Arial" w:hAnsi="Arial"/>
            <w:sz w:val="18"/>
            <w:szCs w:val="18"/>
            <w:color w:val="000000"/>
          </w:rPr>
          <w:t>**</w:t>
        </w:r>
      </w:hyperlink>
    </w:p>
    <w:p>
      <w:pPr>
        <w:spacing w:after="0" w:line="4"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10.34     </w:t>
      </w:r>
      <w:hyperlink r:id="rId460">
        <w:r>
          <w:rPr>
            <w:rFonts w:ascii="Arial" w:cs="Arial" w:eastAsia="Arial" w:hAnsi="Arial"/>
            <w:sz w:val="18"/>
            <w:szCs w:val="18"/>
            <w:u w:val="single" w:color="auto"/>
            <w:color w:val="0000FF"/>
          </w:rPr>
          <w:t>Credit and Guaranty Agreement, dated as of April 29, 2016, among American Airlines, Inc. as borrower, American Airlines Group</w:t>
        </w:r>
      </w:hyperlink>
      <w:r>
        <w:rPr>
          <w:rFonts w:ascii="Arial" w:cs="Arial" w:eastAsia="Arial" w:hAnsi="Arial"/>
          <w:sz w:val="18"/>
          <w:szCs w:val="18"/>
          <w:color w:val="auto"/>
        </w:rPr>
        <w:t xml:space="preserve"> </w:t>
      </w:r>
      <w:hyperlink r:id="rId460">
        <w:r>
          <w:rPr>
            <w:rFonts w:ascii="Arial" w:cs="Arial" w:eastAsia="Arial" w:hAnsi="Arial"/>
            <w:sz w:val="18"/>
            <w:szCs w:val="18"/>
            <w:u w:val="single" w:color="auto"/>
            <w:color w:val="0000FF"/>
          </w:rPr>
          <w:t>Inc., as parent and guarantor, certain other subsidiaries of American Airlines Group Inc., as guarantors, the lenders party thereto,</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60">
        <w:r>
          <w:rPr>
            <w:rFonts w:ascii="Arial" w:cs="Arial" w:eastAsia="Arial" w:hAnsi="Arial"/>
            <w:sz w:val="18"/>
            <w:szCs w:val="18"/>
            <w:u w:val="single" w:color="auto"/>
            <w:color w:val="0000FF"/>
          </w:rPr>
          <w:t>Barclays Bank PLC, as administrative agent and collateral agent, and certain other parties thereto (incorporated by reference to</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Exhibit 10.2 to AAG’s Quarterly Report on Form 10-Q filed on July 22, 2016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10.35     </w:t>
      </w:r>
      <w:hyperlink r:id="rId461">
        <w:r>
          <w:rPr>
            <w:rFonts w:ascii="Arial" w:cs="Arial" w:eastAsia="Arial" w:hAnsi="Arial"/>
            <w:sz w:val="18"/>
            <w:szCs w:val="18"/>
            <w:u w:val="single" w:color="auto"/>
            <w:color w:val="0000FF"/>
          </w:rPr>
          <w:t>First Amendment to Credit and Guaranty Agreement, dated as of October 31, 2016, amending the Credit and Guaranty</w:t>
        </w:r>
      </w:hyperlink>
      <w:r>
        <w:rPr>
          <w:rFonts w:ascii="Arial" w:cs="Arial" w:eastAsia="Arial" w:hAnsi="Arial"/>
          <w:sz w:val="18"/>
          <w:szCs w:val="18"/>
          <w:color w:val="auto"/>
        </w:rPr>
        <w:t xml:space="preserve"> </w:t>
      </w:r>
      <w:hyperlink r:id="rId461">
        <w:r>
          <w:rPr>
            <w:rFonts w:ascii="Arial" w:cs="Arial" w:eastAsia="Arial" w:hAnsi="Arial"/>
            <w:sz w:val="18"/>
            <w:szCs w:val="18"/>
            <w:u w:val="single" w:color="auto"/>
            <w:color w:val="0000FF"/>
          </w:rPr>
          <w:t>Agreement, dated as of April 29, 2016, among American Airlines, Inc. as borrower, American Airlines Group Inc., as parent and</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61">
        <w:r>
          <w:rPr>
            <w:rFonts w:ascii="Arial" w:cs="Arial" w:eastAsia="Arial" w:hAnsi="Arial"/>
            <w:sz w:val="18"/>
            <w:szCs w:val="18"/>
            <w:u w:val="single" w:color="auto"/>
            <w:color w:val="0000FF"/>
          </w:rPr>
          <w:t>guarantor, the lenders party thereto, Barclays Bank PLC, as administrative agent (incorporated by reference to Exhibit 10.81 to</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AAG’s Annual Report on Form 10-K for the year ended December 31, 2016 (Commission File No. 1-8400)).</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10.36</w:t>
      </w:r>
      <w:r>
        <w:rPr>
          <w:sz w:val="20"/>
          <w:szCs w:val="20"/>
          <w:color w:val="auto"/>
        </w:rPr>
        <w:tab/>
      </w:r>
      <w:hyperlink r:id="rId463">
        <w:r>
          <w:rPr>
            <w:rFonts w:ascii="Arial" w:cs="Arial" w:eastAsia="Arial" w:hAnsi="Arial"/>
            <w:sz w:val="18"/>
            <w:szCs w:val="18"/>
            <w:u w:val="single" w:color="auto"/>
            <w:color w:val="0000FF"/>
          </w:rPr>
          <w:t>Second Amendment to the Credit and Guaranty Agreement, dated as of August 21, 2017, amending the Credit and Guaranty</w:t>
        </w:r>
      </w:hyperlink>
      <w:r>
        <w:rPr>
          <w:rFonts w:ascii="Arial" w:cs="Arial" w:eastAsia="Arial" w:hAnsi="Arial"/>
          <w:sz w:val="18"/>
          <w:szCs w:val="18"/>
          <w:u w:val="single" w:color="auto"/>
          <w:color w:val="0000FF"/>
        </w:rPr>
        <w:t xml:space="preserve"> </w:t>
      </w:r>
      <w:hyperlink r:id="rId463">
        <w:r>
          <w:rPr>
            <w:rFonts w:ascii="Arial" w:cs="Arial" w:eastAsia="Arial" w:hAnsi="Arial"/>
            <w:sz w:val="18"/>
            <w:szCs w:val="18"/>
            <w:u w:val="single" w:color="auto"/>
            <w:color w:val="0000FF"/>
          </w:rPr>
          <w:t>Agreement, dated as of April 29, 2016, among American Airlines, Inc., American Airlines Group Inc., the lenders from time to time</w:t>
        </w:r>
      </w:hyperlink>
      <w:r>
        <w:rPr>
          <w:rFonts w:ascii="Arial" w:cs="Arial" w:eastAsia="Arial" w:hAnsi="Arial"/>
          <w:sz w:val="18"/>
          <w:szCs w:val="18"/>
          <w:u w:val="single" w:color="auto"/>
          <w:color w:val="0000FF"/>
        </w:rPr>
        <w:t xml:space="preserve"> </w:t>
      </w:r>
      <w:hyperlink r:id="rId463">
        <w:r>
          <w:rPr>
            <w:rFonts w:ascii="Arial" w:cs="Arial" w:eastAsia="Arial" w:hAnsi="Arial"/>
            <w:sz w:val="18"/>
            <w:szCs w:val="18"/>
            <w:u w:val="single" w:color="auto"/>
            <w:color w:val="0000FF"/>
          </w:rPr>
          <w:t>party thereto, Barclays Bank PLC, as administrative agent, and certain other parties thereto (incorporated by reference to Exhibit</w:t>
        </w:r>
      </w:hyperlink>
      <w:r>
        <w:rPr>
          <w:rFonts w:ascii="Arial" w:cs="Arial" w:eastAsia="Arial" w:hAnsi="Arial"/>
          <w:sz w:val="18"/>
          <w:szCs w:val="18"/>
          <w:u w:val="single" w:color="auto"/>
          <w:color w:val="0000FF"/>
        </w:rPr>
        <w:t xml:space="preserve"> </w:t>
      </w:r>
      <w:hyperlink r:id="rId463">
        <w:r>
          <w:rPr>
            <w:rFonts w:ascii="Arial" w:cs="Arial" w:eastAsia="Arial" w:hAnsi="Arial"/>
            <w:sz w:val="18"/>
            <w:szCs w:val="18"/>
            <w:u w:val="single" w:color="auto"/>
            <w:color w:val="0000FF"/>
          </w:rPr>
          <w:t>10.15 to AAG’s Annual Report on Form 10-K for the year ended December 31, 2017 (Commission File No. 1-8400)).</w:t>
        </w:r>
        <w:r>
          <w:rPr>
            <w:rFonts w:ascii="Arial" w:cs="Arial" w:eastAsia="Arial" w:hAnsi="Arial"/>
            <w:sz w:val="18"/>
            <w:szCs w:val="18"/>
            <w:color w:val="000000"/>
          </w:rPr>
          <w:t>*</w:t>
        </w:r>
      </w:hyperlink>
    </w:p>
    <w:p>
      <w:pPr>
        <w:spacing w:after="0" w:line="19"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464">
        <w:r>
          <w:rPr>
            <w:rFonts w:ascii="Arial" w:cs="Arial" w:eastAsia="Arial" w:hAnsi="Arial"/>
            <w:sz w:val="18"/>
            <w:szCs w:val="18"/>
            <w:u w:val="single" w:color="auto"/>
            <w:color w:val="0000FF"/>
          </w:rPr>
          <w:t>Third Amendment to Credit and Guaranty Agreement, dated as of November 1, 2017, amending the Credit and Guaranty</w:t>
        </w:r>
      </w:hyperlink>
      <w:r>
        <w:rPr>
          <w:rFonts w:ascii="Arial" w:cs="Arial" w:eastAsia="Arial" w:hAnsi="Arial"/>
          <w:sz w:val="18"/>
          <w:szCs w:val="18"/>
          <w:u w:val="single" w:color="auto"/>
          <w:color w:val="0000FF"/>
        </w:rPr>
        <w:t xml:space="preserve"> </w:t>
      </w:r>
      <w:hyperlink r:id="rId464">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64">
        <w:r>
          <w:rPr>
            <w:rFonts w:ascii="Arial" w:cs="Arial" w:eastAsia="Arial" w:hAnsi="Arial"/>
            <w:sz w:val="18"/>
            <w:szCs w:val="18"/>
            <w:u w:val="single" w:color="auto"/>
            <w:color w:val="0000FF"/>
          </w:rPr>
          <w:t>guarantor, the lenders party thereto, Barclays Bank PLC, as administrative agent (incorporated by reference to Exhibit 10.16 to</w:t>
        </w:r>
      </w:hyperlink>
      <w:r>
        <w:rPr>
          <w:rFonts w:ascii="Arial" w:cs="Arial" w:eastAsia="Arial" w:hAnsi="Arial"/>
          <w:sz w:val="18"/>
          <w:szCs w:val="18"/>
          <w:u w:val="single" w:color="auto"/>
          <w:color w:val="0000FF"/>
        </w:rPr>
        <w:t xml:space="preserve"> </w:t>
      </w:r>
      <w:hyperlink r:id="rId464">
        <w:r>
          <w:rPr>
            <w:rFonts w:ascii="Arial" w:cs="Arial" w:eastAsia="Arial" w:hAnsi="Arial"/>
            <w:sz w:val="18"/>
            <w:szCs w:val="18"/>
            <w:u w:val="single" w:color="auto"/>
            <w:color w:val="0000FF"/>
          </w:rPr>
          <w:t>AAG’s Annual Report on Form 10-K for the year ended December 31, 2017 (Commission File No. 1-8400)).</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10.38</w:t>
      </w:r>
      <w:r>
        <w:rPr>
          <w:sz w:val="20"/>
          <w:szCs w:val="20"/>
          <w:color w:val="auto"/>
        </w:rPr>
        <w:tab/>
      </w:r>
      <w:hyperlink r:id="rId465">
        <w:r>
          <w:rPr>
            <w:rFonts w:ascii="Arial" w:cs="Arial" w:eastAsia="Arial" w:hAnsi="Arial"/>
            <w:sz w:val="18"/>
            <w:szCs w:val="18"/>
            <w:u w:val="single" w:color="auto"/>
            <w:color w:val="0000FF"/>
          </w:rPr>
          <w:t>Fourth Amendment to Credit and Guaranty Agreement, dated as of December 10, 2018, amending the Credit and Guaranty</w:t>
        </w:r>
      </w:hyperlink>
      <w:r>
        <w:rPr>
          <w:rFonts w:ascii="Arial" w:cs="Arial" w:eastAsia="Arial" w:hAnsi="Arial"/>
          <w:sz w:val="18"/>
          <w:szCs w:val="18"/>
          <w:u w:val="single" w:color="auto"/>
          <w:color w:val="0000FF"/>
        </w:rPr>
        <w:t xml:space="preserve"> </w:t>
      </w:r>
      <w:hyperlink r:id="rId465">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65">
        <w:r>
          <w:rPr>
            <w:rFonts w:ascii="Arial" w:cs="Arial" w:eastAsia="Arial" w:hAnsi="Arial"/>
            <w:sz w:val="18"/>
            <w:szCs w:val="18"/>
            <w:u w:val="single" w:color="auto"/>
            <w:color w:val="0000FF"/>
          </w:rPr>
          <w:t>guarantor, the lenders party thereto, Barclays Bank PLC, as administrative agent (incorporated by reference to Exhibit 10.20 to</w:t>
        </w:r>
      </w:hyperlink>
      <w:r>
        <w:rPr>
          <w:rFonts w:ascii="Arial" w:cs="Arial" w:eastAsia="Arial" w:hAnsi="Arial"/>
          <w:sz w:val="18"/>
          <w:szCs w:val="18"/>
          <w:u w:val="single" w:color="auto"/>
          <w:color w:val="0000FF"/>
        </w:rPr>
        <w:t xml:space="preserve"> </w:t>
      </w:r>
      <w:hyperlink r:id="rId465">
        <w:r>
          <w:rPr>
            <w:rFonts w:ascii="Arial" w:cs="Arial" w:eastAsia="Arial" w:hAnsi="Arial"/>
            <w:sz w:val="18"/>
            <w:szCs w:val="18"/>
            <w:u w:val="single" w:color="auto"/>
            <w:color w:val="0000FF"/>
          </w:rPr>
          <w:t>AAG’s Annual Report on Form 10-K for the year ended December 31, 2018 (Commission File No. 1-8400)).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10.39</w:t>
      </w:r>
      <w:r>
        <w:rPr>
          <w:sz w:val="20"/>
          <w:szCs w:val="20"/>
          <w:color w:val="auto"/>
        </w:rPr>
        <w:tab/>
      </w:r>
      <w:hyperlink r:id="rId466">
        <w:r>
          <w:rPr>
            <w:rFonts w:ascii="Arial" w:cs="Arial" w:eastAsia="Arial" w:hAnsi="Arial"/>
            <w:sz w:val="18"/>
            <w:szCs w:val="18"/>
            <w:u w:val="single" w:color="auto"/>
            <w:color w:val="0000FF"/>
          </w:rPr>
          <w:t>Fifth Amendment to Credit and Guaranty Agreement, dated as of November 8, 2019, amending the Credit and Guaranty</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guarantor, the lenders party thereto, Barclays Bank PLC, as administrative agent (incorporated by reference to Exhibit 10.32 to</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AAG’s Annual Report on Form 10-K for the year ended December 31, 2019 (Commission File No. 1-8400)).</w:t>
        </w:r>
        <w:r>
          <w:rPr>
            <w:rFonts w:ascii="Arial" w:cs="Arial" w:eastAsia="Arial" w:hAnsi="Arial"/>
            <w:sz w:val="18"/>
            <w:szCs w:val="18"/>
            <w:color w:val="0000FF"/>
          </w:rPr>
          <w:t xml:space="preserve"> </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10.40</w:t>
      </w:r>
      <w:r>
        <w:rPr>
          <w:sz w:val="20"/>
          <w:szCs w:val="20"/>
          <w:color w:val="auto"/>
        </w:rPr>
        <w:tab/>
      </w:r>
      <w:hyperlink r:id="rId467">
        <w:r>
          <w:rPr>
            <w:rFonts w:ascii="Arial" w:cs="Arial" w:eastAsia="Arial" w:hAnsi="Arial"/>
            <w:sz w:val="18"/>
            <w:szCs w:val="18"/>
            <w:u w:val="single" w:color="auto"/>
            <w:color w:val="0000FF"/>
          </w:rPr>
          <w:t>Purchase Agreement No. 3219, dated as of October 15, 2008, between American Airlines, Inc. and The Boeing Company</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(incorporated by reference to Exhibit 10.38 to AAG’s Annual Report on Form 10-K for the year ended December 31, 2021</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10.41</w:t>
      </w:r>
      <w:r>
        <w:rPr>
          <w:sz w:val="20"/>
          <w:szCs w:val="20"/>
          <w:color w:val="auto"/>
        </w:rPr>
        <w:tab/>
      </w:r>
      <w:hyperlink r:id="rId468">
        <w:r>
          <w:rPr>
            <w:rFonts w:ascii="Arial" w:cs="Arial" w:eastAsia="Arial" w:hAnsi="Arial"/>
            <w:sz w:val="18"/>
            <w:szCs w:val="18"/>
            <w:u w:val="single" w:color="auto"/>
            <w:color w:val="0000FF"/>
          </w:rPr>
          <w:t>Supplemental Agreement No. 2, dated as of July 21, 2010, to Purchase Agreement No. 3219 between American Airlines, Inc.</w:t>
        </w:r>
      </w:hyperlink>
      <w:r>
        <w:rPr>
          <w:rFonts w:ascii="Arial" w:cs="Arial" w:eastAsia="Arial" w:hAnsi="Arial"/>
          <w:sz w:val="18"/>
          <w:szCs w:val="18"/>
          <w:u w:val="single" w:color="auto"/>
          <w:color w:val="0000FF"/>
        </w:rPr>
        <w:t xml:space="preserve"> </w:t>
      </w:r>
      <w:hyperlink r:id="rId468">
        <w:r>
          <w:rPr>
            <w:rFonts w:ascii="Arial" w:cs="Arial" w:eastAsia="Arial" w:hAnsi="Arial"/>
            <w:sz w:val="18"/>
            <w:szCs w:val="18"/>
            <w:u w:val="single" w:color="auto"/>
            <w:color w:val="0000FF"/>
          </w:rPr>
          <w:t>and The Boeing Company (incorporated by reference to Exhibit 10.39 to AAG’s Annual Report on Form 10-K for the year ended</w:t>
        </w:r>
      </w:hyperlink>
      <w:r>
        <w:rPr>
          <w:rFonts w:ascii="Arial" w:cs="Arial" w:eastAsia="Arial" w:hAnsi="Arial"/>
          <w:sz w:val="18"/>
          <w:szCs w:val="18"/>
          <w:u w:val="single" w:color="auto"/>
          <w:color w:val="0000FF"/>
        </w:rPr>
        <w:t xml:space="preserve"> </w:t>
      </w:r>
      <w:hyperlink r:id="rId468">
        <w:r>
          <w:rPr>
            <w:rFonts w:ascii="Arial" w:cs="Arial" w:eastAsia="Arial" w:hAnsi="Arial"/>
            <w:sz w:val="18"/>
            <w:szCs w:val="18"/>
            <w:u w:val="single" w:color="auto"/>
            <w:color w:val="0000FF"/>
          </w:rPr>
          <w:t>December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10.42</w:t>
      </w:r>
      <w:r>
        <w:rPr>
          <w:sz w:val="20"/>
          <w:szCs w:val="20"/>
          <w:color w:val="auto"/>
        </w:rPr>
        <w:tab/>
      </w:r>
      <w:hyperlink r:id="rId469">
        <w:r>
          <w:rPr>
            <w:rFonts w:ascii="Arial" w:cs="Arial" w:eastAsia="Arial" w:hAnsi="Arial"/>
            <w:sz w:val="18"/>
            <w:szCs w:val="18"/>
            <w:u w:val="single" w:color="auto"/>
            <w:color w:val="0000FF"/>
          </w:rPr>
          <w:t>Supplemental Agreement No. 3, dated as of February 1, 2013, to Purchase Agreement No. 3219 between American Airlines,</w:t>
        </w:r>
      </w:hyperlink>
      <w:r>
        <w:rPr>
          <w:rFonts w:ascii="Arial" w:cs="Arial" w:eastAsia="Arial" w:hAnsi="Arial"/>
          <w:sz w:val="18"/>
          <w:szCs w:val="18"/>
          <w:u w:val="single" w:color="auto"/>
          <w:color w:val="0000FF"/>
        </w:rPr>
        <w:t xml:space="preserve"> </w:t>
      </w:r>
      <w:hyperlink r:id="rId469">
        <w:r>
          <w:rPr>
            <w:rFonts w:ascii="Arial" w:cs="Arial" w:eastAsia="Arial" w:hAnsi="Arial"/>
            <w:sz w:val="18"/>
            <w:szCs w:val="18"/>
            <w:u w:val="single" w:color="auto"/>
            <w:color w:val="0000FF"/>
          </w:rPr>
          <w:t>Inc., and The Boeing Company (incorporated by reference to Exhibit 10.40 to AAG’s Annual Report on Form 10-K for the year</w:t>
        </w:r>
      </w:hyperlink>
      <w:r>
        <w:rPr>
          <w:rFonts w:ascii="Arial" w:cs="Arial" w:eastAsia="Arial" w:hAnsi="Arial"/>
          <w:sz w:val="18"/>
          <w:szCs w:val="18"/>
          <w:u w:val="single" w:color="auto"/>
          <w:color w:val="0000FF"/>
        </w:rPr>
        <w:t xml:space="preserve"> </w:t>
      </w:r>
      <w:hyperlink r:id="rId469">
        <w:r>
          <w:rPr>
            <w:rFonts w:ascii="Arial" w:cs="Arial" w:eastAsia="Arial" w:hAnsi="Arial"/>
            <w:sz w:val="18"/>
            <w:szCs w:val="18"/>
            <w:u w:val="single" w:color="auto"/>
            <w:color w:val="0000FF"/>
          </w:rPr>
          <w:t>ended December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10.43</w:t>
      </w:r>
      <w:r>
        <w:rPr>
          <w:sz w:val="20"/>
          <w:szCs w:val="20"/>
          <w:color w:val="auto"/>
        </w:rPr>
        <w:tab/>
      </w:r>
      <w:hyperlink r:id="rId470">
        <w:r>
          <w:rPr>
            <w:rFonts w:ascii="Arial" w:cs="Arial" w:eastAsia="Arial" w:hAnsi="Arial"/>
            <w:sz w:val="18"/>
            <w:szCs w:val="18"/>
            <w:u w:val="single" w:color="auto"/>
            <w:color w:val="0000FF"/>
          </w:rPr>
          <w:t>Supplemental Agreement No. 4, dated as of June 9, 2014, to Purchase Agreement No. 3219 between The Boeing Company and</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American Airlines, Inc. dated as of October 15, 2008, relating to Boeing Model 787 Aircraft, as amended, restated, amended and</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restated, supplemented or otherwise modified (incorporated by reference to Exhibit 10.41 to AAG’s Annual Report on Form 10-K</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for the year ended December 31, 2021 (Commission File No. 1-8400)).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10.44</w:t>
      </w:r>
      <w:r>
        <w:rPr>
          <w:sz w:val="20"/>
          <w:szCs w:val="20"/>
          <w:color w:val="auto"/>
        </w:rPr>
        <w:tab/>
      </w:r>
      <w:hyperlink r:id="rId471">
        <w:r>
          <w:rPr>
            <w:rFonts w:ascii="Arial" w:cs="Arial" w:eastAsia="Arial" w:hAnsi="Arial"/>
            <w:sz w:val="18"/>
            <w:szCs w:val="18"/>
            <w:u w:val="single" w:color="auto"/>
            <w:color w:val="0000FF"/>
          </w:rPr>
          <w:t>Supplemental Agreement No. 5, dated as of January 20, 2015, to Purchase Agreement No. 3219 between The Boeing Company</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and American Airlines, Inc., dated as of October 15, 2008, relating to Boeing Model 787 Aircraft, as amended, restated, amended</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and restated, supplemented or otherwise modified (incorporated by reference to Exhibit 10.42 to AAG’s Annual Report on Form</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10-K for the year ended December 31, 2021 (Commission File No. 1-8400)).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10.45</w:t>
      </w:r>
      <w:r>
        <w:rPr>
          <w:sz w:val="20"/>
          <w:szCs w:val="20"/>
          <w:color w:val="auto"/>
        </w:rPr>
        <w:tab/>
      </w:r>
      <w:hyperlink r:id="rId472">
        <w:r>
          <w:rPr>
            <w:rFonts w:ascii="Arial" w:cs="Arial" w:eastAsia="Arial" w:hAnsi="Arial"/>
            <w:sz w:val="18"/>
            <w:szCs w:val="18"/>
            <w:u w:val="single" w:color="auto"/>
            <w:color w:val="0000FF"/>
          </w:rPr>
          <w:t>Supplemental Agreement No. 6, dated as of April 21, 2015, to Purchase Agreement No. 3219 between American Airlines, Inc.</w:t>
        </w:r>
      </w:hyperlink>
      <w:r>
        <w:rPr>
          <w:rFonts w:ascii="Arial" w:cs="Arial" w:eastAsia="Arial" w:hAnsi="Arial"/>
          <w:sz w:val="18"/>
          <w:szCs w:val="18"/>
          <w:u w:val="single" w:color="auto"/>
          <w:color w:val="0000FF"/>
        </w:rPr>
        <w:t xml:space="preserve"> </w:t>
      </w:r>
      <w:hyperlink r:id="rId472">
        <w:r>
          <w:rPr>
            <w:rFonts w:ascii="Arial" w:cs="Arial" w:eastAsia="Arial" w:hAnsi="Arial"/>
            <w:sz w:val="18"/>
            <w:szCs w:val="18"/>
            <w:u w:val="single" w:color="auto"/>
            <w:color w:val="0000FF"/>
          </w:rPr>
          <w:t>and The Boeing Company, dated as of October 15, 2008, as amended, restated, amended and restated, supplemented or</w:t>
        </w:r>
      </w:hyperlink>
      <w:r>
        <w:rPr>
          <w:rFonts w:ascii="Arial" w:cs="Arial" w:eastAsia="Arial" w:hAnsi="Arial"/>
          <w:sz w:val="18"/>
          <w:szCs w:val="18"/>
          <w:u w:val="single" w:color="auto"/>
          <w:color w:val="0000FF"/>
        </w:rPr>
        <w:t xml:space="preserve"> </w:t>
      </w:r>
      <w:hyperlink r:id="rId472">
        <w:r>
          <w:rPr>
            <w:rFonts w:ascii="Arial" w:cs="Arial" w:eastAsia="Arial" w:hAnsi="Arial"/>
            <w:sz w:val="18"/>
            <w:szCs w:val="18"/>
            <w:u w:val="single" w:color="auto"/>
            <w:color w:val="0000FF"/>
          </w:rPr>
          <w:t>otherwise modified (incorporated by reference to Exhibit 10.43 to AAG’s Annual Report on Form 10-K for the year ended</w:t>
        </w:r>
      </w:hyperlink>
      <w:r>
        <w:rPr>
          <w:rFonts w:ascii="Arial" w:cs="Arial" w:eastAsia="Arial" w:hAnsi="Arial"/>
          <w:sz w:val="18"/>
          <w:szCs w:val="18"/>
          <w:u w:val="single" w:color="auto"/>
          <w:color w:val="0000FF"/>
        </w:rPr>
        <w:t xml:space="preserve"> </w:t>
      </w:r>
      <w:hyperlink r:id="rId472">
        <w:r>
          <w:rPr>
            <w:rFonts w:ascii="Arial" w:cs="Arial" w:eastAsia="Arial" w:hAnsi="Arial"/>
            <w:sz w:val="18"/>
            <w:szCs w:val="18"/>
            <w:u w:val="single" w:color="auto"/>
            <w:color w:val="0000FF"/>
          </w:rPr>
          <w:t>December 31, 2021 (Commission File No. 1-8400)).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10.46</w:t>
      </w:r>
      <w:r>
        <w:rPr>
          <w:sz w:val="20"/>
          <w:szCs w:val="20"/>
          <w:color w:val="auto"/>
        </w:rPr>
        <w:tab/>
      </w:r>
      <w:hyperlink r:id="rId473">
        <w:r>
          <w:rPr>
            <w:rFonts w:ascii="Arial" w:cs="Arial" w:eastAsia="Arial" w:hAnsi="Arial"/>
            <w:sz w:val="18"/>
            <w:szCs w:val="18"/>
            <w:u w:val="single" w:color="auto"/>
            <w:color w:val="0000FF"/>
          </w:rPr>
          <w:t>Supplemental Agreement No. 7, dated as of September 12, 2016, to Purchase Agreement No. 3219 dated as of October 15,</w:t>
        </w:r>
      </w:hyperlink>
      <w:r>
        <w:rPr>
          <w:rFonts w:ascii="Arial" w:cs="Arial" w:eastAsia="Arial" w:hAnsi="Arial"/>
          <w:sz w:val="18"/>
          <w:szCs w:val="18"/>
          <w:u w:val="single" w:color="auto"/>
          <w:color w:val="0000FF"/>
        </w:rPr>
        <w:t xml:space="preserve"> </w:t>
      </w:r>
      <w:hyperlink r:id="rId473">
        <w:r>
          <w:rPr>
            <w:rFonts w:ascii="Arial" w:cs="Arial" w:eastAsia="Arial" w:hAnsi="Arial"/>
            <w:sz w:val="18"/>
            <w:szCs w:val="18"/>
            <w:u w:val="single" w:color="auto"/>
            <w:color w:val="0000FF"/>
          </w:rPr>
          <w:t>2008, between American Airlines, Inc. and The Boeing Company (incorporated by reference to Exhibit 10.44 to AAG’s Annual</w:t>
        </w:r>
      </w:hyperlink>
      <w:r>
        <w:rPr>
          <w:rFonts w:ascii="Arial" w:cs="Arial" w:eastAsia="Arial" w:hAnsi="Arial"/>
          <w:sz w:val="18"/>
          <w:szCs w:val="18"/>
          <w:u w:val="single" w:color="auto"/>
          <w:color w:val="0000FF"/>
        </w:rPr>
        <w:t xml:space="preserve"> </w:t>
      </w:r>
      <w:hyperlink r:id="rId473">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10.47</w:t>
      </w:r>
      <w:r>
        <w:rPr>
          <w:sz w:val="20"/>
          <w:szCs w:val="20"/>
          <w:color w:val="auto"/>
        </w:rPr>
        <w:tab/>
      </w:r>
      <w:hyperlink r:id="rId474">
        <w:r>
          <w:rPr>
            <w:rFonts w:ascii="Arial" w:cs="Arial" w:eastAsia="Arial" w:hAnsi="Arial"/>
            <w:sz w:val="18"/>
            <w:szCs w:val="18"/>
            <w:u w:val="single" w:color="auto"/>
            <w:color w:val="0000FF"/>
          </w:rPr>
          <w:t>Supplemental Agreement No. 8, dated as of January 26, 2017, to Purchase Agreement No. 3219 dated as of October 15, 2008,</w:t>
        </w:r>
      </w:hyperlink>
      <w:r>
        <w:rPr>
          <w:rFonts w:ascii="Arial" w:cs="Arial" w:eastAsia="Arial" w:hAnsi="Arial"/>
          <w:sz w:val="18"/>
          <w:szCs w:val="18"/>
          <w:u w:val="single" w:color="auto"/>
          <w:color w:val="0000FF"/>
        </w:rPr>
        <w:t xml:space="preserve"> </w:t>
      </w:r>
      <w:hyperlink r:id="rId474">
        <w:r>
          <w:rPr>
            <w:rFonts w:ascii="Arial" w:cs="Arial" w:eastAsia="Arial" w:hAnsi="Arial"/>
            <w:sz w:val="18"/>
            <w:szCs w:val="18"/>
            <w:u w:val="single" w:color="auto"/>
            <w:color w:val="0000FF"/>
          </w:rPr>
          <w:t>between American Airlines, Inc. and The Boeing Company (incorporated by reference to Exhibit 10.45 to AAG’s Annual Report</w:t>
        </w:r>
      </w:hyperlink>
      <w:r>
        <w:rPr>
          <w:rFonts w:ascii="Arial" w:cs="Arial" w:eastAsia="Arial" w:hAnsi="Arial"/>
          <w:sz w:val="18"/>
          <w:szCs w:val="18"/>
          <w:u w:val="single" w:color="auto"/>
          <w:color w:val="0000FF"/>
        </w:rPr>
        <w:t xml:space="preserve"> </w:t>
      </w:r>
      <w:hyperlink r:id="rId474">
        <w:r>
          <w:rPr>
            <w:rFonts w:ascii="Arial" w:cs="Arial" w:eastAsia="Arial" w:hAnsi="Arial"/>
            <w:sz w:val="18"/>
            <w:szCs w:val="18"/>
            <w:u w:val="single" w:color="auto"/>
            <w:color w:val="0000FF"/>
          </w:rPr>
          <w:t>on Form 10-K for the year ended December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10.48</w:t>
      </w:r>
      <w:r>
        <w:rPr>
          <w:sz w:val="20"/>
          <w:szCs w:val="20"/>
          <w:color w:val="auto"/>
        </w:rPr>
        <w:tab/>
      </w:r>
      <w:hyperlink r:id="rId475">
        <w:r>
          <w:rPr>
            <w:rFonts w:ascii="Arial" w:cs="Arial" w:eastAsia="Arial" w:hAnsi="Arial"/>
            <w:sz w:val="18"/>
            <w:szCs w:val="18"/>
            <w:u w:val="single" w:color="auto"/>
            <w:color w:val="0000FF"/>
          </w:rPr>
          <w:t>Supplemental Agreement No. 9, dated as of April 24, 2017, to Purchase Agreement No. 3219 dated as of October 15, 2008, by</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and between American Airlines, Inc. and The Boeing Company (incorporated by reference to Exhibit 10.46 to AAG’s Annual</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10.49</w:t>
      </w:r>
      <w:r>
        <w:rPr>
          <w:sz w:val="20"/>
          <w:szCs w:val="20"/>
          <w:color w:val="auto"/>
        </w:rPr>
        <w:tab/>
      </w:r>
      <w:hyperlink r:id="rId477">
        <w:r>
          <w:rPr>
            <w:rFonts w:ascii="Arial" w:cs="Arial" w:eastAsia="Arial" w:hAnsi="Arial"/>
            <w:sz w:val="18"/>
            <w:szCs w:val="18"/>
            <w:u w:val="single" w:color="auto"/>
            <w:color w:val="0000FF"/>
          </w:rPr>
          <w:t>Supplemental Agreement No. 10, dated as of May 11, 2017, to Purchase Agreement No. 3219 dated as of October 15, 2008, by</w:t>
        </w:r>
      </w:hyperlink>
      <w:r>
        <w:rPr>
          <w:rFonts w:ascii="Arial" w:cs="Arial" w:eastAsia="Arial" w:hAnsi="Arial"/>
          <w:sz w:val="18"/>
          <w:szCs w:val="18"/>
          <w:u w:val="single" w:color="auto"/>
          <w:color w:val="0000FF"/>
        </w:rPr>
        <w:t xml:space="preserve"> </w:t>
      </w:r>
      <w:hyperlink r:id="rId477">
        <w:r>
          <w:rPr>
            <w:rFonts w:ascii="Arial" w:cs="Arial" w:eastAsia="Arial" w:hAnsi="Arial"/>
            <w:sz w:val="18"/>
            <w:szCs w:val="18"/>
            <w:u w:val="single" w:color="auto"/>
            <w:color w:val="0000FF"/>
          </w:rPr>
          <w:t>and between American Airlines, Inc. and The Boeing Company (incorporated by reference to Exhibit 10.47 to AAG’s Annual</w:t>
        </w:r>
      </w:hyperlink>
      <w:r>
        <w:rPr>
          <w:rFonts w:ascii="Arial" w:cs="Arial" w:eastAsia="Arial" w:hAnsi="Arial"/>
          <w:sz w:val="18"/>
          <w:szCs w:val="18"/>
          <w:u w:val="single" w:color="auto"/>
          <w:color w:val="0000FF"/>
        </w:rPr>
        <w:t xml:space="preserve"> </w:t>
      </w:r>
      <w:hyperlink r:id="rId477">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16"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10.50</w:t>
      </w:r>
      <w:r>
        <w:rPr>
          <w:sz w:val="20"/>
          <w:szCs w:val="20"/>
          <w:color w:val="auto"/>
        </w:rPr>
        <w:tab/>
      </w:r>
      <w:hyperlink r:id="rId478">
        <w:r>
          <w:rPr>
            <w:rFonts w:ascii="Arial" w:cs="Arial" w:eastAsia="Arial" w:hAnsi="Arial"/>
            <w:sz w:val="18"/>
            <w:szCs w:val="18"/>
            <w:u w:val="single" w:color="auto"/>
            <w:color w:val="0000FF"/>
          </w:rPr>
          <w:t>Supplemental Agreement No. 11, dated as of April 6, 2018, to Purchase Agreement No. 3219 dated as of October 15, 2008, by</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Report on Form 10-Q for the quarter ended June 30, 2018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479">
        <w:r>
          <w:rPr>
            <w:rFonts w:ascii="Arial" w:cs="Arial" w:eastAsia="Arial" w:hAnsi="Arial"/>
            <w:sz w:val="18"/>
            <w:szCs w:val="18"/>
            <w:u w:val="single" w:color="auto"/>
            <w:color w:val="0000FF"/>
          </w:rPr>
          <w:t>Supplemental Agreement No. 12, dated as of May 29, 2019, to Purchase Agreement No. 3219 dated as of October 15, 2008, by</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and between American Airlines, Inc. and The Boeing Company (incorporated by reference to Exhibit 10.1 to AAG’s Quarterly</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79">
        <w:r>
          <w:rPr>
            <w:rFonts w:ascii="Arial" w:cs="Arial" w:eastAsia="Arial" w:hAnsi="Arial"/>
            <w:sz w:val="18"/>
            <w:szCs w:val="18"/>
            <w:u w:val="single" w:color="auto"/>
            <w:color w:val="0000FF"/>
          </w:rPr>
          <w:t>Report on Form 10-Q for the quarter ended June 30, 2019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480">
        <w:r>
          <w:rPr>
            <w:rFonts w:ascii="Arial" w:cs="Arial" w:eastAsia="Arial" w:hAnsi="Arial"/>
            <w:sz w:val="18"/>
            <w:szCs w:val="18"/>
            <w:u w:val="single" w:color="auto"/>
            <w:color w:val="0000FF"/>
          </w:rPr>
          <w:t>Supplemental Agreement No. 13, dated as of August 20, 2019, to Purchase Agreement No. 3219 dated as of October 15, 2008,</w:t>
        </w:r>
      </w:hyperlink>
      <w:r>
        <w:rPr>
          <w:rFonts w:ascii="Arial" w:cs="Arial" w:eastAsia="Arial" w:hAnsi="Arial"/>
          <w:sz w:val="18"/>
          <w:szCs w:val="18"/>
          <w:u w:val="single" w:color="auto"/>
          <w:color w:val="0000FF"/>
        </w:rPr>
        <w:t xml:space="preserve"> </w:t>
      </w:r>
      <w:hyperlink r:id="rId480">
        <w:r>
          <w:rPr>
            <w:rFonts w:ascii="Arial" w:cs="Arial" w:eastAsia="Arial" w:hAnsi="Arial"/>
            <w:sz w:val="18"/>
            <w:szCs w:val="18"/>
            <w:u w:val="single" w:color="auto"/>
            <w:color w:val="0000FF"/>
          </w:rPr>
          <w:t>by and between American Airlines, Inc. and The Boeing Company (incorporated by reference to Exhibit 10.1 to AAG’s Quarterly</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80">
        <w:r>
          <w:rPr>
            <w:rFonts w:ascii="Arial" w:cs="Arial" w:eastAsia="Arial" w:hAnsi="Arial"/>
            <w:sz w:val="18"/>
            <w:szCs w:val="18"/>
            <w:u w:val="single" w:color="auto"/>
            <w:color w:val="0000FF"/>
          </w:rPr>
          <w:t>Report on Form 10-Q for the quarter ended September 30, 2019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10.53</w:t>
      </w:r>
      <w:r>
        <w:rPr>
          <w:sz w:val="20"/>
          <w:szCs w:val="20"/>
          <w:color w:val="auto"/>
        </w:rPr>
        <w:tab/>
      </w:r>
      <w:hyperlink r:id="rId481">
        <w:r>
          <w:rPr>
            <w:rFonts w:ascii="Arial" w:cs="Arial" w:eastAsia="Arial" w:hAnsi="Arial"/>
            <w:sz w:val="18"/>
            <w:szCs w:val="18"/>
            <w:u w:val="single" w:color="auto"/>
            <w:color w:val="0000FF"/>
          </w:rPr>
          <w:t>Supplemental Agreement No. 14, dated as of February 24, 2020, to Purchase Agreement No. 3219 dated as of October 15,</w:t>
        </w:r>
      </w:hyperlink>
    </w:p>
    <w:p>
      <w:pPr>
        <w:ind w:left="920"/>
        <w:spacing w:after="0" w:line="219" w:lineRule="auto"/>
        <w:rPr>
          <w:rFonts w:ascii="Arial" w:cs="Arial" w:eastAsia="Arial" w:hAnsi="Arial"/>
          <w:sz w:val="18"/>
          <w:szCs w:val="18"/>
          <w:u w:val="single" w:color="auto"/>
          <w:color w:val="0000FF"/>
        </w:rPr>
      </w:pPr>
      <w:hyperlink r:id="rId481">
        <w:r>
          <w:rPr>
            <w:rFonts w:ascii="Arial" w:cs="Arial" w:eastAsia="Arial" w:hAnsi="Arial"/>
            <w:sz w:val="18"/>
            <w:szCs w:val="18"/>
            <w:u w:val="single" w:color="auto"/>
            <w:color w:val="0000FF"/>
          </w:rPr>
          <w:t>2008, by and between American Airlines, Inc. and The Boeing Company (incorporated by reference to Exhibit 10.1 to AAG’s</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81">
        <w:r>
          <w:rPr>
            <w:rFonts w:ascii="Arial" w:cs="Arial" w:eastAsia="Arial" w:hAnsi="Arial"/>
            <w:sz w:val="18"/>
            <w:szCs w:val="18"/>
            <w:u w:val="single" w:color="auto"/>
            <w:color w:val="0000FF"/>
          </w:rPr>
          <w:t>Quarterly Report on Form 10-Q for the quarter ended March 31, 2020 (Commission File No. 1-8400)).</w:t>
        </w:r>
        <w:r>
          <w:rPr>
            <w:rFonts w:ascii="Times New Roman" w:cs="Times New Roman" w:eastAsia="Times New Roman" w:hAnsi="Times New Roman"/>
            <w:sz w:val="18"/>
            <w:szCs w:val="18"/>
            <w:color w:val="000000"/>
          </w:rPr>
          <w:t>**</w:t>
        </w:r>
      </w:hyperlink>
    </w:p>
    <w:p>
      <w:pPr>
        <w:spacing w:after="0" w:line="13"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481">
        <w:r>
          <w:rPr>
            <w:rFonts w:ascii="Arial" w:cs="Arial" w:eastAsia="Arial" w:hAnsi="Arial"/>
            <w:sz w:val="18"/>
            <w:szCs w:val="18"/>
            <w:u w:val="single" w:color="auto"/>
            <w:color w:val="0000FF"/>
          </w:rPr>
          <w:t>Supplemental Agreement No. 15, dated as of March 16, 2020, to Purchase Agreement No. 3219 dated as of October 15, 2008,</w:t>
        </w:r>
      </w:hyperlink>
      <w:r>
        <w:rPr>
          <w:rFonts w:ascii="Arial" w:cs="Arial" w:eastAsia="Arial" w:hAnsi="Arial"/>
          <w:sz w:val="18"/>
          <w:szCs w:val="18"/>
          <w:u w:val="single" w:color="auto"/>
          <w:color w:val="0000FF"/>
        </w:rPr>
        <w:t xml:space="preserve"> </w:t>
      </w:r>
      <w:hyperlink r:id="rId481">
        <w:r>
          <w:rPr>
            <w:rFonts w:ascii="Arial" w:cs="Arial" w:eastAsia="Arial" w:hAnsi="Arial"/>
            <w:sz w:val="18"/>
            <w:szCs w:val="18"/>
            <w:u w:val="single" w:color="auto"/>
            <w:color w:val="0000FF"/>
          </w:rPr>
          <w:t>by and between American Airlines, Inc. and The Boeing Company (incorporated by reference to Exhibit 10.2 to AAG’s Quarterly</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81">
        <w:r>
          <w:rPr>
            <w:rFonts w:ascii="Arial" w:cs="Arial" w:eastAsia="Arial" w:hAnsi="Arial"/>
            <w:sz w:val="18"/>
            <w:szCs w:val="18"/>
            <w:u w:val="single" w:color="auto"/>
            <w:color w:val="0000FF"/>
          </w:rPr>
          <w:t>Report on Form 10-Q for the quarter ended March 31,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10.55</w:t>
      </w:r>
      <w:r>
        <w:rPr>
          <w:sz w:val="20"/>
          <w:szCs w:val="20"/>
          <w:color w:val="auto"/>
        </w:rPr>
        <w:tab/>
      </w:r>
      <w:hyperlink r:id="rId482">
        <w:r>
          <w:rPr>
            <w:rFonts w:ascii="Arial" w:cs="Arial" w:eastAsia="Arial" w:hAnsi="Arial"/>
            <w:sz w:val="18"/>
            <w:szCs w:val="18"/>
            <w:u w:val="single" w:color="auto"/>
            <w:color w:val="0000FF"/>
          </w:rPr>
          <w:t>A320 Family Aircraft Purchase Agreement, dated as of July 20, 2011, between American Airlines, Inc. and Airbus S.A.S</w:t>
        </w:r>
      </w:hyperlink>
      <w:r>
        <w:rPr>
          <w:rFonts w:ascii="Arial" w:cs="Arial" w:eastAsia="Arial" w:hAnsi="Arial"/>
          <w:sz w:val="18"/>
          <w:szCs w:val="18"/>
          <w:u w:val="single" w:color="auto"/>
          <w:color w:val="0000FF"/>
        </w:rPr>
        <w:t xml:space="preserve"> </w:t>
      </w:r>
      <w:hyperlink r:id="rId482">
        <w:r>
          <w:rPr>
            <w:rFonts w:ascii="Arial" w:cs="Arial" w:eastAsia="Arial" w:hAnsi="Arial"/>
            <w:sz w:val="18"/>
            <w:szCs w:val="18"/>
            <w:u w:val="single" w:color="auto"/>
            <w:color w:val="0000FF"/>
          </w:rPr>
          <w:t>(incorporated by reference to Exhibit 10.46 to AAG’s Annual Report on Form 10-K for the year ended December 31, 2020</w:t>
        </w:r>
      </w:hyperlink>
      <w:r>
        <w:rPr>
          <w:rFonts w:ascii="Arial" w:cs="Arial" w:eastAsia="Arial" w:hAnsi="Arial"/>
          <w:sz w:val="18"/>
          <w:szCs w:val="18"/>
          <w:u w:val="single" w:color="auto"/>
          <w:color w:val="0000FF"/>
        </w:rPr>
        <w:t xml:space="preserve"> </w:t>
      </w:r>
      <w:hyperlink r:id="rId482">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3"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10.56</w:t>
      </w:r>
      <w:r>
        <w:rPr>
          <w:sz w:val="20"/>
          <w:szCs w:val="20"/>
          <w:color w:val="auto"/>
        </w:rPr>
        <w:tab/>
      </w:r>
      <w:hyperlink r:id="rId483">
        <w:r>
          <w:rPr>
            <w:rFonts w:ascii="Arial" w:cs="Arial" w:eastAsia="Arial" w:hAnsi="Arial"/>
            <w:sz w:val="18"/>
            <w:szCs w:val="18"/>
            <w:u w:val="single" w:color="auto"/>
            <w:color w:val="0000FF"/>
          </w:rPr>
          <w:t>Amendment No. 1, dated as of January 11, 2013, to A320 Family Aircraft Purchase Agreement between American Airlines, Inc.</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and Airbus S.A.S., dated as of July 20, 2011 (incorporated by reference to Exhibit 10.47 to AAG’s Annual Report on Form 10-K</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for the year ended December 31, 2020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10.57</w:t>
      </w:r>
      <w:r>
        <w:rPr>
          <w:sz w:val="20"/>
          <w:szCs w:val="20"/>
          <w:color w:val="auto"/>
        </w:rPr>
        <w:tab/>
      </w:r>
      <w:hyperlink r:id="rId484">
        <w:r>
          <w:rPr>
            <w:rFonts w:ascii="Arial" w:cs="Arial" w:eastAsia="Arial" w:hAnsi="Arial"/>
            <w:sz w:val="18"/>
            <w:szCs w:val="18"/>
            <w:u w:val="single" w:color="auto"/>
            <w:color w:val="0000FF"/>
          </w:rPr>
          <w:t>Amendment No. 2, dated as of May 30, 2013, to A320 Family Aircraft Purchase Agreement between American Airlines, Inc. and</w:t>
        </w:r>
      </w:hyperlink>
      <w:r>
        <w:rPr>
          <w:rFonts w:ascii="Arial" w:cs="Arial" w:eastAsia="Arial" w:hAnsi="Arial"/>
          <w:sz w:val="18"/>
          <w:szCs w:val="18"/>
          <w:u w:val="single" w:color="auto"/>
          <w:color w:val="0000FF"/>
        </w:rPr>
        <w:t xml:space="preserve"> </w:t>
      </w:r>
      <w:hyperlink r:id="rId484">
        <w:r>
          <w:rPr>
            <w:rFonts w:ascii="Arial" w:cs="Arial" w:eastAsia="Arial" w:hAnsi="Arial"/>
            <w:sz w:val="18"/>
            <w:szCs w:val="18"/>
            <w:u w:val="single" w:color="auto"/>
            <w:color w:val="0000FF"/>
          </w:rPr>
          <w:t>Airbus S.A.S, dated as of July 20, 2011 (incorporated by reference to Exhibit 10.48 to AAG’s Annual Report on Form 10-K for the</w:t>
        </w:r>
      </w:hyperlink>
      <w:r>
        <w:rPr>
          <w:rFonts w:ascii="Arial" w:cs="Arial" w:eastAsia="Arial" w:hAnsi="Arial"/>
          <w:sz w:val="18"/>
          <w:szCs w:val="18"/>
          <w:u w:val="single" w:color="auto"/>
          <w:color w:val="0000FF"/>
        </w:rPr>
        <w:t xml:space="preserve"> </w:t>
      </w:r>
      <w:hyperlink r:id="rId484">
        <w:r>
          <w:rPr>
            <w:rFonts w:ascii="Arial" w:cs="Arial" w:eastAsia="Arial" w:hAnsi="Arial"/>
            <w:sz w:val="18"/>
            <w:szCs w:val="18"/>
            <w:u w:val="single" w:color="auto"/>
            <w:color w:val="0000FF"/>
          </w:rPr>
          <w:t>year ended December 31, 2020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10.58</w:t>
      </w:r>
      <w:r>
        <w:rPr>
          <w:sz w:val="20"/>
          <w:szCs w:val="20"/>
          <w:color w:val="auto"/>
        </w:rPr>
        <w:tab/>
      </w:r>
      <w:hyperlink r:id="rId485">
        <w:r>
          <w:rPr>
            <w:rFonts w:ascii="Arial" w:cs="Arial" w:eastAsia="Arial" w:hAnsi="Arial"/>
            <w:sz w:val="18"/>
            <w:szCs w:val="18"/>
            <w:u w:val="single" w:color="auto"/>
            <w:color w:val="0000FF"/>
          </w:rPr>
          <w:t>Amendment No. 3, dated as of November 20, 2013, to A320 Family Aircraft Purchase Agreement between American Airlines, Inc.</w:t>
        </w:r>
      </w:hyperlink>
      <w:r>
        <w:rPr>
          <w:rFonts w:ascii="Arial" w:cs="Arial" w:eastAsia="Arial" w:hAnsi="Arial"/>
          <w:sz w:val="18"/>
          <w:szCs w:val="18"/>
          <w:u w:val="single" w:color="auto"/>
          <w:color w:val="0000FF"/>
        </w:rPr>
        <w:t xml:space="preserve"> </w:t>
      </w:r>
      <w:hyperlink r:id="rId485">
        <w:r>
          <w:rPr>
            <w:rFonts w:ascii="Arial" w:cs="Arial" w:eastAsia="Arial" w:hAnsi="Arial"/>
            <w:sz w:val="18"/>
            <w:szCs w:val="18"/>
            <w:u w:val="single" w:color="auto"/>
            <w:color w:val="0000FF"/>
          </w:rPr>
          <w:t>and Airbus S.A.S., dated as of July 20, 2011 (incorporated by reference to Exhibit 10.49 to AAG’s Annual Report on Form 10-K</w:t>
        </w:r>
      </w:hyperlink>
      <w:r>
        <w:rPr>
          <w:rFonts w:ascii="Arial" w:cs="Arial" w:eastAsia="Arial" w:hAnsi="Arial"/>
          <w:sz w:val="18"/>
          <w:szCs w:val="18"/>
          <w:u w:val="single" w:color="auto"/>
          <w:color w:val="0000FF"/>
        </w:rPr>
        <w:t xml:space="preserve"> </w:t>
      </w:r>
      <w:hyperlink r:id="rId485">
        <w:r>
          <w:rPr>
            <w:rFonts w:ascii="Arial" w:cs="Arial" w:eastAsia="Arial" w:hAnsi="Arial"/>
            <w:sz w:val="18"/>
            <w:szCs w:val="18"/>
            <w:u w:val="single" w:color="auto"/>
            <w:color w:val="0000FF"/>
          </w:rPr>
          <w:t>for the year ended December 31, 2020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10.59</w:t>
      </w:r>
      <w:r>
        <w:rPr>
          <w:sz w:val="20"/>
          <w:szCs w:val="20"/>
          <w:color w:val="auto"/>
        </w:rPr>
        <w:tab/>
      </w:r>
      <w:hyperlink r:id="rId486">
        <w:r>
          <w:rPr>
            <w:rFonts w:ascii="Arial" w:cs="Arial" w:eastAsia="Arial" w:hAnsi="Arial"/>
            <w:sz w:val="18"/>
            <w:szCs w:val="18"/>
            <w:u w:val="single" w:color="auto"/>
            <w:color w:val="0000FF"/>
          </w:rPr>
          <w:t>Amendment No. 4, dated as of June 18, 2014, to the A320 Family Aircraft Purchase Agreement between Airbus S.A.S., as seller,</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otherwise modified (incorporated by reference to Exhibit 10.50 to AAG’s Annual Report on Form 10-K for the year ended</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10.60</w:t>
      </w:r>
      <w:r>
        <w:rPr>
          <w:sz w:val="20"/>
          <w:szCs w:val="20"/>
          <w:color w:val="auto"/>
        </w:rPr>
        <w:tab/>
      </w:r>
      <w:hyperlink r:id="rId487">
        <w:r>
          <w:rPr>
            <w:rFonts w:ascii="Arial" w:cs="Arial" w:eastAsia="Arial" w:hAnsi="Arial"/>
            <w:sz w:val="18"/>
            <w:szCs w:val="18"/>
            <w:u w:val="single" w:color="auto"/>
            <w:color w:val="0000FF"/>
          </w:rPr>
          <w:t>Amendment No. 5, dated as of June 24, 2014, to the A320 Family Aircraft Purchase Agreement between Airbus S.A.S., as seller,</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otherwise modified (incorporated by reference to Exhibit 10.51 to AAG’s Annual Report on Form 10-K for the year ended</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10.61</w:t>
      </w:r>
      <w:r>
        <w:rPr>
          <w:sz w:val="20"/>
          <w:szCs w:val="20"/>
          <w:color w:val="auto"/>
        </w:rPr>
        <w:tab/>
      </w:r>
      <w:hyperlink r:id="rId488">
        <w:r>
          <w:rPr>
            <w:rFonts w:ascii="Arial" w:cs="Arial" w:eastAsia="Arial" w:hAnsi="Arial"/>
            <w:sz w:val="18"/>
            <w:szCs w:val="18"/>
            <w:u w:val="single" w:color="auto"/>
            <w:color w:val="0000FF"/>
          </w:rPr>
          <w:t>Amendment No. 6, dated as of July 1, 2014, to the A320 Family Aircraft Purchase Agreement between Airbus S.A.S., as seller,</w:t>
        </w:r>
      </w:hyperlink>
      <w:r>
        <w:rPr>
          <w:rFonts w:ascii="Arial" w:cs="Arial" w:eastAsia="Arial" w:hAnsi="Arial"/>
          <w:sz w:val="18"/>
          <w:szCs w:val="18"/>
          <w:u w:val="single" w:color="auto"/>
          <w:color w:val="0000FF"/>
        </w:rPr>
        <w:t xml:space="preserve"> </w:t>
      </w:r>
      <w:hyperlink r:id="rId488">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488">
        <w:r>
          <w:rPr>
            <w:rFonts w:ascii="Arial" w:cs="Arial" w:eastAsia="Arial" w:hAnsi="Arial"/>
            <w:sz w:val="18"/>
            <w:szCs w:val="18"/>
            <w:u w:val="single" w:color="auto"/>
            <w:color w:val="0000FF"/>
          </w:rPr>
          <w:t>otherwise modified (incorporated by reference to Exhibit 10.52 to AAG’s Annual Report on Form 10-K for the year ended</w:t>
        </w:r>
      </w:hyperlink>
      <w:r>
        <w:rPr>
          <w:rFonts w:ascii="Arial" w:cs="Arial" w:eastAsia="Arial" w:hAnsi="Arial"/>
          <w:sz w:val="18"/>
          <w:szCs w:val="18"/>
          <w:u w:val="single" w:color="auto"/>
          <w:color w:val="0000FF"/>
        </w:rPr>
        <w:t xml:space="preserve"> </w:t>
      </w:r>
      <w:hyperlink r:id="rId488">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10.62</w:t>
      </w:r>
      <w:r>
        <w:rPr>
          <w:sz w:val="20"/>
          <w:szCs w:val="20"/>
          <w:color w:val="auto"/>
        </w:rPr>
        <w:tab/>
      </w:r>
      <w:hyperlink r:id="rId489">
        <w:r>
          <w:rPr>
            <w:rFonts w:ascii="Arial" w:cs="Arial" w:eastAsia="Arial" w:hAnsi="Arial"/>
            <w:sz w:val="18"/>
            <w:szCs w:val="18"/>
            <w:u w:val="single" w:color="auto"/>
            <w:color w:val="0000FF"/>
          </w:rPr>
          <w:t>Amendment No. 7, dated as of November 25, 2014, to the A320 Family Aircraft Purchase Agreement between Airbus S.A.S., as</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supplemented or otherwise (incorporated by reference to Exhibit 10.53 to AAG’s Annual Report on Form 10-K for the year ended</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25"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10.63</w:t>
      </w:r>
      <w:r>
        <w:rPr>
          <w:sz w:val="20"/>
          <w:szCs w:val="20"/>
          <w:color w:val="auto"/>
        </w:rPr>
        <w:tab/>
      </w:r>
      <w:hyperlink r:id="rId491">
        <w:r>
          <w:rPr>
            <w:rFonts w:ascii="Arial" w:cs="Arial" w:eastAsia="Arial" w:hAnsi="Arial"/>
            <w:sz w:val="18"/>
            <w:szCs w:val="18"/>
            <w:u w:val="single" w:color="auto"/>
            <w:color w:val="0000FF"/>
          </w:rPr>
          <w:t>Amendment No. 8, dated as of June 11, 2015, to the A320 Family Aircraft Purchase Agreement between American Airlines, Inc.</w:t>
        </w:r>
      </w:hyperlink>
      <w:r>
        <w:rPr>
          <w:rFonts w:ascii="Arial" w:cs="Arial" w:eastAsia="Arial" w:hAnsi="Arial"/>
          <w:sz w:val="18"/>
          <w:szCs w:val="18"/>
          <w:u w:val="single" w:color="auto"/>
          <w:color w:val="0000FF"/>
        </w:rPr>
        <w:t xml:space="preserve"> </w:t>
      </w:r>
      <w:hyperlink r:id="rId491">
        <w:r>
          <w:rPr>
            <w:rFonts w:ascii="Arial" w:cs="Arial" w:eastAsia="Arial" w:hAnsi="Arial"/>
            <w:sz w:val="18"/>
            <w:szCs w:val="18"/>
            <w:u w:val="single" w:color="auto"/>
            <w:color w:val="0000FF"/>
          </w:rPr>
          <w:t>and Airbus S.A.S., dated as of July 20, 2011, as amended, restated, amended and restated, supplemented or otherwise modified</w:t>
        </w:r>
      </w:hyperlink>
      <w:r>
        <w:rPr>
          <w:rFonts w:ascii="Arial" w:cs="Arial" w:eastAsia="Arial" w:hAnsi="Arial"/>
          <w:sz w:val="18"/>
          <w:szCs w:val="18"/>
          <w:u w:val="single" w:color="auto"/>
          <w:color w:val="0000FF"/>
        </w:rPr>
        <w:t xml:space="preserve"> </w:t>
      </w:r>
      <w:hyperlink r:id="rId491">
        <w:r>
          <w:rPr>
            <w:rFonts w:ascii="Arial" w:cs="Arial" w:eastAsia="Arial" w:hAnsi="Arial"/>
            <w:sz w:val="18"/>
            <w:szCs w:val="18"/>
            <w:u w:val="single" w:color="auto"/>
            <w:color w:val="0000FF"/>
          </w:rPr>
          <w:t>(incorporated by reference to Exhibit 10.54 to AAG’s Annual Report on Form 10-K for the year ended December 31, 2020</w:t>
        </w:r>
      </w:hyperlink>
      <w:r>
        <w:rPr>
          <w:rFonts w:ascii="Arial" w:cs="Arial" w:eastAsia="Arial" w:hAnsi="Arial"/>
          <w:sz w:val="18"/>
          <w:szCs w:val="18"/>
          <w:u w:val="single" w:color="auto"/>
          <w:color w:val="0000FF"/>
        </w:rPr>
        <w:t xml:space="preserve"> </w:t>
      </w:r>
      <w:hyperlink r:id="rId491">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9"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10.64</w:t>
      </w:r>
      <w:r>
        <w:rPr>
          <w:sz w:val="20"/>
          <w:szCs w:val="20"/>
          <w:color w:val="auto"/>
        </w:rPr>
        <w:tab/>
      </w:r>
      <w:hyperlink r:id="rId492">
        <w:r>
          <w:rPr>
            <w:rFonts w:ascii="Arial" w:cs="Arial" w:eastAsia="Arial" w:hAnsi="Arial"/>
            <w:sz w:val="18"/>
            <w:szCs w:val="18"/>
            <w:u w:val="single" w:color="auto"/>
            <w:color w:val="0000FF"/>
          </w:rPr>
          <w:t>Amendment No. 9, dated as of September 23, 2015, to the A320 Family Aircraft Purchase Agreement, dated as of July 20, 2011,</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between American Airlines, Inc. and Airbus S.A.S. (incorporated by reference to Exhibit 10.55 to AAG’s Annual Report on Form</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10-K for the year ended December 31, 2020 (Commission File No. 1-8400)).</w:t>
        </w:r>
        <w:r>
          <w:rPr>
            <w:rFonts w:ascii="Arial" w:cs="Arial" w:eastAsia="Arial" w:hAnsi="Arial"/>
            <w:sz w:val="18"/>
            <w:szCs w:val="18"/>
            <w:color w:val="000000"/>
          </w:rPr>
          <w:t>**</w:t>
        </w:r>
      </w:hyperlink>
    </w:p>
    <w:p>
      <w:pPr>
        <w:sectPr>
          <w:pgSz w:w="11900" w:h="16838" w:orient="portrait"/>
          <w:cols w:equalWidth="0" w:num="1">
            <w:col w:w="11220"/>
          </w:cols>
          <w:pgMar w:left="320" w:top="364" w:right="359" w:bottom="1440" w:gutter="0" w:footer="0" w:header="0"/>
        </w:sectPr>
      </w:pPr>
    </w:p>
    <w:p>
      <w:pPr>
        <w:spacing w:after="0" w:line="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10.65</w:t>
      </w:r>
    </w:p>
    <w:p>
      <w:pPr>
        <w:spacing w:after="0" w:line="200" w:lineRule="exact"/>
        <w:rPr>
          <w:rFonts w:ascii="Arial" w:cs="Arial" w:eastAsia="Arial" w:hAnsi="Arial"/>
          <w:sz w:val="18"/>
          <w:szCs w:val="18"/>
          <w:u w:val="single" w:color="auto"/>
          <w:color w:val="0000FF"/>
        </w:rPr>
      </w:pPr>
    </w:p>
    <w:p>
      <w:pPr>
        <w:spacing w:after="0" w:line="268"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10.66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60" w:lineRule="auto"/>
        <w:rPr>
          <w:rFonts w:ascii="Arial" w:cs="Arial" w:eastAsia="Arial" w:hAnsi="Arial"/>
          <w:sz w:val="18"/>
          <w:szCs w:val="18"/>
          <w:color w:val="0000FF"/>
        </w:rPr>
      </w:pPr>
      <w:hyperlink r:id="rId493">
        <w:r>
          <w:rPr>
            <w:rFonts w:ascii="Arial" w:cs="Arial" w:eastAsia="Arial" w:hAnsi="Arial"/>
            <w:sz w:val="18"/>
            <w:szCs w:val="18"/>
            <w:u w:val="single" w:color="auto"/>
            <w:color w:val="0000FF"/>
          </w:rPr>
          <w:t>Amendment No. 10, dated as of July 16, 2018, to the A320 Family Aircraft Purchase Agreement, dated as of July 20, 2011,</w:t>
        </w:r>
      </w:hyperlink>
      <w:r>
        <w:rPr>
          <w:rFonts w:ascii="Arial" w:cs="Arial" w:eastAsia="Arial" w:hAnsi="Arial"/>
          <w:sz w:val="18"/>
          <w:szCs w:val="18"/>
          <w:u w:val="single" w:color="auto"/>
          <w:color w:val="0000FF"/>
        </w:rPr>
        <w:t xml:space="preserve"> </w:t>
      </w:r>
      <w:hyperlink r:id="rId493">
        <w:r>
          <w:rPr>
            <w:rFonts w:ascii="Arial" w:cs="Arial" w:eastAsia="Arial" w:hAnsi="Arial"/>
            <w:sz w:val="18"/>
            <w:szCs w:val="18"/>
            <w:u w:val="single" w:color="auto"/>
            <w:color w:val="0000FF"/>
          </w:rPr>
          <w:t>between American Airlines, Inc. and Airbus S.A.S. (incorporated by reference to Exhibit 10.56 to AAG’s Annual Report on Form</w:t>
        </w:r>
      </w:hyperlink>
      <w:r>
        <w:rPr>
          <w:rFonts w:ascii="Arial" w:cs="Arial" w:eastAsia="Arial" w:hAnsi="Arial"/>
          <w:sz w:val="18"/>
          <w:szCs w:val="18"/>
          <w:u w:val="single" w:color="auto"/>
          <w:color w:val="0000FF"/>
        </w:rPr>
        <w:t xml:space="preserve"> </w:t>
      </w:r>
      <w:hyperlink r:id="rId493">
        <w:r>
          <w:rPr>
            <w:rFonts w:ascii="Arial" w:cs="Arial" w:eastAsia="Arial" w:hAnsi="Arial"/>
            <w:sz w:val="18"/>
            <w:szCs w:val="18"/>
            <w:u w:val="single" w:color="auto"/>
            <w:color w:val="0000FF"/>
          </w:rPr>
          <w:t>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55" w:lineRule="auto"/>
        <w:rPr>
          <w:rFonts w:ascii="Arial" w:cs="Arial" w:eastAsia="Arial" w:hAnsi="Arial"/>
          <w:sz w:val="18"/>
          <w:szCs w:val="18"/>
          <w:color w:val="0000FF"/>
        </w:rPr>
      </w:pPr>
      <w:hyperlink r:id="rId494">
        <w:r>
          <w:rPr>
            <w:rFonts w:ascii="Arial" w:cs="Arial" w:eastAsia="Arial" w:hAnsi="Arial"/>
            <w:sz w:val="18"/>
            <w:szCs w:val="18"/>
            <w:u w:val="single" w:color="auto"/>
            <w:color w:val="0000FF"/>
          </w:rPr>
          <w:t>Amendment No. 11, dated as of June 19, 2019, to the A320 Family Aircraft Purchase Agreement, dated as of July 20, 2011,</w:t>
        </w:r>
      </w:hyperlink>
      <w:r>
        <w:rPr>
          <w:rFonts w:ascii="Arial" w:cs="Arial" w:eastAsia="Arial" w:hAnsi="Arial"/>
          <w:sz w:val="18"/>
          <w:szCs w:val="18"/>
          <w:u w:val="single" w:color="auto"/>
          <w:color w:val="0000FF"/>
        </w:rPr>
        <w:t xml:space="preserve"> </w:t>
      </w:r>
      <w:hyperlink r:id="rId494">
        <w:r>
          <w:rPr>
            <w:rFonts w:ascii="Arial" w:cs="Arial" w:eastAsia="Arial" w:hAnsi="Arial"/>
            <w:sz w:val="18"/>
            <w:szCs w:val="18"/>
            <w:u w:val="single" w:color="auto"/>
            <w:color w:val="0000FF"/>
          </w:rPr>
          <w:t>between American Airlines, Inc. and Airbus S.A.S. (incorporated by reference to Exhibit 10.2 to AAG’s Quarterly Report on Form</w:t>
        </w:r>
      </w:hyperlink>
      <w:r>
        <w:rPr>
          <w:rFonts w:ascii="Arial" w:cs="Arial" w:eastAsia="Arial" w:hAnsi="Arial"/>
          <w:sz w:val="18"/>
          <w:szCs w:val="18"/>
          <w:u w:val="single" w:color="auto"/>
          <w:color w:val="0000FF"/>
        </w:rPr>
        <w:t xml:space="preserve"> </w:t>
      </w:r>
      <w:hyperlink r:id="rId494">
        <w:r>
          <w:rPr>
            <w:rFonts w:ascii="Arial" w:cs="Arial" w:eastAsia="Arial" w:hAnsi="Arial"/>
            <w:sz w:val="18"/>
            <w:szCs w:val="18"/>
            <w:u w:val="single" w:color="auto"/>
            <w:color w:val="0000FF"/>
          </w:rPr>
          <w:t>10-Q for the quarter ended June 30, 2019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sectPr>
          <w:pgSz w:w="11900" w:h="16838" w:orient="portrait"/>
          <w:cols w:equalWidth="0" w:num="2">
            <w:col w:w="480" w:space="440"/>
            <w:col w:w="10300"/>
          </w:cols>
          <w:pgMar w:left="320" w:top="364" w:right="359" w:bottom="1440" w:gutter="0" w:footer="0" w:header="0"/>
          <w:type w:val="continuous"/>
        </w:sectPr>
      </w:pPr>
    </w:p>
    <w:p>
      <w:pPr>
        <w:jc w:val="both"/>
        <w:ind w:left="920" w:hanging="890"/>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10.67</w:t>
      </w:r>
      <w:r>
        <w:rPr>
          <w:sz w:val="20"/>
          <w:szCs w:val="20"/>
          <w:color w:val="auto"/>
        </w:rPr>
        <w:tab/>
      </w:r>
      <w:hyperlink r:id="rId495">
        <w:r>
          <w:rPr>
            <w:rFonts w:ascii="Arial" w:cs="Arial" w:eastAsia="Arial" w:hAnsi="Arial"/>
            <w:sz w:val="18"/>
            <w:szCs w:val="18"/>
            <w:u w:val="single" w:color="auto"/>
            <w:color w:val="0000FF"/>
          </w:rPr>
          <w:t>Amendment No. 12, dated as of June 26, 2020, to the A320 Family Aircraft Purchase Agreement between Airbus S.A.S., as</w:t>
        </w:r>
      </w:hyperlink>
      <w:r>
        <w:rPr>
          <w:rFonts w:ascii="Arial" w:cs="Arial" w:eastAsia="Arial" w:hAnsi="Arial"/>
          <w:sz w:val="18"/>
          <w:szCs w:val="18"/>
          <w:u w:val="single" w:color="auto"/>
          <w:color w:val="0000FF"/>
        </w:rPr>
        <w:t xml:space="preserve"> </w:t>
      </w:r>
      <w:hyperlink r:id="rId495">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495">
        <w:r>
          <w:rPr>
            <w:rFonts w:ascii="Arial" w:cs="Arial" w:eastAsia="Arial" w:hAnsi="Arial"/>
            <w:sz w:val="18"/>
            <w:szCs w:val="18"/>
            <w:u w:val="single" w:color="auto"/>
            <w:color w:val="0000FF"/>
          </w:rPr>
          <w:t>supplemented or otherwise (incorporated by reference to Exhibit 10.3 to AAG’s Quarterly Report on Form 10-Q for the quarter</w:t>
        </w:r>
      </w:hyperlink>
      <w:r>
        <w:rPr>
          <w:rFonts w:ascii="Arial" w:cs="Arial" w:eastAsia="Arial" w:hAnsi="Arial"/>
          <w:sz w:val="18"/>
          <w:szCs w:val="18"/>
          <w:u w:val="single" w:color="auto"/>
          <w:color w:val="0000FF"/>
        </w:rPr>
        <w:t xml:space="preserve"> </w:t>
      </w:r>
      <w:hyperlink r:id="rId495">
        <w:r>
          <w:rPr>
            <w:rFonts w:ascii="Arial" w:cs="Arial" w:eastAsia="Arial" w:hAnsi="Arial"/>
            <w:sz w:val="18"/>
            <w:szCs w:val="18"/>
            <w:u w:val="single" w:color="auto"/>
            <w:color w:val="0000FF"/>
          </w:rPr>
          <w:t>ended June 30, 2020 (Commission File No. 1-8400)).</w:t>
        </w:r>
        <w:r>
          <w:rPr>
            <w:rFonts w:ascii="Arial" w:cs="Arial" w:eastAsia="Arial" w:hAnsi="Arial"/>
            <w:sz w:val="18"/>
            <w:szCs w:val="18"/>
            <w:color w:val="000000"/>
          </w:rPr>
          <w:t>**</w:t>
        </w:r>
      </w:hyperlink>
    </w:p>
    <w:p>
      <w:pPr>
        <w:spacing w:after="0" w:line="8" w:lineRule="exact"/>
        <w:rPr>
          <w:rFonts w:ascii="Arial" w:cs="Arial" w:eastAsia="Arial" w:hAnsi="Arial"/>
          <w:sz w:val="18"/>
          <w:szCs w:val="18"/>
          <w:u w:val="single" w:color="auto"/>
          <w:color w:val="0000FF"/>
        </w:rPr>
      </w:pPr>
    </w:p>
    <w:p>
      <w:pPr>
        <w:jc w:val="both"/>
        <w:ind w:left="920" w:hanging="890"/>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10.68</w:t>
      </w:r>
      <w:r>
        <w:rPr>
          <w:sz w:val="20"/>
          <w:szCs w:val="20"/>
          <w:color w:val="auto"/>
        </w:rPr>
        <w:tab/>
      </w:r>
      <w:hyperlink r:id="rId496">
        <w:r>
          <w:rPr>
            <w:rFonts w:ascii="Arial" w:cs="Arial" w:eastAsia="Arial" w:hAnsi="Arial"/>
            <w:sz w:val="18"/>
            <w:szCs w:val="18"/>
            <w:u w:val="single" w:color="auto"/>
            <w:color w:val="0000FF"/>
          </w:rPr>
          <w:t>Amendment No. 13, dated as of July 13, 2020, to the A320 Family Aircraft Purchase Agreement between Airbus S.A.S., as seller,</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otherwise (incorporated by reference to Exhibit 10.2 to AAG’s Quarterly Report on Form 10-Q for the quarter ended September</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30, 2020 (Commission File No. 1-8400)).</w:t>
        </w:r>
        <w:r>
          <w:rPr>
            <w:rFonts w:ascii="Arial" w:cs="Arial" w:eastAsia="Arial" w:hAnsi="Arial"/>
            <w:sz w:val="18"/>
            <w:szCs w:val="18"/>
            <w:color w:val="000000"/>
          </w:rPr>
          <w:t>**</w:t>
        </w:r>
      </w:hyperlink>
    </w:p>
    <w:p>
      <w:pPr>
        <w:spacing w:after="0" w:line="8" w:lineRule="exact"/>
        <w:rPr>
          <w:rFonts w:ascii="Arial" w:cs="Arial" w:eastAsia="Arial" w:hAnsi="Arial"/>
          <w:sz w:val="18"/>
          <w:szCs w:val="18"/>
          <w:u w:val="single" w:color="auto"/>
          <w:color w:val="0000FF"/>
        </w:rPr>
      </w:pPr>
    </w:p>
    <w:p>
      <w:pPr>
        <w:jc w:val="both"/>
        <w:ind w:left="920" w:hanging="890"/>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10.69</w:t>
      </w:r>
      <w:r>
        <w:rPr>
          <w:sz w:val="20"/>
          <w:szCs w:val="20"/>
          <w:color w:val="auto"/>
        </w:rPr>
        <w:tab/>
      </w:r>
      <w:hyperlink r:id="rId497">
        <w:r>
          <w:rPr>
            <w:rFonts w:ascii="Arial" w:cs="Arial" w:eastAsia="Arial" w:hAnsi="Arial"/>
            <w:sz w:val="18"/>
            <w:szCs w:val="18"/>
            <w:u w:val="single" w:color="auto"/>
            <w:color w:val="0000FF"/>
          </w:rPr>
          <w:t>Amendment No. 15, dated as of June 30, 2021, to the A320 Family Aircraft Purchase Agreement between Airbus S.A.S., as</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supplemented or otherwise (incorporated by reference to Exhibit 10.2 to AAG’s Quarterly Report on Form 10-Q for the quarter</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ended September 30, 2021 (Commission File No. 1-8400)).</w:t>
        </w:r>
        <w:r>
          <w:rPr>
            <w:rFonts w:ascii="Arial" w:cs="Arial" w:eastAsia="Arial" w:hAnsi="Arial"/>
            <w:sz w:val="18"/>
            <w:szCs w:val="18"/>
            <w:color w:val="000000"/>
          </w:rPr>
          <w:t>**</w:t>
        </w:r>
      </w:hyperlink>
    </w:p>
    <w:p>
      <w:pPr>
        <w:spacing w:after="0" w:line="8" w:lineRule="exact"/>
        <w:rPr>
          <w:rFonts w:ascii="Arial" w:cs="Arial" w:eastAsia="Arial" w:hAnsi="Arial"/>
          <w:sz w:val="18"/>
          <w:szCs w:val="18"/>
          <w:u w:val="single" w:color="auto"/>
          <w:color w:val="0000FF"/>
        </w:rPr>
      </w:pPr>
    </w:p>
    <w:p>
      <w:pPr>
        <w:jc w:val="both"/>
        <w:ind w:left="920" w:hanging="890"/>
        <w:spacing w:after="0" w:line="260"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10.70</w:t>
      </w:r>
      <w:r>
        <w:rPr>
          <w:sz w:val="20"/>
          <w:szCs w:val="20"/>
          <w:color w:val="auto"/>
        </w:rPr>
        <w:tab/>
      </w:r>
      <w:hyperlink r:id="rId498">
        <w:r>
          <w:rPr>
            <w:rFonts w:ascii="Arial" w:cs="Arial" w:eastAsia="Arial" w:hAnsi="Arial"/>
            <w:sz w:val="18"/>
            <w:szCs w:val="18"/>
            <w:u w:val="single" w:color="auto"/>
            <w:color w:val="0000FF"/>
          </w:rPr>
          <w:t>Amendment No. 14, dated as of October 8, 2020, to the A320 Family Aircraft Purchase Agreement between Airbus S.A.S., as</w:t>
        </w:r>
      </w:hyperlink>
      <w:r>
        <w:rPr>
          <w:rFonts w:ascii="Arial" w:cs="Arial" w:eastAsia="Arial" w:hAnsi="Arial"/>
          <w:sz w:val="18"/>
          <w:szCs w:val="18"/>
          <w:u w:val="single" w:color="auto"/>
          <w:color w:val="0000FF"/>
        </w:rPr>
        <w:t xml:space="preserve"> </w:t>
      </w:r>
      <w:hyperlink r:id="rId498">
        <w:r>
          <w:rPr>
            <w:rFonts w:ascii="Arial" w:cs="Arial" w:eastAsia="Arial" w:hAnsi="Arial"/>
            <w:sz w:val="18"/>
            <w:szCs w:val="18"/>
            <w:u w:val="single" w:color="auto"/>
            <w:color w:val="0000FF"/>
          </w:rPr>
          <w:t>seller, and American Airlines, Inc. as buyer, dated as of July 20, 2011, as amended, restated, amended and restated,</w:t>
        </w:r>
      </w:hyperlink>
    </w:p>
    <w:p>
      <w:pPr>
        <w:sectPr>
          <w:pgSz w:w="11900" w:h="16838" w:orient="portrait"/>
          <w:cols w:equalWidth="0" w:num="1">
            <w:col w:w="11220"/>
          </w:cols>
          <w:pgMar w:left="320" w:top="364" w:right="35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10.72</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10.73</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10.74</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10.75</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10.76</w:t>
      </w:r>
    </w:p>
    <w:p>
      <w:pPr>
        <w:spacing w:after="0" w:line="20" w:lineRule="exact"/>
        <w:rPr>
          <w:sz w:val="20"/>
          <w:szCs w:val="20"/>
          <w:color w:val="auto"/>
        </w:rPr>
      </w:pPr>
      <w:r>
        <w:rPr>
          <w:sz w:val="20"/>
          <w:szCs w:val="20"/>
          <w:color w:val="auto"/>
        </w:rPr>
        <w:br w:type="column"/>
      </w:r>
    </w:p>
    <w:p>
      <w:pPr>
        <w:jc w:val="both"/>
        <w:spacing w:after="0" w:line="250" w:lineRule="auto"/>
        <w:rPr>
          <w:rFonts w:ascii="Arial" w:cs="Arial" w:eastAsia="Arial" w:hAnsi="Arial"/>
          <w:sz w:val="18"/>
          <w:szCs w:val="18"/>
          <w:color w:val="0000FF"/>
        </w:rPr>
      </w:pPr>
      <w:hyperlink r:id="rId498">
        <w:r>
          <w:rPr>
            <w:rFonts w:ascii="Arial" w:cs="Arial" w:eastAsia="Arial" w:hAnsi="Arial"/>
            <w:sz w:val="18"/>
            <w:szCs w:val="18"/>
            <w:u w:val="single" w:color="auto"/>
            <w:color w:val="0000FF"/>
          </w:rPr>
          <w:t>supplemented or otherwise (incorporated by reference to Exhibit 10.60 to AAG’s Annual Report on Form 10-K for the year ended</w:t>
        </w:r>
      </w:hyperlink>
      <w:r>
        <w:rPr>
          <w:rFonts w:ascii="Arial" w:cs="Arial" w:eastAsia="Arial" w:hAnsi="Arial"/>
          <w:sz w:val="18"/>
          <w:szCs w:val="18"/>
          <w:u w:val="single" w:color="auto"/>
          <w:color w:val="0000FF"/>
        </w:rPr>
        <w:t xml:space="preserve"> </w:t>
      </w:r>
      <w:hyperlink r:id="rId498">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0" w:lineRule="exact"/>
        <w:rPr>
          <w:sz w:val="20"/>
          <w:szCs w:val="20"/>
          <w:color w:val="auto"/>
        </w:rPr>
      </w:pPr>
    </w:p>
    <w:p>
      <w:pPr>
        <w:jc w:val="both"/>
        <w:spacing w:after="0" w:line="260" w:lineRule="auto"/>
        <w:rPr>
          <w:rFonts w:ascii="Arial" w:cs="Arial" w:eastAsia="Arial" w:hAnsi="Arial"/>
          <w:sz w:val="18"/>
          <w:szCs w:val="18"/>
          <w:color w:val="0000FF"/>
        </w:rPr>
      </w:pPr>
      <w:hyperlink r:id="rId499">
        <w:r>
          <w:rPr>
            <w:rFonts w:ascii="Arial" w:cs="Arial" w:eastAsia="Arial" w:hAnsi="Arial"/>
            <w:sz w:val="18"/>
            <w:szCs w:val="18"/>
            <w:u w:val="single" w:color="auto"/>
            <w:color w:val="0000FF"/>
          </w:rPr>
          <w:t>Purchase Agreement No. 03735, dated as of February 1, 2013, between American Airlines, Inc., and The Boeing Company</w:t>
        </w:r>
      </w:hyperlink>
      <w:r>
        <w:rPr>
          <w:rFonts w:ascii="Arial" w:cs="Arial" w:eastAsia="Arial" w:hAnsi="Arial"/>
          <w:sz w:val="18"/>
          <w:szCs w:val="18"/>
          <w:u w:val="single" w:color="auto"/>
          <w:color w:val="0000FF"/>
        </w:rPr>
        <w:t xml:space="preserve"> </w:t>
      </w:r>
      <w:hyperlink r:id="rId499">
        <w:r>
          <w:rPr>
            <w:rFonts w:ascii="Arial" w:cs="Arial" w:eastAsia="Arial" w:hAnsi="Arial"/>
            <w:sz w:val="18"/>
            <w:szCs w:val="18"/>
            <w:u w:val="single" w:color="auto"/>
            <w:color w:val="0000FF"/>
          </w:rPr>
          <w:t>(incorporated by reference to Exhibit 10.69 to AAG’s Annual Report on Form 10-K for the year ended December 31, 2021</w:t>
        </w:r>
      </w:hyperlink>
      <w:r>
        <w:rPr>
          <w:rFonts w:ascii="Arial" w:cs="Arial" w:eastAsia="Arial" w:hAnsi="Arial"/>
          <w:sz w:val="18"/>
          <w:szCs w:val="18"/>
          <w:u w:val="single" w:color="auto"/>
          <w:color w:val="0000FF"/>
        </w:rPr>
        <w:t xml:space="preserve"> </w:t>
      </w:r>
      <w:hyperlink r:id="rId499">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00">
        <w:r>
          <w:rPr>
            <w:rFonts w:ascii="Arial" w:cs="Arial" w:eastAsia="Arial" w:hAnsi="Arial"/>
            <w:sz w:val="18"/>
            <w:szCs w:val="18"/>
            <w:u w:val="single" w:color="auto"/>
            <w:color w:val="0000FF"/>
          </w:rPr>
          <w:t>Supplemental Agreement No. 1, dated as of April 15, 2013, to Purchase Agreement No. 03735 dated as of February 1, 2013,</w:t>
        </w:r>
      </w:hyperlink>
      <w:r>
        <w:rPr>
          <w:rFonts w:ascii="Arial" w:cs="Arial" w:eastAsia="Arial" w:hAnsi="Arial"/>
          <w:sz w:val="18"/>
          <w:szCs w:val="18"/>
          <w:u w:val="single" w:color="auto"/>
          <w:color w:val="0000FF"/>
        </w:rPr>
        <w:t xml:space="preserve"> </w:t>
      </w:r>
      <w:hyperlink r:id="rId500">
        <w:r>
          <w:rPr>
            <w:rFonts w:ascii="Arial" w:cs="Arial" w:eastAsia="Arial" w:hAnsi="Arial"/>
            <w:sz w:val="18"/>
            <w:szCs w:val="18"/>
            <w:u w:val="single" w:color="auto"/>
            <w:color w:val="0000FF"/>
          </w:rPr>
          <w:t>between American Airlines, Inc. and The Boeing Company (incorporated by reference to Exhibit 10.70 to AAG’s Annual Report</w:t>
        </w:r>
      </w:hyperlink>
      <w:r>
        <w:rPr>
          <w:rFonts w:ascii="Arial" w:cs="Arial" w:eastAsia="Arial" w:hAnsi="Arial"/>
          <w:sz w:val="18"/>
          <w:szCs w:val="18"/>
          <w:u w:val="single" w:color="auto"/>
          <w:color w:val="0000FF"/>
        </w:rPr>
        <w:t xml:space="preserve"> </w:t>
      </w:r>
      <w:hyperlink r:id="rId500">
        <w:r>
          <w:rPr>
            <w:rFonts w:ascii="Arial" w:cs="Arial" w:eastAsia="Arial" w:hAnsi="Arial"/>
            <w:sz w:val="18"/>
            <w:szCs w:val="18"/>
            <w:u w:val="single" w:color="auto"/>
            <w:color w:val="0000FF"/>
          </w:rPr>
          <w:t>on 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01">
        <w:r>
          <w:rPr>
            <w:rFonts w:ascii="Arial" w:cs="Arial" w:eastAsia="Arial" w:hAnsi="Arial"/>
            <w:sz w:val="18"/>
            <w:szCs w:val="18"/>
            <w:u w:val="single" w:color="auto"/>
            <w:color w:val="0000FF"/>
          </w:rPr>
          <w:t>Supplemental Agreement No. 2, dated as of March 6, 2015, to Purchase Agreement No. 03735 dated as of February 1, 2013,</w:t>
        </w:r>
      </w:hyperlink>
      <w:r>
        <w:rPr>
          <w:rFonts w:ascii="Arial" w:cs="Arial" w:eastAsia="Arial" w:hAnsi="Arial"/>
          <w:sz w:val="18"/>
          <w:szCs w:val="18"/>
          <w:u w:val="single" w:color="auto"/>
          <w:color w:val="0000FF"/>
        </w:rPr>
        <w:t xml:space="preserve"> </w:t>
      </w:r>
      <w:hyperlink r:id="rId501">
        <w:r>
          <w:rPr>
            <w:rFonts w:ascii="Arial" w:cs="Arial" w:eastAsia="Arial" w:hAnsi="Arial"/>
            <w:sz w:val="18"/>
            <w:szCs w:val="18"/>
            <w:u w:val="single" w:color="auto"/>
            <w:color w:val="0000FF"/>
          </w:rPr>
          <w:t>between American Airlines, Inc. and The Boeing Company (incorporated by reference to Exhibit 10.71 to AAG’s Annual Report</w:t>
        </w:r>
      </w:hyperlink>
      <w:r>
        <w:rPr>
          <w:rFonts w:ascii="Arial" w:cs="Arial" w:eastAsia="Arial" w:hAnsi="Arial"/>
          <w:sz w:val="18"/>
          <w:szCs w:val="18"/>
          <w:u w:val="single" w:color="auto"/>
          <w:color w:val="0000FF"/>
        </w:rPr>
        <w:t xml:space="preserve"> </w:t>
      </w:r>
      <w:hyperlink r:id="rId501">
        <w:r>
          <w:rPr>
            <w:rFonts w:ascii="Arial" w:cs="Arial" w:eastAsia="Arial" w:hAnsi="Arial"/>
            <w:sz w:val="18"/>
            <w:szCs w:val="18"/>
            <w:u w:val="single" w:color="auto"/>
            <w:color w:val="0000FF"/>
          </w:rPr>
          <w:t>on 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02">
        <w:r>
          <w:rPr>
            <w:rFonts w:ascii="Arial" w:cs="Arial" w:eastAsia="Arial" w:hAnsi="Arial"/>
            <w:sz w:val="18"/>
            <w:szCs w:val="18"/>
            <w:u w:val="single" w:color="auto"/>
            <w:color w:val="0000FF"/>
          </w:rPr>
          <w:t>Supplemental Agreement No. 3, dated as of May 22, 2015, to Purchase Agreement No. 03735 dated as of February 1, 2013,</w:t>
        </w:r>
      </w:hyperlink>
      <w:r>
        <w:rPr>
          <w:rFonts w:ascii="Arial" w:cs="Arial" w:eastAsia="Arial" w:hAnsi="Arial"/>
          <w:sz w:val="18"/>
          <w:szCs w:val="18"/>
          <w:u w:val="single" w:color="auto"/>
          <w:color w:val="0000FF"/>
        </w:rPr>
        <w:t xml:space="preserve"> </w:t>
      </w:r>
      <w:hyperlink r:id="rId502">
        <w:r>
          <w:rPr>
            <w:rFonts w:ascii="Arial" w:cs="Arial" w:eastAsia="Arial" w:hAnsi="Arial"/>
            <w:sz w:val="18"/>
            <w:szCs w:val="18"/>
            <w:u w:val="single" w:color="auto"/>
            <w:color w:val="0000FF"/>
          </w:rPr>
          <w:t>between American Airlines, Inc. and The Boeing Company (incorporated by reference to Exhibit 10.72 to AAG’s Annual Report</w:t>
        </w:r>
      </w:hyperlink>
      <w:r>
        <w:rPr>
          <w:rFonts w:ascii="Arial" w:cs="Arial" w:eastAsia="Arial" w:hAnsi="Arial"/>
          <w:sz w:val="18"/>
          <w:szCs w:val="18"/>
          <w:u w:val="single" w:color="auto"/>
          <w:color w:val="0000FF"/>
        </w:rPr>
        <w:t xml:space="preserve"> </w:t>
      </w:r>
      <w:hyperlink r:id="rId502">
        <w:r>
          <w:rPr>
            <w:rFonts w:ascii="Arial" w:cs="Arial" w:eastAsia="Arial" w:hAnsi="Arial"/>
            <w:sz w:val="18"/>
            <w:szCs w:val="18"/>
            <w:u w:val="single" w:color="auto"/>
            <w:color w:val="0000FF"/>
          </w:rPr>
          <w:t>on 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03">
        <w:r>
          <w:rPr>
            <w:rFonts w:ascii="Arial" w:cs="Arial" w:eastAsia="Arial" w:hAnsi="Arial"/>
            <w:sz w:val="18"/>
            <w:szCs w:val="18"/>
            <w:u w:val="single" w:color="auto"/>
            <w:color w:val="0000FF"/>
          </w:rPr>
          <w:t>Letter Agreement, dated as of January 14, 2016, to Purchase Agreement No. 03735 dated as of February 1, 2013, between</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American Airlines, Inc. and The Boeing Company (incorporated by reference to Exhibit 10.73 to AAG’s Annual Report on Form</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55" w:lineRule="auto"/>
        <w:rPr>
          <w:rFonts w:ascii="Arial" w:cs="Arial" w:eastAsia="Arial" w:hAnsi="Arial"/>
          <w:sz w:val="18"/>
          <w:szCs w:val="18"/>
          <w:color w:val="0000FF"/>
        </w:rPr>
      </w:pPr>
      <w:hyperlink r:id="rId504">
        <w:r>
          <w:rPr>
            <w:rFonts w:ascii="Arial" w:cs="Arial" w:eastAsia="Arial" w:hAnsi="Arial"/>
            <w:sz w:val="18"/>
            <w:szCs w:val="18"/>
            <w:u w:val="single" w:color="auto"/>
            <w:color w:val="0000FF"/>
          </w:rPr>
          <w:t>Supplemental Agreement No. 4, dated as of June 6, 2016, to Purchase Agreement No. 03735 dated as of February 1, 2013,</w:t>
        </w:r>
      </w:hyperlink>
      <w:r>
        <w:rPr>
          <w:rFonts w:ascii="Arial" w:cs="Arial" w:eastAsia="Arial" w:hAnsi="Arial"/>
          <w:sz w:val="18"/>
          <w:szCs w:val="18"/>
          <w:u w:val="single" w:color="auto"/>
          <w:color w:val="0000FF"/>
        </w:rPr>
        <w:t xml:space="preserve"> </w:t>
      </w:r>
      <w:hyperlink r:id="rId504">
        <w:r>
          <w:rPr>
            <w:rFonts w:ascii="Arial" w:cs="Arial" w:eastAsia="Arial" w:hAnsi="Arial"/>
            <w:sz w:val="18"/>
            <w:szCs w:val="18"/>
            <w:u w:val="single" w:color="auto"/>
            <w:color w:val="0000FF"/>
          </w:rPr>
          <w:t>between American Airlines, Inc. and The Boeing Company (incorporated by reference to Exhibit 10.74 to AAG’s Annual Report</w:t>
        </w:r>
      </w:hyperlink>
      <w:r>
        <w:rPr>
          <w:rFonts w:ascii="Arial" w:cs="Arial" w:eastAsia="Arial" w:hAnsi="Arial"/>
          <w:sz w:val="18"/>
          <w:szCs w:val="18"/>
          <w:u w:val="single" w:color="auto"/>
          <w:color w:val="0000FF"/>
        </w:rPr>
        <w:t xml:space="preserve"> </w:t>
      </w:r>
      <w:hyperlink r:id="rId504">
        <w:r>
          <w:rPr>
            <w:rFonts w:ascii="Arial" w:cs="Arial" w:eastAsia="Arial" w:hAnsi="Arial"/>
            <w:sz w:val="18"/>
            <w:szCs w:val="18"/>
            <w:u w:val="single" w:color="auto"/>
            <w:color w:val="0000FF"/>
          </w:rPr>
          <w:t>on 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sectPr>
          <w:pgSz w:w="11900" w:h="16838" w:orient="portrait"/>
          <w:cols w:equalWidth="0" w:num="2">
            <w:col w:w="480" w:space="440"/>
            <w:col w:w="10300"/>
          </w:cols>
          <w:pgMar w:left="320" w:top="364" w:right="359" w:bottom="1440" w:gutter="0" w:footer="0" w:header="0"/>
          <w:type w:val="continuous"/>
        </w:sectPr>
      </w:pPr>
    </w:p>
    <w:p>
      <w:pPr>
        <w:jc w:val="both"/>
        <w:ind w:left="920" w:hanging="890"/>
        <w:spacing w:after="0" w:line="26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10.77</w:t>
      </w:r>
      <w:r>
        <w:rPr>
          <w:sz w:val="20"/>
          <w:szCs w:val="20"/>
          <w:color w:val="auto"/>
        </w:rPr>
        <w:tab/>
      </w:r>
      <w:hyperlink r:id="rId505">
        <w:r>
          <w:rPr>
            <w:rFonts w:ascii="Arial" w:cs="Arial" w:eastAsia="Arial" w:hAnsi="Arial"/>
            <w:sz w:val="18"/>
            <w:szCs w:val="18"/>
            <w:u w:val="single" w:color="auto"/>
            <w:color w:val="0000FF"/>
          </w:rPr>
          <w:t>Supplemental Agreement No. 5, dated as of August 8, 2016, to Purchase Agreement No. 03735 dated as of February 1, 2013,</w:t>
        </w:r>
      </w:hyperlink>
      <w:r>
        <w:rPr>
          <w:rFonts w:ascii="Arial" w:cs="Arial" w:eastAsia="Arial" w:hAnsi="Arial"/>
          <w:sz w:val="18"/>
          <w:szCs w:val="18"/>
          <w:u w:val="single" w:color="auto"/>
          <w:color w:val="0000FF"/>
        </w:rPr>
        <w:t xml:space="preserve"> </w:t>
      </w:r>
      <w:hyperlink r:id="rId505">
        <w:r>
          <w:rPr>
            <w:rFonts w:ascii="Arial" w:cs="Arial" w:eastAsia="Arial" w:hAnsi="Arial"/>
            <w:sz w:val="18"/>
            <w:szCs w:val="18"/>
            <w:u w:val="single" w:color="auto"/>
            <w:color w:val="0000FF"/>
          </w:rPr>
          <w:t>between American Airlines, Inc. and The Boeing Company (incorporated by reference to Exhibit 10.75 to AAG’s Annual Report</w:t>
        </w:r>
      </w:hyperlink>
      <w:r>
        <w:rPr>
          <w:rFonts w:ascii="Arial" w:cs="Arial" w:eastAsia="Arial" w:hAnsi="Arial"/>
          <w:sz w:val="18"/>
          <w:szCs w:val="18"/>
          <w:u w:val="single" w:color="auto"/>
          <w:color w:val="0000FF"/>
        </w:rPr>
        <w:t xml:space="preserve"> </w:t>
      </w:r>
      <w:hyperlink r:id="rId505">
        <w:r>
          <w:rPr>
            <w:rFonts w:ascii="Arial" w:cs="Arial" w:eastAsia="Arial" w:hAnsi="Arial"/>
            <w:sz w:val="18"/>
            <w:szCs w:val="18"/>
            <w:u w:val="single" w:color="auto"/>
            <w:color w:val="0000FF"/>
          </w:rPr>
          <w:t>on Form 10-K for the year ended December 31, 2021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13"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201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line="256" w:lineRule="auto"/>
        <w:rPr>
          <w:sz w:val="20"/>
          <w:szCs w:val="20"/>
          <w:color w:val="auto"/>
        </w:rPr>
      </w:pPr>
      <w:r>
        <w:rPr>
          <w:rFonts w:ascii="Arial" w:cs="Arial" w:eastAsia="Arial" w:hAnsi="Arial"/>
          <w:sz w:val="14"/>
          <w:szCs w:val="14"/>
          <w:b w:val="1"/>
          <w:bCs w:val="1"/>
          <w:color w:val="auto"/>
        </w:rPr>
        <w:t xml:space="preserve">Exhibit </w:t>
      </w:r>
      <w:r>
        <w:rPr>
          <w:rFonts w:ascii="Arial" w:cs="Arial" w:eastAsia="Arial" w:hAnsi="Arial"/>
          <w:sz w:val="14"/>
          <w:szCs w:val="14"/>
          <w:b w:val="1"/>
          <w:bCs w:val="1"/>
          <w:u w:val="single" w:color="auto"/>
          <w:color w:val="auto"/>
        </w:rPr>
        <w:t>Number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10.78</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10.79</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10.80</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10.82</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10.83</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10.84</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10.85</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10.86</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10.87</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45" w:lineRule="exact"/>
        <w:rPr>
          <w:sz w:val="20"/>
          <w:szCs w:val="20"/>
          <w:color w:val="auto"/>
        </w:rPr>
      </w:pPr>
    </w:p>
    <w:p>
      <w:pPr>
        <w:jc w:val="both"/>
        <w:spacing w:after="0" w:line="260" w:lineRule="auto"/>
        <w:rPr>
          <w:rFonts w:ascii="Arial" w:cs="Arial" w:eastAsia="Arial" w:hAnsi="Arial"/>
          <w:sz w:val="18"/>
          <w:szCs w:val="18"/>
          <w:color w:val="0000FF"/>
        </w:rPr>
      </w:pPr>
      <w:hyperlink r:id="rId507">
        <w:r>
          <w:rPr>
            <w:rFonts w:ascii="Arial" w:cs="Arial" w:eastAsia="Arial" w:hAnsi="Arial"/>
            <w:sz w:val="18"/>
            <w:szCs w:val="18"/>
            <w:u w:val="single" w:color="auto"/>
            <w:color w:val="0000FF"/>
          </w:rPr>
          <w:t>Supplemental Agreement No. 6, dated as of November 15, 2016, to Purchase Agreement No. 03735 dated as of February 1,</w:t>
        </w:r>
      </w:hyperlink>
      <w:r>
        <w:rPr>
          <w:rFonts w:ascii="Arial" w:cs="Arial" w:eastAsia="Arial" w:hAnsi="Arial"/>
          <w:sz w:val="18"/>
          <w:szCs w:val="18"/>
          <w:u w:val="single" w:color="auto"/>
          <w:color w:val="0000FF"/>
        </w:rPr>
        <w:t xml:space="preserve"> </w:t>
      </w:r>
      <w:hyperlink r:id="rId507">
        <w:r>
          <w:rPr>
            <w:rFonts w:ascii="Arial" w:cs="Arial" w:eastAsia="Arial" w:hAnsi="Arial"/>
            <w:sz w:val="18"/>
            <w:szCs w:val="18"/>
            <w:u w:val="single" w:color="auto"/>
            <w:color w:val="0000FF"/>
          </w:rPr>
          <w:t>2013, between American Airlines, Inc. and The Boeing Company (incorporated by reference to Exhibit 10.76 to AAG’s Annual</w:t>
        </w:r>
      </w:hyperlink>
      <w:r>
        <w:rPr>
          <w:rFonts w:ascii="Arial" w:cs="Arial" w:eastAsia="Arial" w:hAnsi="Arial"/>
          <w:sz w:val="18"/>
          <w:szCs w:val="18"/>
          <w:u w:val="single" w:color="auto"/>
          <w:color w:val="0000FF"/>
        </w:rPr>
        <w:t xml:space="preserve"> </w:t>
      </w:r>
      <w:hyperlink r:id="rId507">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08">
        <w:r>
          <w:rPr>
            <w:rFonts w:ascii="Arial" w:cs="Arial" w:eastAsia="Arial" w:hAnsi="Arial"/>
            <w:sz w:val="18"/>
            <w:szCs w:val="18"/>
            <w:u w:val="single" w:color="auto"/>
            <w:color w:val="0000FF"/>
          </w:rPr>
          <w:t>Supplemental Agreement No. 7, dated as of March 2, 2017, to Purchase Agreement No. 03735 dated as of February 1, 2013,</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between American Airlines, Inc. and The Boeing Company (incorporated by reference to Exhibit 10.77 to AAG’s Annual Report</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on 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09">
        <w:r>
          <w:rPr>
            <w:rFonts w:ascii="Arial" w:cs="Arial" w:eastAsia="Arial" w:hAnsi="Arial"/>
            <w:sz w:val="18"/>
            <w:szCs w:val="18"/>
            <w:u w:val="single" w:color="auto"/>
            <w:color w:val="0000FF"/>
          </w:rPr>
          <w:t>Supplemental Agreement No. 8, dated as of December 7, 2017, to Purchase Agreement No. 03735 dated as of February 1,</w:t>
        </w:r>
      </w:hyperlink>
      <w:r>
        <w:rPr>
          <w:rFonts w:ascii="Arial" w:cs="Arial" w:eastAsia="Arial" w:hAnsi="Arial"/>
          <w:sz w:val="18"/>
          <w:szCs w:val="18"/>
          <w:u w:val="single" w:color="auto"/>
          <w:color w:val="0000FF"/>
        </w:rPr>
        <w:t xml:space="preserve"> </w:t>
      </w:r>
      <w:hyperlink r:id="rId509">
        <w:r>
          <w:rPr>
            <w:rFonts w:ascii="Arial" w:cs="Arial" w:eastAsia="Arial" w:hAnsi="Arial"/>
            <w:sz w:val="18"/>
            <w:szCs w:val="18"/>
            <w:u w:val="single" w:color="auto"/>
            <w:color w:val="0000FF"/>
          </w:rPr>
          <w:t>2013, between American Airlines, Inc. and The Boeing Company (incorporated by reference to Exhibit 10.45 to AAG’s Annual</w:t>
        </w:r>
      </w:hyperlink>
      <w:r>
        <w:rPr>
          <w:rFonts w:ascii="Arial" w:cs="Arial" w:eastAsia="Arial" w:hAnsi="Arial"/>
          <w:sz w:val="18"/>
          <w:szCs w:val="18"/>
          <w:u w:val="single" w:color="auto"/>
          <w:color w:val="0000FF"/>
        </w:rPr>
        <w:t xml:space="preserve"> </w:t>
      </w:r>
      <w:hyperlink r:id="rId509">
        <w:r>
          <w:rPr>
            <w:rFonts w:ascii="Arial" w:cs="Arial" w:eastAsia="Arial" w:hAnsi="Arial"/>
            <w:sz w:val="18"/>
            <w:szCs w:val="18"/>
            <w:u w:val="single" w:color="auto"/>
            <w:color w:val="0000FF"/>
          </w:rPr>
          <w:t>Report on Form 10-K for the year ended December 31, 2017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10">
        <w:r>
          <w:rPr>
            <w:rFonts w:ascii="Arial" w:cs="Arial" w:eastAsia="Arial" w:hAnsi="Arial"/>
            <w:sz w:val="18"/>
            <w:szCs w:val="18"/>
            <w:u w:val="single" w:color="auto"/>
            <w:color w:val="0000FF"/>
          </w:rPr>
          <w:t>Supplemental Agreement No. 9, dated as of April 6, 2018, to Purchase Agreement No. 03735 dated as of February 1, 2013, by</w:t>
        </w:r>
      </w:hyperlink>
      <w:r>
        <w:rPr>
          <w:rFonts w:ascii="Arial" w:cs="Arial" w:eastAsia="Arial" w:hAnsi="Arial"/>
          <w:sz w:val="18"/>
          <w:szCs w:val="18"/>
          <w:u w:val="single" w:color="auto"/>
          <w:color w:val="0000FF"/>
        </w:rPr>
        <w:t xml:space="preserve"> </w:t>
      </w:r>
      <w:hyperlink r:id="rId510">
        <w:r>
          <w:rPr>
            <w:rFonts w:ascii="Arial" w:cs="Arial" w:eastAsia="Arial" w:hAnsi="Arial"/>
            <w:sz w:val="18"/>
            <w:szCs w:val="18"/>
            <w:u w:val="single" w:color="auto"/>
            <w:color w:val="0000FF"/>
          </w:rPr>
          <w:t>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510">
        <w:r>
          <w:rPr>
            <w:rFonts w:ascii="Arial" w:cs="Arial" w:eastAsia="Arial" w:hAnsi="Arial"/>
            <w:sz w:val="18"/>
            <w:szCs w:val="18"/>
            <w:u w:val="single" w:color="auto"/>
            <w:color w:val="0000FF"/>
          </w:rPr>
          <w:t>Report on Form 10-Q for the quarter ended June 30, 2018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11">
        <w:r>
          <w:rPr>
            <w:rFonts w:ascii="Arial" w:cs="Arial" w:eastAsia="Arial" w:hAnsi="Arial"/>
            <w:sz w:val="18"/>
            <w:szCs w:val="18"/>
            <w:u w:val="single" w:color="auto"/>
            <w:color w:val="0000FF"/>
          </w:rPr>
          <w:t>Supplemental Agreement No. 10, dated as of March 26, 2019, to Purchase Agreement No. 03735 dated as of February 1, 2013,</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by 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Report on Form 10-Q for the quarter ended March 31, 2019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12">
        <w:r>
          <w:rPr>
            <w:rFonts w:ascii="Arial" w:cs="Arial" w:eastAsia="Arial" w:hAnsi="Arial"/>
            <w:sz w:val="18"/>
            <w:szCs w:val="18"/>
            <w:u w:val="single" w:color="auto"/>
            <w:color w:val="0000FF"/>
          </w:rPr>
          <w:t>Letter Agreement, dated as of September 4, 2020, to Purchase Agreement No. 03735 dated as of February 1, 2013, by and</w:t>
        </w:r>
      </w:hyperlink>
      <w:r>
        <w:rPr>
          <w:rFonts w:ascii="Arial" w:cs="Arial" w:eastAsia="Arial" w:hAnsi="Arial"/>
          <w:sz w:val="18"/>
          <w:szCs w:val="18"/>
          <w:u w:val="single" w:color="auto"/>
          <w:color w:val="0000FF"/>
        </w:rPr>
        <w:t xml:space="preserve"> </w:t>
      </w:r>
      <w:hyperlink r:id="rId512">
        <w:r>
          <w:rPr>
            <w:rFonts w:ascii="Arial" w:cs="Arial" w:eastAsia="Arial" w:hAnsi="Arial"/>
            <w:sz w:val="18"/>
            <w:szCs w:val="18"/>
            <w:u w:val="single" w:color="auto"/>
            <w:color w:val="0000FF"/>
          </w:rPr>
          <w:t>between American Airlines, Inc. and The Boeing Company (incorporated by reference to Exhibit 10.3 to AAG’s Quarterly Report</w:t>
        </w:r>
      </w:hyperlink>
      <w:r>
        <w:rPr>
          <w:rFonts w:ascii="Arial" w:cs="Arial" w:eastAsia="Arial" w:hAnsi="Arial"/>
          <w:sz w:val="18"/>
          <w:szCs w:val="18"/>
          <w:u w:val="single" w:color="auto"/>
          <w:color w:val="0000FF"/>
        </w:rPr>
        <w:t xml:space="preserve"> </w:t>
      </w:r>
      <w:hyperlink r:id="rId512">
        <w:r>
          <w:rPr>
            <w:rFonts w:ascii="Arial" w:cs="Arial" w:eastAsia="Arial" w:hAnsi="Arial"/>
            <w:sz w:val="18"/>
            <w:szCs w:val="18"/>
            <w:u w:val="single" w:color="auto"/>
            <w:color w:val="0000FF"/>
          </w:rPr>
          <w:t>on Form 10-Q for the quarter ended September 30,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13">
        <w:r>
          <w:rPr>
            <w:rFonts w:ascii="Arial" w:cs="Arial" w:eastAsia="Arial" w:hAnsi="Arial"/>
            <w:sz w:val="18"/>
            <w:szCs w:val="18"/>
            <w:u w:val="single" w:color="auto"/>
            <w:color w:val="0000FF"/>
          </w:rPr>
          <w:t>Supplemental Agreement No. 11, dated as of October 9, 2020, to Purchase Agreement No. 03735 dated as of February 1, 2013,</w:t>
        </w:r>
      </w:hyperlink>
      <w:r>
        <w:rPr>
          <w:rFonts w:ascii="Arial" w:cs="Arial" w:eastAsia="Arial" w:hAnsi="Arial"/>
          <w:sz w:val="18"/>
          <w:szCs w:val="18"/>
          <w:u w:val="single" w:color="auto"/>
          <w:color w:val="0000FF"/>
        </w:rPr>
        <w:t xml:space="preserve"> </w:t>
      </w:r>
      <w:hyperlink r:id="rId513">
        <w:r>
          <w:rPr>
            <w:rFonts w:ascii="Arial" w:cs="Arial" w:eastAsia="Arial" w:hAnsi="Arial"/>
            <w:sz w:val="18"/>
            <w:szCs w:val="18"/>
            <w:u w:val="single" w:color="auto"/>
            <w:color w:val="0000FF"/>
          </w:rPr>
          <w:t>by and between American Airlines, Inc. and The Boeing Company (incorporated by reference to Exhibit 10.74 to AAG’s Annual</w:t>
        </w:r>
      </w:hyperlink>
      <w:r>
        <w:rPr>
          <w:rFonts w:ascii="Arial" w:cs="Arial" w:eastAsia="Arial" w:hAnsi="Arial"/>
          <w:sz w:val="18"/>
          <w:szCs w:val="18"/>
          <w:u w:val="single" w:color="auto"/>
          <w:color w:val="0000FF"/>
        </w:rPr>
        <w:t xml:space="preserve"> </w:t>
      </w:r>
      <w:hyperlink r:id="rId513">
        <w:r>
          <w:rPr>
            <w:rFonts w:ascii="Arial" w:cs="Arial" w:eastAsia="Arial" w:hAnsi="Arial"/>
            <w:sz w:val="18"/>
            <w:szCs w:val="18"/>
            <w:u w:val="single" w:color="auto"/>
            <w:color w:val="0000FF"/>
          </w:rPr>
          <w:t>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14">
        <w:r>
          <w:rPr>
            <w:rFonts w:ascii="Arial" w:cs="Arial" w:eastAsia="Arial" w:hAnsi="Arial"/>
            <w:sz w:val="18"/>
            <w:szCs w:val="18"/>
            <w:u w:val="single" w:color="auto"/>
            <w:color w:val="0000FF"/>
          </w:rPr>
          <w:t>Supplemental Agreement No. 12, dated as of October 22, 2020, to Purchase Agreement No. 03735 dated as of February 1,</w:t>
        </w:r>
      </w:hyperlink>
      <w:r>
        <w:rPr>
          <w:rFonts w:ascii="Arial" w:cs="Arial" w:eastAsia="Arial" w:hAnsi="Arial"/>
          <w:sz w:val="18"/>
          <w:szCs w:val="18"/>
          <w:u w:val="single" w:color="auto"/>
          <w:color w:val="0000FF"/>
        </w:rPr>
        <w:t xml:space="preserve"> </w:t>
      </w:r>
      <w:hyperlink r:id="rId514">
        <w:r>
          <w:rPr>
            <w:rFonts w:ascii="Arial" w:cs="Arial" w:eastAsia="Arial" w:hAnsi="Arial"/>
            <w:sz w:val="18"/>
            <w:szCs w:val="18"/>
            <w:u w:val="single" w:color="auto"/>
            <w:color w:val="0000FF"/>
          </w:rPr>
          <w:t>2013, by and between American Airlines, Inc. and The Boeing Company (incorporated by reference to Exhibit 10.75 to AAG’s</w:t>
        </w:r>
      </w:hyperlink>
      <w:r>
        <w:rPr>
          <w:rFonts w:ascii="Arial" w:cs="Arial" w:eastAsia="Arial" w:hAnsi="Arial"/>
          <w:sz w:val="18"/>
          <w:szCs w:val="18"/>
          <w:u w:val="single" w:color="auto"/>
          <w:color w:val="0000FF"/>
        </w:rPr>
        <w:t xml:space="preserve"> </w:t>
      </w:r>
      <w:hyperlink r:id="rId514">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15">
        <w:r>
          <w:rPr>
            <w:rFonts w:ascii="Arial" w:cs="Arial" w:eastAsia="Arial" w:hAnsi="Arial"/>
            <w:sz w:val="18"/>
            <w:szCs w:val="18"/>
            <w:u w:val="single" w:color="auto"/>
            <w:color w:val="0000FF"/>
          </w:rPr>
          <w:t>Supplemental Agreement No. 13, dated as of November 17, 2020, to Purchase Agreement No. 03735 dated as of February 1,</w:t>
        </w:r>
      </w:hyperlink>
      <w:r>
        <w:rPr>
          <w:rFonts w:ascii="Arial" w:cs="Arial" w:eastAsia="Arial" w:hAnsi="Arial"/>
          <w:sz w:val="18"/>
          <w:szCs w:val="18"/>
          <w:u w:val="single" w:color="auto"/>
          <w:color w:val="0000FF"/>
        </w:rPr>
        <w:t xml:space="preserve"> </w:t>
      </w:r>
      <w:hyperlink r:id="rId515">
        <w:r>
          <w:rPr>
            <w:rFonts w:ascii="Arial" w:cs="Arial" w:eastAsia="Arial" w:hAnsi="Arial"/>
            <w:sz w:val="18"/>
            <w:szCs w:val="18"/>
            <w:u w:val="single" w:color="auto"/>
            <w:color w:val="0000FF"/>
          </w:rPr>
          <w:t>2013, by and between American Airlines, Inc. and The Boeing Company (incorporated by reference to Exhibit 10.76 to AAG’s</w:t>
        </w:r>
      </w:hyperlink>
      <w:r>
        <w:rPr>
          <w:rFonts w:ascii="Arial" w:cs="Arial" w:eastAsia="Arial" w:hAnsi="Arial"/>
          <w:sz w:val="18"/>
          <w:szCs w:val="18"/>
          <w:u w:val="single" w:color="auto"/>
          <w:color w:val="0000FF"/>
        </w:rPr>
        <w:t xml:space="preserve"> </w:t>
      </w:r>
      <w:hyperlink r:id="rId515">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16">
        <w:r>
          <w:rPr>
            <w:rFonts w:ascii="Arial" w:cs="Arial" w:eastAsia="Arial" w:hAnsi="Arial"/>
            <w:sz w:val="18"/>
            <w:szCs w:val="18"/>
            <w:u w:val="single" w:color="auto"/>
            <w:color w:val="0000FF"/>
          </w:rPr>
          <w:t>Supplemental Agreement No. 14, dated as of November 25, 2020, to Purchase Agreement No. 03735 dated as of February 1,</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2013, by and between American Airlines, Inc. and The Boeing Company (incorporated by reference to Exhibit 10.77 to AAG’s</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55" w:lineRule="auto"/>
        <w:rPr>
          <w:rFonts w:ascii="Arial" w:cs="Arial" w:eastAsia="Arial" w:hAnsi="Arial"/>
          <w:sz w:val="18"/>
          <w:szCs w:val="18"/>
          <w:color w:val="0000FF"/>
        </w:rPr>
      </w:pPr>
      <w:hyperlink r:id="rId517">
        <w:r>
          <w:rPr>
            <w:rFonts w:ascii="Arial" w:cs="Arial" w:eastAsia="Arial" w:hAnsi="Arial"/>
            <w:sz w:val="18"/>
            <w:szCs w:val="18"/>
            <w:u w:val="single" w:color="auto"/>
            <w:color w:val="0000FF"/>
          </w:rPr>
          <w:t>Supplemental Agreement No. 15, dated as of December 15, 2020, to Purchase Agreement No. 03735 dated as of February 1,</w:t>
        </w:r>
      </w:hyperlink>
      <w:r>
        <w:rPr>
          <w:rFonts w:ascii="Arial" w:cs="Arial" w:eastAsia="Arial" w:hAnsi="Arial"/>
          <w:sz w:val="18"/>
          <w:szCs w:val="18"/>
          <w:u w:val="single" w:color="auto"/>
          <w:color w:val="0000FF"/>
        </w:rPr>
        <w:t xml:space="preserve"> </w:t>
      </w:r>
      <w:hyperlink r:id="rId517">
        <w:r>
          <w:rPr>
            <w:rFonts w:ascii="Arial" w:cs="Arial" w:eastAsia="Arial" w:hAnsi="Arial"/>
            <w:sz w:val="18"/>
            <w:szCs w:val="18"/>
            <w:u w:val="single" w:color="auto"/>
            <w:color w:val="0000FF"/>
          </w:rPr>
          <w:t>2013, by and between American Airlines, Inc. and The Boeing Company (incorporated by reference to Exhibit 10.78 to AAG’s</w:t>
        </w:r>
      </w:hyperlink>
      <w:r>
        <w:rPr>
          <w:rFonts w:ascii="Arial" w:cs="Arial" w:eastAsia="Arial" w:hAnsi="Arial"/>
          <w:sz w:val="18"/>
          <w:szCs w:val="18"/>
          <w:u w:val="single" w:color="auto"/>
          <w:color w:val="0000FF"/>
        </w:rPr>
        <w:t xml:space="preserve"> </w:t>
      </w:r>
      <w:hyperlink r:id="rId517">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sectPr>
          <w:pgSz w:w="11900" w:h="16838" w:orient="portrait"/>
          <w:cols w:equalWidth="0" w:num="2">
            <w:col w:w="560" w:space="360"/>
            <w:col w:w="10300"/>
          </w:cols>
          <w:pgMar w:left="320" w:top="364" w:right="359" w:bottom="1440" w:gutter="0" w:footer="0" w:header="0"/>
          <w:type w:val="continuous"/>
        </w:sectPr>
      </w:pPr>
    </w:p>
    <w:p>
      <w:pPr>
        <w:jc w:val="both"/>
        <w:ind w:left="920" w:hanging="890"/>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10.89</w:t>
      </w:r>
      <w:r>
        <w:rPr>
          <w:sz w:val="20"/>
          <w:szCs w:val="20"/>
          <w:color w:val="auto"/>
        </w:rPr>
        <w:tab/>
      </w:r>
      <w:hyperlink r:id="rId518">
        <w:r>
          <w:rPr>
            <w:rFonts w:ascii="Arial" w:cs="Arial" w:eastAsia="Arial" w:hAnsi="Arial"/>
            <w:sz w:val="18"/>
            <w:szCs w:val="18"/>
            <w:u w:val="single" w:color="auto"/>
            <w:color w:val="0000FF"/>
          </w:rPr>
          <w:t>Amendment 1, dated as of December 31, 2020, to the Letter Agreement, dated as of September 4, 2020, to Purchase Agreement</w:t>
        </w:r>
      </w:hyperlink>
      <w:r>
        <w:rPr>
          <w:rFonts w:ascii="Arial" w:cs="Arial" w:eastAsia="Arial" w:hAnsi="Arial"/>
          <w:sz w:val="18"/>
          <w:szCs w:val="18"/>
          <w:u w:val="single" w:color="auto"/>
          <w:color w:val="0000FF"/>
        </w:rPr>
        <w:t xml:space="preserve"> </w:t>
      </w:r>
      <w:hyperlink r:id="rId518">
        <w:r>
          <w:rPr>
            <w:rFonts w:ascii="Arial" w:cs="Arial" w:eastAsia="Arial" w:hAnsi="Arial"/>
            <w:sz w:val="18"/>
            <w:szCs w:val="18"/>
            <w:u w:val="single" w:color="auto"/>
            <w:color w:val="0000FF"/>
          </w:rPr>
          <w:t>No. 03735 dated as of February 1, 2013, by and between American Airlines, Inc. and The Boeing Company (incorporated by</w:t>
        </w:r>
      </w:hyperlink>
      <w:r>
        <w:rPr>
          <w:rFonts w:ascii="Arial" w:cs="Arial" w:eastAsia="Arial" w:hAnsi="Arial"/>
          <w:sz w:val="18"/>
          <w:szCs w:val="18"/>
          <w:u w:val="single" w:color="auto"/>
          <w:color w:val="0000FF"/>
        </w:rPr>
        <w:t xml:space="preserve"> </w:t>
      </w:r>
      <w:hyperlink r:id="rId518">
        <w:r>
          <w:rPr>
            <w:rFonts w:ascii="Arial" w:cs="Arial" w:eastAsia="Arial" w:hAnsi="Arial"/>
            <w:sz w:val="18"/>
            <w:szCs w:val="18"/>
            <w:u w:val="single" w:color="auto"/>
            <w:color w:val="0000FF"/>
          </w:rPr>
          <w:t>reference to Exhibit 10.79 to AAG’s Annual Report on Form 10-K for the year ended December 31, 2020 (Commission File No. 1-</w:t>
        </w:r>
      </w:hyperlink>
      <w:hyperlink r:id="rId518">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8"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10.90</w:t>
      </w:r>
      <w:r>
        <w:rPr>
          <w:sz w:val="20"/>
          <w:szCs w:val="20"/>
          <w:color w:val="auto"/>
        </w:rPr>
        <w:tab/>
      </w:r>
      <w:hyperlink r:id="rId519">
        <w:r>
          <w:rPr>
            <w:rFonts w:ascii="Arial" w:cs="Arial" w:eastAsia="Arial" w:hAnsi="Arial"/>
            <w:sz w:val="18"/>
            <w:szCs w:val="18"/>
            <w:u w:val="single" w:color="auto"/>
            <w:color w:val="0000FF"/>
          </w:rPr>
          <w:t>Supplemental Agreement No. 16, dated as of January 14, 2021, to Purchase Agreement No. 03735 dated as of February 1,</w:t>
        </w:r>
      </w:hyperlink>
      <w:r>
        <w:rPr>
          <w:rFonts w:ascii="Arial" w:cs="Arial" w:eastAsia="Arial" w:hAnsi="Arial"/>
          <w:sz w:val="18"/>
          <w:szCs w:val="18"/>
          <w:u w:val="single" w:color="auto"/>
          <w:color w:val="0000FF"/>
        </w:rPr>
        <w:t xml:space="preserve"> </w:t>
      </w:r>
      <w:hyperlink r:id="rId519">
        <w:r>
          <w:rPr>
            <w:rFonts w:ascii="Arial" w:cs="Arial" w:eastAsia="Arial" w:hAnsi="Arial"/>
            <w:sz w:val="18"/>
            <w:szCs w:val="18"/>
            <w:u w:val="single" w:color="auto"/>
            <w:color w:val="0000FF"/>
          </w:rPr>
          <w:t>2013, by and between American Airlines, Inc. and The Boeing Company (incorporated by reference to Exhibit 10.5 to AAG’s</w:t>
        </w:r>
      </w:hyperlink>
      <w:r>
        <w:rPr>
          <w:rFonts w:ascii="Arial" w:cs="Arial" w:eastAsia="Arial" w:hAnsi="Arial"/>
          <w:sz w:val="18"/>
          <w:szCs w:val="18"/>
          <w:u w:val="single" w:color="auto"/>
          <w:color w:val="0000FF"/>
        </w:rPr>
        <w:t xml:space="preserve"> </w:t>
      </w:r>
      <w:hyperlink r:id="rId519">
        <w:r>
          <w:rPr>
            <w:rFonts w:ascii="Arial" w:cs="Arial" w:eastAsia="Arial" w:hAnsi="Arial"/>
            <w:sz w:val="18"/>
            <w:szCs w:val="18"/>
            <w:u w:val="single" w:color="auto"/>
            <w:color w:val="0000FF"/>
          </w:rPr>
          <w:t>Quarterly Report on Form 10-Q for the quarter ended March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10.91</w:t>
      </w:r>
      <w:r>
        <w:rPr>
          <w:sz w:val="20"/>
          <w:szCs w:val="20"/>
          <w:color w:val="auto"/>
        </w:rPr>
        <w:tab/>
      </w:r>
      <w:hyperlink r:id="rId520">
        <w:r>
          <w:rPr>
            <w:rFonts w:ascii="Arial" w:cs="Arial" w:eastAsia="Arial" w:hAnsi="Arial"/>
            <w:sz w:val="18"/>
            <w:szCs w:val="18"/>
            <w:u w:val="single" w:color="auto"/>
            <w:color w:val="0000FF"/>
          </w:rPr>
          <w:t>Supplemental Agreement No. 17, dated as of February 11, 2021, to Purchase Agreement No. 03735 dated as of February 1,</w:t>
        </w:r>
      </w:hyperlink>
      <w:r>
        <w:rPr>
          <w:rFonts w:ascii="Arial" w:cs="Arial" w:eastAsia="Arial" w:hAnsi="Arial"/>
          <w:sz w:val="18"/>
          <w:szCs w:val="18"/>
          <w:u w:val="single" w:color="auto"/>
          <w:color w:val="0000FF"/>
        </w:rPr>
        <w:t xml:space="preserve"> </w:t>
      </w:r>
      <w:hyperlink r:id="rId520">
        <w:r>
          <w:rPr>
            <w:rFonts w:ascii="Arial" w:cs="Arial" w:eastAsia="Arial" w:hAnsi="Arial"/>
            <w:sz w:val="18"/>
            <w:szCs w:val="18"/>
            <w:u w:val="single" w:color="auto"/>
            <w:color w:val="0000FF"/>
          </w:rPr>
          <w:t>2013, by and between American Airlines, Inc. and The Boeing Company (incorporated by reference to Exhibit 10.6 to AAG’s</w:t>
        </w:r>
      </w:hyperlink>
      <w:r>
        <w:rPr>
          <w:rFonts w:ascii="Arial" w:cs="Arial" w:eastAsia="Arial" w:hAnsi="Arial"/>
          <w:sz w:val="18"/>
          <w:szCs w:val="18"/>
          <w:u w:val="single" w:color="auto"/>
          <w:color w:val="0000FF"/>
        </w:rPr>
        <w:t xml:space="preserve"> </w:t>
      </w:r>
      <w:hyperlink r:id="rId520">
        <w:r>
          <w:rPr>
            <w:rFonts w:ascii="Arial" w:cs="Arial" w:eastAsia="Arial" w:hAnsi="Arial"/>
            <w:sz w:val="18"/>
            <w:szCs w:val="18"/>
            <w:u w:val="single" w:color="auto"/>
            <w:color w:val="0000FF"/>
          </w:rPr>
          <w:t>Quarterly Report on Form 10-Q for the quarter ended March 31, 2021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10.92</w:t>
      </w:r>
      <w:r>
        <w:rPr>
          <w:sz w:val="20"/>
          <w:szCs w:val="20"/>
          <w:color w:val="auto"/>
        </w:rPr>
        <w:tab/>
      </w:r>
      <w:hyperlink r:id="rId522">
        <w:r>
          <w:rPr>
            <w:rFonts w:ascii="Arial" w:cs="Arial" w:eastAsia="Arial" w:hAnsi="Arial"/>
            <w:sz w:val="18"/>
            <w:szCs w:val="18"/>
            <w:u w:val="single" w:color="auto"/>
            <w:color w:val="0000FF"/>
          </w:rPr>
          <w:t>Supplemental Agreement No. 18, dated as of March 12, 2021, to Purchase Agreement No. 03735 dated as of February 1, 2013,</w:t>
        </w:r>
      </w:hyperlink>
      <w:r>
        <w:rPr>
          <w:rFonts w:ascii="Arial" w:cs="Arial" w:eastAsia="Arial" w:hAnsi="Arial"/>
          <w:sz w:val="18"/>
          <w:szCs w:val="18"/>
          <w:u w:val="single" w:color="auto"/>
          <w:color w:val="0000FF"/>
        </w:rPr>
        <w:t xml:space="preserve"> </w:t>
      </w:r>
      <w:hyperlink r:id="rId522">
        <w:r>
          <w:rPr>
            <w:rFonts w:ascii="Arial" w:cs="Arial" w:eastAsia="Arial" w:hAnsi="Arial"/>
            <w:sz w:val="18"/>
            <w:szCs w:val="18"/>
            <w:u w:val="single" w:color="auto"/>
            <w:color w:val="0000FF"/>
          </w:rPr>
          <w:t>by and between American Airlines, Inc. and The Boeing Company (incorporated by reference to Exhibit 10.7 to AAG’s Quarterly</w:t>
        </w:r>
      </w:hyperlink>
      <w:r>
        <w:rPr>
          <w:rFonts w:ascii="Arial" w:cs="Arial" w:eastAsia="Arial" w:hAnsi="Arial"/>
          <w:sz w:val="18"/>
          <w:szCs w:val="18"/>
          <w:u w:val="single" w:color="auto"/>
          <w:color w:val="0000FF"/>
        </w:rPr>
        <w:t xml:space="preserve"> </w:t>
      </w:r>
      <w:hyperlink r:id="rId522">
        <w:r>
          <w:rPr>
            <w:rFonts w:ascii="Arial" w:cs="Arial" w:eastAsia="Arial" w:hAnsi="Arial"/>
            <w:sz w:val="18"/>
            <w:szCs w:val="18"/>
            <w:u w:val="single" w:color="auto"/>
            <w:color w:val="0000FF"/>
          </w:rPr>
          <w:t>Report on Form 10-Q for the quarter ended March 31, 2021 (Commission File No. 1-8400)).</w:t>
        </w:r>
        <w:r>
          <w:rPr>
            <w:rFonts w:ascii="Arial" w:cs="Arial" w:eastAsia="Arial" w:hAnsi="Arial"/>
            <w:sz w:val="18"/>
            <w:szCs w:val="18"/>
            <w:color w:val="000000"/>
          </w:rPr>
          <w:t>**</w:t>
        </w:r>
      </w:hyperlink>
    </w:p>
    <w:p>
      <w:pPr>
        <w:spacing w:after="0" w:line="16"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10.93</w:t>
      </w:r>
      <w:r>
        <w:rPr>
          <w:sz w:val="20"/>
          <w:szCs w:val="20"/>
          <w:color w:val="auto"/>
        </w:rPr>
        <w:tab/>
      </w:r>
      <w:hyperlink r:id="rId523">
        <w:r>
          <w:rPr>
            <w:rFonts w:ascii="Arial" w:cs="Arial" w:eastAsia="Arial" w:hAnsi="Arial"/>
            <w:sz w:val="18"/>
            <w:szCs w:val="18"/>
            <w:u w:val="single" w:color="auto"/>
            <w:color w:val="0000FF"/>
          </w:rPr>
          <w:t>Supplemental Agreement No. 19, dated as of April 8, 2021, to Purchase Agreement No. 03735 dated as of February 1, 2013, by</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and between American Airlines, Inc. and The Boeing Company (incorporated by reference to Exhibit 10.5 to AAG’s Quarterly</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Report on Form 10-Q for the quarter ended June 30,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10.94</w:t>
      </w:r>
      <w:r>
        <w:rPr>
          <w:sz w:val="20"/>
          <w:szCs w:val="20"/>
          <w:color w:val="auto"/>
        </w:rPr>
        <w:tab/>
      </w:r>
      <w:hyperlink r:id="rId524">
        <w:r>
          <w:rPr>
            <w:rFonts w:ascii="Arial" w:cs="Arial" w:eastAsia="Arial" w:hAnsi="Arial"/>
            <w:sz w:val="18"/>
            <w:szCs w:val="18"/>
            <w:u w:val="single" w:color="auto"/>
            <w:color w:val="0000FF"/>
          </w:rPr>
          <w:t>Supplemental Agreement No. 20, dated as of November 12, 2021, to Purchase Agreement No. 03735 dated as of February 1,</w:t>
        </w:r>
      </w:hyperlink>
      <w:r>
        <w:rPr>
          <w:rFonts w:ascii="Arial" w:cs="Arial" w:eastAsia="Arial" w:hAnsi="Arial"/>
          <w:sz w:val="18"/>
          <w:szCs w:val="18"/>
          <w:u w:val="single" w:color="auto"/>
          <w:color w:val="0000FF"/>
        </w:rPr>
        <w:t xml:space="preserve"> </w:t>
      </w:r>
      <w:hyperlink r:id="rId524">
        <w:r>
          <w:rPr>
            <w:rFonts w:ascii="Arial" w:cs="Arial" w:eastAsia="Arial" w:hAnsi="Arial"/>
            <w:sz w:val="18"/>
            <w:szCs w:val="18"/>
            <w:u w:val="single" w:color="auto"/>
            <w:color w:val="0000FF"/>
          </w:rPr>
          <w:t>2013, between American Airlines, Inc. and The Boeing Company (incorporated by reference to Exhibit 10.92 to AAG’s Annual</w:t>
        </w:r>
      </w:hyperlink>
      <w:r>
        <w:rPr>
          <w:rFonts w:ascii="Arial" w:cs="Arial" w:eastAsia="Arial" w:hAnsi="Arial"/>
          <w:sz w:val="18"/>
          <w:szCs w:val="18"/>
          <w:u w:val="single" w:color="auto"/>
          <w:color w:val="0000FF"/>
        </w:rPr>
        <w:t xml:space="preserve"> </w:t>
      </w:r>
      <w:hyperlink r:id="rId524">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10.95</w:t>
      </w:r>
      <w:r>
        <w:rPr>
          <w:sz w:val="20"/>
          <w:szCs w:val="20"/>
          <w:color w:val="auto"/>
        </w:rPr>
        <w:tab/>
      </w:r>
      <w:hyperlink r:id="rId525">
        <w:r>
          <w:rPr>
            <w:rFonts w:ascii="Arial" w:cs="Arial" w:eastAsia="Arial" w:hAnsi="Arial"/>
            <w:sz w:val="18"/>
            <w:szCs w:val="18"/>
            <w:u w:val="single" w:color="auto"/>
            <w:color w:val="0000FF"/>
          </w:rPr>
          <w:t>Supplemental Agreement No. 21, dated as of January 14, 2022, to Purchase Agreement No. 03735 dated as of February 1,</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2013, by and between American Airlines, Inc. and The Boeing Company (incorporated by reference to Exhibit 10.2 to AAG’s</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Quarterly Report on Form 10-Q for the quarter ended March 31, 2022 (Commission File No. 1-8400)).**</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10.96</w:t>
      </w:r>
      <w:r>
        <w:rPr>
          <w:sz w:val="20"/>
          <w:szCs w:val="20"/>
          <w:color w:val="auto"/>
        </w:rPr>
        <w:tab/>
      </w:r>
      <w:hyperlink r:id="rId526">
        <w:r>
          <w:rPr>
            <w:rFonts w:ascii="Arial" w:cs="Arial" w:eastAsia="Arial" w:hAnsi="Arial"/>
            <w:sz w:val="18"/>
            <w:szCs w:val="18"/>
            <w:u w:val="single" w:color="auto"/>
            <w:color w:val="0000FF"/>
          </w:rPr>
          <w:t>Supplemental Agreement No. 22, dated as of January 31, 2022, to Purchase Agreement No. 03735 dated as of February 1,</w:t>
        </w:r>
      </w:hyperlink>
      <w:r>
        <w:rPr>
          <w:rFonts w:ascii="Arial" w:cs="Arial" w:eastAsia="Arial" w:hAnsi="Arial"/>
          <w:sz w:val="18"/>
          <w:szCs w:val="18"/>
          <w:u w:val="single" w:color="auto"/>
          <w:color w:val="0000FF"/>
        </w:rPr>
        <w:t xml:space="preserve"> </w:t>
      </w:r>
      <w:hyperlink r:id="rId526">
        <w:r>
          <w:rPr>
            <w:rFonts w:ascii="Arial" w:cs="Arial" w:eastAsia="Arial" w:hAnsi="Arial"/>
            <w:sz w:val="18"/>
            <w:szCs w:val="18"/>
            <w:u w:val="single" w:color="auto"/>
            <w:color w:val="0000FF"/>
          </w:rPr>
          <w:t>2013, by and between American Airlines, Inc. and The Boeing Company (incorporated by reference to Exhibit 10.3 to AAG’s</w:t>
        </w:r>
      </w:hyperlink>
      <w:r>
        <w:rPr>
          <w:rFonts w:ascii="Arial" w:cs="Arial" w:eastAsia="Arial" w:hAnsi="Arial"/>
          <w:sz w:val="18"/>
          <w:szCs w:val="18"/>
          <w:u w:val="single" w:color="auto"/>
          <w:color w:val="0000FF"/>
        </w:rPr>
        <w:t xml:space="preserve"> </w:t>
      </w:r>
      <w:hyperlink r:id="rId526">
        <w:r>
          <w:rPr>
            <w:rFonts w:ascii="Arial" w:cs="Arial" w:eastAsia="Arial" w:hAnsi="Arial"/>
            <w:sz w:val="18"/>
            <w:szCs w:val="18"/>
            <w:u w:val="single" w:color="auto"/>
            <w:color w:val="0000FF"/>
          </w:rPr>
          <w:t>Quarterly Report on Form 10-Q for the quarter ended March 31, 2022 (Commission File No. 1-8400)).**</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10.97</w:t>
      </w:r>
      <w:r>
        <w:rPr>
          <w:sz w:val="20"/>
          <w:szCs w:val="20"/>
          <w:color w:val="auto"/>
        </w:rPr>
        <w:tab/>
      </w:r>
      <w:hyperlink r:id="rId527">
        <w:r>
          <w:rPr>
            <w:rFonts w:ascii="Arial" w:cs="Arial" w:eastAsia="Arial" w:hAnsi="Arial"/>
            <w:sz w:val="18"/>
            <w:szCs w:val="18"/>
            <w:u w:val="single" w:color="auto"/>
            <w:color w:val="0000FF"/>
          </w:rPr>
          <w:t>Supplemental Agreement No. 23, dated as of May 5, 2022, to Purchase Agreement No. 03735 dated as of February 1, 2013, by</w:t>
        </w:r>
      </w:hyperlink>
      <w:r>
        <w:rPr>
          <w:rFonts w:ascii="Arial" w:cs="Arial" w:eastAsia="Arial" w:hAnsi="Arial"/>
          <w:sz w:val="18"/>
          <w:szCs w:val="18"/>
          <w:u w:val="single" w:color="auto"/>
          <w:color w:val="0000FF"/>
        </w:rPr>
        <w:t xml:space="preserve"> </w:t>
      </w:r>
      <w:hyperlink r:id="rId527">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527">
        <w:r>
          <w:rPr>
            <w:rFonts w:ascii="Arial" w:cs="Arial" w:eastAsia="Arial" w:hAnsi="Arial"/>
            <w:sz w:val="18"/>
            <w:szCs w:val="18"/>
            <w:u w:val="single" w:color="auto"/>
            <w:color w:val="0000FF"/>
          </w:rPr>
          <w:t>Report on Form 10-Q for the quarter ended June 30, 2022 (Commission File No. 1-8400)).**</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10.98</w:t>
      </w:r>
      <w:r>
        <w:rPr>
          <w:sz w:val="20"/>
          <w:szCs w:val="20"/>
          <w:color w:val="auto"/>
        </w:rPr>
        <w:tab/>
      </w:r>
      <w:hyperlink r:id="rId528">
        <w:r>
          <w:rPr>
            <w:rFonts w:ascii="Arial" w:cs="Arial" w:eastAsia="Arial" w:hAnsi="Arial"/>
            <w:sz w:val="18"/>
            <w:szCs w:val="18"/>
            <w:u w:val="single" w:color="auto"/>
            <w:color w:val="0000FF"/>
          </w:rPr>
          <w:t>Supplemental Agreement No. 24, dated as of June 6, 2022, to Purchase Agreement No. 03735 dated as of February 1, 2013, by</w:t>
        </w:r>
      </w:hyperlink>
      <w:r>
        <w:rPr>
          <w:rFonts w:ascii="Arial" w:cs="Arial" w:eastAsia="Arial" w:hAnsi="Arial"/>
          <w:sz w:val="18"/>
          <w:szCs w:val="18"/>
          <w:u w:val="single" w:color="auto"/>
          <w:color w:val="0000FF"/>
        </w:rPr>
        <w:t xml:space="preserve"> </w:t>
      </w:r>
      <w:hyperlink r:id="rId528">
        <w:r>
          <w:rPr>
            <w:rFonts w:ascii="Arial" w:cs="Arial" w:eastAsia="Arial" w:hAnsi="Arial"/>
            <w:sz w:val="18"/>
            <w:szCs w:val="18"/>
            <w:u w:val="single" w:color="auto"/>
            <w:color w:val="0000FF"/>
          </w:rPr>
          <w:t>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528">
        <w:r>
          <w:rPr>
            <w:rFonts w:ascii="Arial" w:cs="Arial" w:eastAsia="Arial" w:hAnsi="Arial"/>
            <w:sz w:val="18"/>
            <w:szCs w:val="18"/>
            <w:u w:val="single" w:color="auto"/>
            <w:color w:val="0000FF"/>
          </w:rPr>
          <w:t>Report on Form 10-Q for the quarter ended June 30, 2022 (Commission File No. 1-8400)).**</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10.99</w:t>
      </w:r>
      <w:r>
        <w:rPr>
          <w:sz w:val="20"/>
          <w:szCs w:val="20"/>
          <w:color w:val="auto"/>
        </w:rPr>
        <w:tab/>
      </w:r>
      <w:hyperlink r:id="rId529">
        <w:r>
          <w:rPr>
            <w:rFonts w:ascii="Arial" w:cs="Arial" w:eastAsia="Arial" w:hAnsi="Arial"/>
            <w:sz w:val="18"/>
            <w:szCs w:val="18"/>
            <w:u w:val="single" w:color="auto"/>
            <w:color w:val="0000FF"/>
          </w:rPr>
          <w:t>Supplemental Agreement No. 25, dated as of July 1, 2022, to Purchase Agreement No. 03735 dated as of February 1, 2013, by</w:t>
        </w:r>
      </w:hyperlink>
      <w:r>
        <w:rPr>
          <w:rFonts w:ascii="Arial" w:cs="Arial" w:eastAsia="Arial" w:hAnsi="Arial"/>
          <w:sz w:val="18"/>
          <w:szCs w:val="18"/>
          <w:u w:val="single" w:color="auto"/>
          <w:color w:val="0000FF"/>
        </w:rPr>
        <w:t xml:space="preserve"> </w:t>
      </w:r>
      <w:hyperlink r:id="rId529">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529">
        <w:r>
          <w:rPr>
            <w:rFonts w:ascii="Arial" w:cs="Arial" w:eastAsia="Arial" w:hAnsi="Arial"/>
            <w:sz w:val="18"/>
            <w:szCs w:val="18"/>
            <w:u w:val="single" w:color="auto"/>
            <w:color w:val="0000FF"/>
          </w:rPr>
          <w:t>Report on Form 10-Q for the quarter ended September 30, 2022 (Commission File No. 1-8400)).**</w:t>
        </w:r>
      </w:hyperlink>
    </w:p>
    <w:p>
      <w:pPr>
        <w:spacing w:after="0" w:line="7" w:lineRule="exact"/>
        <w:rPr>
          <w:rFonts w:ascii="Arial" w:cs="Arial" w:eastAsia="Arial" w:hAnsi="Arial"/>
          <w:sz w:val="18"/>
          <w:szCs w:val="18"/>
          <w:u w:val="single" w:color="auto"/>
          <w:color w:val="0000FF"/>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10.100</w:t>
      </w:r>
      <w:r>
        <w:rPr>
          <w:sz w:val="20"/>
          <w:szCs w:val="20"/>
          <w:color w:val="auto"/>
        </w:rPr>
        <w:tab/>
      </w:r>
      <w:hyperlink r:id="rId530">
        <w:r>
          <w:rPr>
            <w:rFonts w:ascii="Arial" w:cs="Arial" w:eastAsia="Arial" w:hAnsi="Arial"/>
            <w:sz w:val="18"/>
            <w:szCs w:val="18"/>
            <w:u w:val="single" w:color="auto"/>
            <w:color w:val="0000FF"/>
          </w:rPr>
          <w:t>Supplemental Agreement No. 26, dated as of August 1, 2022, to Purchase Agreement No. 03735 dated as of February 1, 2013,</w:t>
        </w:r>
      </w:hyperlink>
      <w:r>
        <w:rPr>
          <w:rFonts w:ascii="Arial" w:cs="Arial" w:eastAsia="Arial" w:hAnsi="Arial"/>
          <w:sz w:val="18"/>
          <w:szCs w:val="18"/>
          <w:u w:val="single" w:color="auto"/>
          <w:color w:val="0000FF"/>
        </w:rPr>
        <w:t xml:space="preserve"> </w:t>
      </w:r>
      <w:hyperlink r:id="rId530">
        <w:r>
          <w:rPr>
            <w:rFonts w:ascii="Arial" w:cs="Arial" w:eastAsia="Arial" w:hAnsi="Arial"/>
            <w:sz w:val="18"/>
            <w:szCs w:val="18"/>
            <w:u w:val="single" w:color="auto"/>
            <w:color w:val="0000FF"/>
          </w:rPr>
          <w:t>by 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530">
        <w:r>
          <w:rPr>
            <w:rFonts w:ascii="Arial" w:cs="Arial" w:eastAsia="Arial" w:hAnsi="Arial"/>
            <w:sz w:val="18"/>
            <w:szCs w:val="18"/>
            <w:u w:val="single" w:color="auto"/>
            <w:color w:val="0000FF"/>
          </w:rPr>
          <w:t>Report on Form 10-Q for the quarter ended September 30, 2022 (Commission File No. 1-8400)).**</w:t>
        </w:r>
      </w:hyperlink>
    </w:p>
    <w:p>
      <w:pPr>
        <w:spacing w:after="0" w:line="7" w:lineRule="exact"/>
        <w:rPr>
          <w:rFonts w:ascii="Arial" w:cs="Arial" w:eastAsia="Arial" w:hAnsi="Arial"/>
          <w:sz w:val="18"/>
          <w:szCs w:val="18"/>
          <w:u w:val="single" w:color="auto"/>
          <w:color w:val="0000FF"/>
        </w:rPr>
      </w:pPr>
    </w:p>
    <w:p>
      <w:pPr>
        <w:jc w:val="both"/>
        <w:ind w:left="920" w:hanging="890"/>
        <w:spacing w:after="0" w:line="266" w:lineRule="auto"/>
        <w:tabs>
          <w:tab w:leader="none" w:pos="90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8"/>
          <w:szCs w:val="18"/>
          <w:u w:val="single" w:color="auto"/>
          <w:color w:val="0000FF"/>
        </w:rPr>
        <w:t>Supplemental Agreement No. 27, dated as of October 3, 2022, to Purchase Agreement No. 03735 dated as of February 1, 2013, between American Airlines, Inc. and the Boeing Company.**</w:t>
      </w:r>
    </w:p>
    <w:p>
      <w:pPr>
        <w:ind w:left="20"/>
        <w:spacing w:after="0"/>
        <w:tabs>
          <w:tab w:leader="none" w:pos="900" w:val="left"/>
        </w:tabs>
        <w:rPr>
          <w:sz w:val="20"/>
          <w:szCs w:val="20"/>
          <w:color w:val="auto"/>
        </w:rPr>
      </w:pPr>
      <w:r>
        <w:rPr>
          <w:rFonts w:ascii="Arial" w:cs="Arial" w:eastAsia="Arial" w:hAnsi="Arial"/>
          <w:sz w:val="18"/>
          <w:szCs w:val="18"/>
          <w:color w:val="auto"/>
        </w:rPr>
        <w:t>10.102</w:t>
      </w:r>
      <w:r>
        <w:rPr>
          <w:sz w:val="20"/>
          <w:szCs w:val="20"/>
          <w:color w:val="auto"/>
        </w:rPr>
        <w:tab/>
      </w:r>
      <w:r>
        <w:rPr>
          <w:rFonts w:ascii="Arial" w:cs="Arial" w:eastAsia="Arial" w:hAnsi="Arial"/>
          <w:sz w:val="18"/>
          <w:szCs w:val="18"/>
          <w:u w:val="single" w:color="auto"/>
          <w:color w:val="0000FF"/>
        </w:rPr>
        <w:t>Supplemental Agreement No. 28, dated as of November 4, 2022, to Purchase Agreement No. 03735 dated as of February 1,</w:t>
      </w:r>
    </w:p>
    <w:p>
      <w:pPr>
        <w:spacing w:after="0" w:line="14" w:lineRule="exact"/>
        <w:rPr>
          <w:rFonts w:ascii="Arial" w:cs="Arial" w:eastAsia="Arial" w:hAnsi="Arial"/>
          <w:sz w:val="18"/>
          <w:szCs w:val="18"/>
          <w:u w:val="single" w:color="auto"/>
          <w:color w:val="0000FF"/>
        </w:rPr>
      </w:pPr>
    </w:p>
    <w:p>
      <w:pPr>
        <w:ind w:left="920"/>
        <w:spacing w:after="0"/>
        <w:rPr>
          <w:sz w:val="20"/>
          <w:szCs w:val="20"/>
          <w:color w:val="auto"/>
        </w:rPr>
      </w:pPr>
      <w:r>
        <w:rPr>
          <w:rFonts w:ascii="Arial" w:cs="Arial" w:eastAsia="Arial" w:hAnsi="Arial"/>
          <w:sz w:val="18"/>
          <w:szCs w:val="18"/>
          <w:u w:val="single" w:color="auto"/>
          <w:color w:val="0000FF"/>
        </w:rPr>
        <w:t>2013, between American Airlines, Inc. and the Boeing Company.**</w:t>
      </w:r>
    </w:p>
    <w:p>
      <w:pPr>
        <w:spacing w:after="0" w:line="32" w:lineRule="exact"/>
        <w:rPr>
          <w:rFonts w:ascii="Arial" w:cs="Arial" w:eastAsia="Arial" w:hAnsi="Arial"/>
          <w:sz w:val="18"/>
          <w:szCs w:val="18"/>
          <w:u w:val="single" w:color="auto"/>
          <w:color w:val="0000FF"/>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10.103</w:t>
      </w:r>
      <w:r>
        <w:rPr>
          <w:sz w:val="20"/>
          <w:szCs w:val="20"/>
          <w:color w:val="auto"/>
        </w:rPr>
        <w:tab/>
      </w:r>
      <w:hyperlink r:id="rId531">
        <w:r>
          <w:rPr>
            <w:rFonts w:ascii="Arial" w:cs="Arial" w:eastAsia="Arial" w:hAnsi="Arial"/>
            <w:sz w:val="18"/>
            <w:szCs w:val="18"/>
            <w:u w:val="single" w:color="auto"/>
            <w:color w:val="0000FF"/>
          </w:rPr>
          <w:t>Consent Agreement, dated as of October 5, 2015, between American Airlines, Inc. (as successor in interest to US Airways, Inc.),</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American Airlines, Inc. and Airbus S.A.S. (incorporated by reference to Exhibit 10.95 to AAG’s Annual Report on Form 10-K for</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31">
        <w:r>
          <w:rPr>
            <w:rFonts w:ascii="Arial" w:cs="Arial" w:eastAsia="Arial" w:hAnsi="Arial"/>
            <w:sz w:val="18"/>
            <w:szCs w:val="18"/>
            <w:u w:val="single" w:color="auto"/>
            <w:color w:val="0000FF"/>
          </w:rPr>
          <w:t>the year ended December 31, 2021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10.104</w:t>
      </w:r>
      <w:r>
        <w:rPr>
          <w:sz w:val="20"/>
          <w:szCs w:val="20"/>
          <w:color w:val="auto"/>
        </w:rPr>
        <w:tab/>
      </w:r>
      <w:hyperlink r:id="rId532">
        <w:r>
          <w:rPr>
            <w:rFonts w:ascii="Arial" w:cs="Arial" w:eastAsia="Arial" w:hAnsi="Arial"/>
            <w:sz w:val="18"/>
            <w:szCs w:val="18"/>
            <w:u w:val="single" w:color="auto"/>
            <w:color w:val="0000FF"/>
          </w:rPr>
          <w:t>Supplemental Executive Retirement Program for Officers of American Airlines, Inc., as amended and restated as of January 1,</w:t>
        </w:r>
      </w:hyperlink>
    </w:p>
    <w:p>
      <w:pPr>
        <w:ind w:left="920"/>
        <w:spacing w:after="0" w:line="219" w:lineRule="auto"/>
        <w:rPr>
          <w:rFonts w:ascii="Arial" w:cs="Arial" w:eastAsia="Arial" w:hAnsi="Arial"/>
          <w:sz w:val="18"/>
          <w:szCs w:val="18"/>
          <w:u w:val="single" w:color="auto"/>
          <w:color w:val="0000FF"/>
        </w:rPr>
      </w:pPr>
      <w:hyperlink r:id="rId532">
        <w:r>
          <w:rPr>
            <w:rFonts w:ascii="Arial" w:cs="Arial" w:eastAsia="Arial" w:hAnsi="Arial"/>
            <w:sz w:val="18"/>
            <w:szCs w:val="18"/>
            <w:u w:val="single" w:color="auto"/>
            <w:color w:val="0000FF"/>
          </w:rPr>
          <w:t>2005 (incorporated by reference to Exhibit 10.127 to AMR’s Annual Report on Form 10-K for the year ended December 31, 2008</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32">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10.105</w:t>
      </w:r>
      <w:r>
        <w:rPr>
          <w:sz w:val="20"/>
          <w:szCs w:val="20"/>
          <w:color w:val="auto"/>
        </w:rPr>
        <w:tab/>
      </w:r>
      <w:hyperlink r:id="rId533">
        <w:r>
          <w:rPr>
            <w:rFonts w:ascii="Arial" w:cs="Arial" w:eastAsia="Arial" w:hAnsi="Arial"/>
            <w:sz w:val="18"/>
            <w:szCs w:val="18"/>
            <w:u w:val="single" w:color="auto"/>
            <w:color w:val="0000FF"/>
          </w:rPr>
          <w:t>Trust Agreement Under Supplemental Retirement Program for Officers of American Airlines, Inc., as amended and restated as of</w:t>
        </w:r>
      </w:hyperlink>
      <w:r>
        <w:rPr>
          <w:rFonts w:ascii="Arial" w:cs="Arial" w:eastAsia="Arial" w:hAnsi="Arial"/>
          <w:sz w:val="18"/>
          <w:szCs w:val="18"/>
          <w:u w:val="single" w:color="auto"/>
          <w:color w:val="0000FF"/>
        </w:rPr>
        <w:t xml:space="preserve"> </w:t>
      </w:r>
      <w:hyperlink r:id="rId533">
        <w:r>
          <w:rPr>
            <w:rFonts w:ascii="Arial" w:cs="Arial" w:eastAsia="Arial" w:hAnsi="Arial"/>
            <w:sz w:val="18"/>
            <w:szCs w:val="18"/>
            <w:u w:val="single" w:color="auto"/>
            <w:color w:val="0000FF"/>
          </w:rPr>
          <w:t>June 1, 2007 (incorporated by reference to Exhibit 10.128 to AMR’s Annual Report on Form 10-K for the year ended</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33">
        <w:r>
          <w:rPr>
            <w:rFonts w:ascii="Arial" w:cs="Arial" w:eastAsia="Arial" w:hAnsi="Arial"/>
            <w:sz w:val="18"/>
            <w:szCs w:val="18"/>
            <w:u w:val="single" w:color="auto"/>
            <w:color w:val="0000FF"/>
          </w:rPr>
          <w:t>December 31, 2008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10.106</w:t>
      </w:r>
      <w:r>
        <w:rPr>
          <w:sz w:val="20"/>
          <w:szCs w:val="20"/>
          <w:color w:val="auto"/>
        </w:rPr>
        <w:tab/>
      </w:r>
      <w:hyperlink r:id="rId534">
        <w:r>
          <w:rPr>
            <w:rFonts w:ascii="Arial" w:cs="Arial" w:eastAsia="Arial" w:hAnsi="Arial"/>
            <w:sz w:val="18"/>
            <w:szCs w:val="18"/>
            <w:u w:val="single" w:color="auto"/>
            <w:color w:val="0000FF"/>
          </w:rPr>
          <w:t>Trust Agreement Under Supplemental Executive Retirement Program for Officers of American Airlines, Inc. Participating in the</w:t>
        </w:r>
      </w:hyperlink>
      <w:r>
        <w:rPr>
          <w:rFonts w:ascii="Arial" w:cs="Arial" w:eastAsia="Arial" w:hAnsi="Arial"/>
          <w:sz w:val="18"/>
          <w:szCs w:val="18"/>
          <w:u w:val="single" w:color="auto"/>
          <w:color w:val="0000FF"/>
        </w:rPr>
        <w:t xml:space="preserve"> </w:t>
      </w:r>
      <w:hyperlink r:id="rId534">
        <w:r>
          <w:rPr>
            <w:rFonts w:ascii="Arial" w:cs="Arial" w:eastAsia="Arial" w:hAnsi="Arial"/>
            <w:sz w:val="18"/>
            <w:szCs w:val="18"/>
            <w:u w:val="single" w:color="auto"/>
            <w:color w:val="0000FF"/>
          </w:rPr>
          <w:t>Super Saver Plus Plan, as amended and restated as of June 1, 2007 (incorporated by reference to Exhibit 10.129 to AMR’s</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34">
        <w:r>
          <w:rPr>
            <w:rFonts w:ascii="Arial" w:cs="Arial" w:eastAsia="Arial" w:hAnsi="Arial"/>
            <w:sz w:val="18"/>
            <w:szCs w:val="18"/>
            <w:u w:val="single" w:color="auto"/>
            <w:color w:val="0000FF"/>
          </w:rPr>
          <w:t>Annual Report on Form 10-K for the year ended December 31, 2008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10.107</w:t>
      </w:r>
      <w:r>
        <w:rPr>
          <w:sz w:val="20"/>
          <w:szCs w:val="20"/>
          <w:color w:val="auto"/>
        </w:rPr>
        <w:tab/>
      </w:r>
      <w:hyperlink r:id="rId535">
        <w:r>
          <w:rPr>
            <w:rFonts w:ascii="Arial" w:cs="Arial" w:eastAsia="Arial" w:hAnsi="Arial"/>
            <w:sz w:val="18"/>
            <w:szCs w:val="18"/>
            <w:u w:val="single" w:color="auto"/>
            <w:color w:val="0000FF"/>
          </w:rPr>
          <w:t>American Airlines Group Inc. 2013 Incentive Award Plan (incorporated by reference to Exhibit 4.1 of AAG’s Form S-8 Registration</w:t>
        </w:r>
      </w:hyperlink>
      <w:r>
        <w:rPr>
          <w:rFonts w:ascii="Arial" w:cs="Arial" w:eastAsia="Arial" w:hAnsi="Arial"/>
          <w:sz w:val="18"/>
          <w:szCs w:val="18"/>
          <w:u w:val="single" w:color="auto"/>
          <w:color w:val="0000FF"/>
        </w:rPr>
        <w:t xml:space="preserve"> </w:t>
      </w:r>
      <w:hyperlink r:id="rId535">
        <w:r>
          <w:rPr>
            <w:rFonts w:ascii="Arial" w:cs="Arial" w:eastAsia="Arial" w:hAnsi="Arial"/>
            <w:sz w:val="18"/>
            <w:szCs w:val="18"/>
            <w:u w:val="single" w:color="auto"/>
            <w:color w:val="0000FF"/>
          </w:rPr>
          <w:t>Statement, filed on December 4, 2013 (Registration No. 333-192660)).</w:t>
        </w:r>
        <w:r>
          <w:rPr>
            <w:rFonts w:ascii="Arial" w:cs="Arial" w:eastAsia="Arial" w:hAnsi="Arial"/>
            <w:sz w:val="18"/>
            <w:szCs w:val="18"/>
            <w:color w:val="000000"/>
          </w:rPr>
          <w:t>†</w:t>
        </w:r>
      </w:hyperlink>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90"/>
        <w:spacing w:after="0" w:line="230"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10.108</w:t>
      </w:r>
      <w:r>
        <w:rPr>
          <w:sz w:val="20"/>
          <w:szCs w:val="20"/>
          <w:color w:val="auto"/>
        </w:rPr>
        <w:tab/>
      </w:r>
      <w:hyperlink r:id="rId537">
        <w:r>
          <w:rPr>
            <w:rFonts w:ascii="Arial" w:cs="Arial" w:eastAsia="Arial" w:hAnsi="Arial"/>
            <w:sz w:val="18"/>
            <w:szCs w:val="18"/>
            <w:u w:val="single" w:color="auto"/>
            <w:color w:val="0000FF"/>
          </w:rPr>
          <w:t>First Amendment to the American Airlines Group Inc. 2013 Incentive Award Plan (incorporated by reference to Exhibit 10.64 to</w:t>
        </w:r>
      </w:hyperlink>
      <w:r>
        <w:rPr>
          <w:rFonts w:ascii="Arial" w:cs="Arial" w:eastAsia="Arial" w:hAnsi="Arial"/>
          <w:sz w:val="18"/>
          <w:szCs w:val="18"/>
          <w:u w:val="single" w:color="auto"/>
          <w:color w:val="0000FF"/>
        </w:rPr>
        <w:t xml:space="preserve"> </w:t>
      </w:r>
      <w:hyperlink r:id="rId537">
        <w:r>
          <w:rPr>
            <w:rFonts w:ascii="Arial" w:cs="Arial" w:eastAsia="Arial" w:hAnsi="Arial"/>
            <w:sz w:val="18"/>
            <w:szCs w:val="18"/>
            <w:u w:val="single" w:color="auto"/>
            <w:color w:val="0000FF"/>
          </w:rPr>
          <w:t>AAG’s Annual Report on Form 10-K for the year ended December 31, 2017 (Commission File No. 1-8400)).</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10.109</w:t>
      </w:r>
      <w:r>
        <w:rPr>
          <w:sz w:val="20"/>
          <w:szCs w:val="20"/>
          <w:color w:val="auto"/>
        </w:rPr>
        <w:tab/>
      </w:r>
      <w:hyperlink r:id="rId538">
        <w:r>
          <w:rPr>
            <w:rFonts w:ascii="Arial" w:cs="Arial" w:eastAsia="Arial" w:hAnsi="Arial"/>
            <w:sz w:val="18"/>
            <w:szCs w:val="18"/>
            <w:u w:val="single" w:color="auto"/>
            <w:color w:val="0000FF"/>
          </w:rPr>
          <w:t>Form of American Airlines Group Inc. 2013 Incentive Award Plan Restricted Stock Unit (Cash-Settled) Award Grant Notice and</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Award Agreement (incorporated by reference to Exhibit 10.125 to AAG’s Annual Report on Form 10-K for the year ended</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38">
        <w:r>
          <w:rPr>
            <w:rFonts w:ascii="Arial" w:cs="Arial" w:eastAsia="Arial" w:hAnsi="Arial"/>
            <w:sz w:val="18"/>
            <w:szCs w:val="18"/>
            <w:u w:val="single" w:color="auto"/>
            <w:color w:val="0000FF"/>
          </w:rPr>
          <w:t>December 31, 2013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10.110</w:t>
      </w:r>
      <w:r>
        <w:rPr>
          <w:sz w:val="20"/>
          <w:szCs w:val="20"/>
          <w:color w:val="auto"/>
        </w:rPr>
        <w:tab/>
      </w:r>
      <w:hyperlink r:id="rId539">
        <w:r>
          <w:rPr>
            <w:rFonts w:ascii="Arial" w:cs="Arial" w:eastAsia="Arial" w:hAnsi="Arial"/>
            <w:sz w:val="18"/>
            <w:szCs w:val="18"/>
            <w:u w:val="single" w:color="auto"/>
            <w:color w:val="0000FF"/>
          </w:rPr>
          <w:t>Form of American Airlines Group Inc. 2013 Incentive Award Plan Restricted Stock Unit (Stock-Settled) Award Grant Notice and</w:t>
        </w:r>
      </w:hyperlink>
      <w:r>
        <w:rPr>
          <w:rFonts w:ascii="Arial" w:cs="Arial" w:eastAsia="Arial" w:hAnsi="Arial"/>
          <w:sz w:val="18"/>
          <w:szCs w:val="18"/>
          <w:u w:val="single" w:color="auto"/>
          <w:color w:val="0000FF"/>
        </w:rPr>
        <w:t xml:space="preserve"> </w:t>
      </w:r>
      <w:hyperlink r:id="rId539">
        <w:r>
          <w:rPr>
            <w:rFonts w:ascii="Arial" w:cs="Arial" w:eastAsia="Arial" w:hAnsi="Arial"/>
            <w:sz w:val="18"/>
            <w:szCs w:val="18"/>
            <w:u w:val="single" w:color="auto"/>
            <w:color w:val="0000FF"/>
          </w:rPr>
          <w:t>Award Agreement (incorporated by reference to Exhibit 10.127 to AAG’s Annual Report on Form 10-K for the year ended</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39">
        <w:r>
          <w:rPr>
            <w:rFonts w:ascii="Arial" w:cs="Arial" w:eastAsia="Arial" w:hAnsi="Arial"/>
            <w:sz w:val="18"/>
            <w:szCs w:val="18"/>
            <w:u w:val="single" w:color="auto"/>
            <w:color w:val="0000FF"/>
          </w:rPr>
          <w:t>December 31, 2013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10.111</w:t>
      </w:r>
      <w:r>
        <w:rPr>
          <w:sz w:val="20"/>
          <w:szCs w:val="20"/>
          <w:color w:val="auto"/>
        </w:rPr>
        <w:tab/>
      </w:r>
      <w:hyperlink r:id="rId540">
        <w:r>
          <w:rPr>
            <w:rFonts w:ascii="Arial" w:cs="Arial" w:eastAsia="Arial" w:hAnsi="Arial"/>
            <w:sz w:val="18"/>
            <w:szCs w:val="18"/>
            <w:u w:val="single" w:color="auto"/>
            <w:color w:val="0000FF"/>
          </w:rPr>
          <w:t>Form of American Airlines Group Inc. 2013 Incentive Award Plan Restricted Stock Unit (Stock-Settled) Award Grant Notice and</w:t>
        </w:r>
      </w:hyperlink>
      <w:r>
        <w:rPr>
          <w:rFonts w:ascii="Arial" w:cs="Arial" w:eastAsia="Arial" w:hAnsi="Arial"/>
          <w:sz w:val="18"/>
          <w:szCs w:val="18"/>
          <w:u w:val="single" w:color="auto"/>
          <w:color w:val="0000FF"/>
        </w:rPr>
        <w:t xml:space="preserve"> </w:t>
      </w:r>
      <w:hyperlink r:id="rId540">
        <w:r>
          <w:rPr>
            <w:rFonts w:ascii="Arial" w:cs="Arial" w:eastAsia="Arial" w:hAnsi="Arial"/>
            <w:sz w:val="18"/>
            <w:szCs w:val="18"/>
            <w:u w:val="single" w:color="auto"/>
            <w:color w:val="0000FF"/>
          </w:rPr>
          <w:t>Award Agreement for Director Grants (incorporated by reference to Exhibit 10.129 to AAG’s Annual Report on Form 10-K for the</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40">
        <w:r>
          <w:rPr>
            <w:rFonts w:ascii="Arial" w:cs="Arial" w:eastAsia="Arial" w:hAnsi="Arial"/>
            <w:sz w:val="18"/>
            <w:szCs w:val="18"/>
            <w:u w:val="single" w:color="auto"/>
            <w:color w:val="0000FF"/>
          </w:rPr>
          <w:t>year ended December 31, 2013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10.112</w:t>
      </w:r>
      <w:r>
        <w:rPr>
          <w:sz w:val="20"/>
          <w:szCs w:val="20"/>
          <w:color w:val="auto"/>
        </w:rPr>
        <w:tab/>
      </w:r>
      <w:hyperlink r:id="rId541">
        <w:r>
          <w:rPr>
            <w:rFonts w:ascii="Arial" w:cs="Arial" w:eastAsia="Arial" w:hAnsi="Arial"/>
            <w:sz w:val="18"/>
            <w:szCs w:val="18"/>
            <w:u w:val="single" w:color="auto"/>
            <w:color w:val="0000FF"/>
          </w:rPr>
          <w:t>Form of Indemnification Agreement (incorporated by reference to Exhibit 10.9 to AAG’s Current Report on Form 8-K filed on</w:t>
        </w:r>
      </w:hyperlink>
      <w:r>
        <w:rPr>
          <w:rFonts w:ascii="Arial" w:cs="Arial" w:eastAsia="Arial" w:hAnsi="Arial"/>
          <w:sz w:val="18"/>
          <w:szCs w:val="18"/>
          <w:u w:val="single" w:color="auto"/>
          <w:color w:val="0000FF"/>
        </w:rPr>
        <w:t xml:space="preserve"> </w:t>
      </w:r>
      <w:hyperlink r:id="rId541">
        <w:r>
          <w:rPr>
            <w:rFonts w:ascii="Arial" w:cs="Arial" w:eastAsia="Arial" w:hAnsi="Arial"/>
            <w:sz w:val="18"/>
            <w:szCs w:val="18"/>
            <w:u w:val="single" w:color="auto"/>
            <w:color w:val="0000FF"/>
          </w:rPr>
          <w:t>December 9, 2013 (Commission File No. 1-8400)).</w:t>
        </w:r>
        <w:r>
          <w:rPr>
            <w:rFonts w:ascii="Arial" w:cs="Arial" w:eastAsia="Arial" w:hAnsi="Arial"/>
            <w:sz w:val="18"/>
            <w:szCs w:val="18"/>
            <w:color w:val="000000"/>
          </w:rPr>
          <w:t>†</w:t>
        </w:r>
      </w:hyperlink>
    </w:p>
    <w:p>
      <w:pPr>
        <w:spacing w:after="0" w:line="6" w:lineRule="exact"/>
        <w:rPr>
          <w:sz w:val="20"/>
          <w:szCs w:val="20"/>
          <w:color w:val="auto"/>
        </w:rPr>
      </w:pPr>
    </w:p>
    <w:p>
      <w:pPr>
        <w:jc w:val="both"/>
        <w:ind w:left="920" w:hanging="890"/>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10.113</w:t>
      </w:r>
      <w:r>
        <w:rPr>
          <w:sz w:val="20"/>
          <w:szCs w:val="20"/>
          <w:color w:val="auto"/>
        </w:rPr>
        <w:tab/>
      </w:r>
      <w:hyperlink r:id="rId542">
        <w:r>
          <w:rPr>
            <w:rFonts w:ascii="Arial" w:cs="Arial" w:eastAsia="Arial" w:hAnsi="Arial"/>
            <w:sz w:val="18"/>
            <w:szCs w:val="18"/>
            <w:u w:val="single" w:color="auto"/>
            <w:color w:val="0000FF"/>
          </w:rPr>
          <w:t>US Airways Group, Inc. 2011 Incentive Award Plan (incorporated by reference to Exhibit 4.1 to US Airways Group’s Registration</w:t>
        </w:r>
      </w:hyperlink>
      <w:r>
        <w:rPr>
          <w:rFonts w:ascii="Arial" w:cs="Arial" w:eastAsia="Arial" w:hAnsi="Arial"/>
          <w:sz w:val="18"/>
          <w:szCs w:val="18"/>
          <w:u w:val="single" w:color="auto"/>
          <w:color w:val="0000FF"/>
        </w:rPr>
        <w:t xml:space="preserve"> </w:t>
      </w:r>
      <w:hyperlink r:id="rId542">
        <w:r>
          <w:rPr>
            <w:rFonts w:ascii="Arial" w:cs="Arial" w:eastAsia="Arial" w:hAnsi="Arial"/>
            <w:sz w:val="18"/>
            <w:szCs w:val="18"/>
            <w:u w:val="single" w:color="auto"/>
            <w:color w:val="0000FF"/>
          </w:rPr>
          <w:t>Statement on Form S-8 filed on July 1, 2011 (Registration No. 333-175323)).</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right="20" w:hanging="890"/>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10.114</w:t>
      </w:r>
      <w:r>
        <w:rPr>
          <w:sz w:val="20"/>
          <w:szCs w:val="20"/>
          <w:color w:val="auto"/>
        </w:rPr>
        <w:tab/>
      </w:r>
      <w:hyperlink r:id="rId543">
        <w:r>
          <w:rPr>
            <w:rFonts w:ascii="Arial" w:cs="Arial" w:eastAsia="Arial" w:hAnsi="Arial"/>
            <w:sz w:val="18"/>
            <w:szCs w:val="18"/>
            <w:u w:val="single" w:color="auto"/>
            <w:color w:val="0000FF"/>
          </w:rPr>
          <w:t>2014 Short-Term Incentive Program Under 2013 Incentive Award Plan (incorporated by reference to Exhibit 10.8 to AAG’s</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Quarterly Report on Form 10-Q for the quarter ended June 30, 2014 (Commission File No. 1 -8400)).</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hanging="890"/>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10.115</w:t>
      </w:r>
      <w:r>
        <w:rPr>
          <w:sz w:val="20"/>
          <w:szCs w:val="20"/>
          <w:color w:val="auto"/>
        </w:rPr>
        <w:tab/>
      </w:r>
      <w:hyperlink r:id="rId544">
        <w:r>
          <w:rPr>
            <w:rFonts w:ascii="Arial" w:cs="Arial" w:eastAsia="Arial" w:hAnsi="Arial"/>
            <w:sz w:val="18"/>
            <w:szCs w:val="18"/>
            <w:u w:val="single" w:color="auto"/>
            <w:color w:val="0000FF"/>
          </w:rPr>
          <w:t>Form of Letter Agreement for Directors Travel Program (incorporated by reference to Exhibit 10.106 to US Airways Group’s</w:t>
        </w:r>
      </w:hyperlink>
      <w:r>
        <w:rPr>
          <w:rFonts w:ascii="Arial" w:cs="Arial" w:eastAsia="Arial" w:hAnsi="Arial"/>
          <w:sz w:val="18"/>
          <w:szCs w:val="18"/>
          <w:u w:val="single" w:color="auto"/>
          <w:color w:val="0000FF"/>
        </w:rPr>
        <w:t xml:space="preserve"> </w:t>
      </w:r>
      <w:hyperlink r:id="rId544">
        <w:r>
          <w:rPr>
            <w:rFonts w:ascii="Arial" w:cs="Arial" w:eastAsia="Arial" w:hAnsi="Arial"/>
            <w:sz w:val="18"/>
            <w:szCs w:val="18"/>
            <w:u w:val="single" w:color="auto"/>
            <w:color w:val="0000FF"/>
          </w:rPr>
          <w:t>Annual Report on Form 10-K for the year ended December 31, 2007 (Commission File No. 1-8444)).</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hanging="890"/>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10.116</w:t>
      </w:r>
      <w:r>
        <w:rPr>
          <w:sz w:val="20"/>
          <w:szCs w:val="20"/>
          <w:color w:val="auto"/>
        </w:rPr>
        <w:tab/>
      </w:r>
      <w:hyperlink r:id="rId545">
        <w:r>
          <w:rPr>
            <w:rFonts w:ascii="Arial" w:cs="Arial" w:eastAsia="Arial" w:hAnsi="Arial"/>
            <w:sz w:val="18"/>
            <w:szCs w:val="18"/>
            <w:u w:val="single" w:color="auto"/>
            <w:color w:val="0000FF"/>
          </w:rPr>
          <w:t>Amended and Restated Employment Agreement, dated as of November 28, 2007, among US Airways Group, US Airways, Inc.</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and W. Douglas Parker (incorporated by reference to Exhibit 10.1 to US Airways Group’s Current Report on Form 8-K filed on</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45">
        <w:r>
          <w:rPr>
            <w:rFonts w:ascii="Arial" w:cs="Arial" w:eastAsia="Arial" w:hAnsi="Arial"/>
            <w:sz w:val="18"/>
            <w:szCs w:val="18"/>
            <w:u w:val="single" w:color="auto"/>
            <w:color w:val="0000FF"/>
          </w:rPr>
          <w:t>November 29, 2007 (Commission File No. 1-8444)).</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90"/>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10.117</w:t>
      </w:r>
      <w:r>
        <w:rPr>
          <w:sz w:val="20"/>
          <w:szCs w:val="20"/>
          <w:color w:val="auto"/>
        </w:rPr>
        <w:tab/>
      </w:r>
      <w:hyperlink r:id="rId546">
        <w:r>
          <w:rPr>
            <w:rFonts w:ascii="Arial" w:cs="Arial" w:eastAsia="Arial" w:hAnsi="Arial"/>
            <w:sz w:val="18"/>
            <w:szCs w:val="18"/>
            <w:u w:val="single" w:color="auto"/>
            <w:color w:val="0000FF"/>
          </w:rPr>
          <w:t>Form of Letter Agreement, dated April 25, 2017, by and between American Airlines Group Inc. and each of Robert D. Isom, Jr.,</w:t>
        </w:r>
      </w:hyperlink>
      <w:r>
        <w:rPr>
          <w:rFonts w:ascii="Arial" w:cs="Arial" w:eastAsia="Arial" w:hAnsi="Arial"/>
          <w:sz w:val="18"/>
          <w:szCs w:val="18"/>
          <w:u w:val="single" w:color="auto"/>
          <w:color w:val="0000FF"/>
        </w:rPr>
        <w:t xml:space="preserve"> </w:t>
      </w:r>
      <w:hyperlink r:id="rId546">
        <w:r>
          <w:rPr>
            <w:rFonts w:ascii="Arial" w:cs="Arial" w:eastAsia="Arial" w:hAnsi="Arial"/>
            <w:sz w:val="18"/>
            <w:szCs w:val="18"/>
            <w:u w:val="single" w:color="auto"/>
            <w:color w:val="0000FF"/>
          </w:rPr>
          <w:t>Stephen L. Johnson and Derek J. Kerr (incorporated by reference to Exhibit 10.1 to AAG’s Current Report on Form 8-K filed on</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46">
        <w:r>
          <w:rPr>
            <w:rFonts w:ascii="Arial" w:cs="Arial" w:eastAsia="Arial" w:hAnsi="Arial"/>
            <w:sz w:val="18"/>
            <w:szCs w:val="18"/>
            <w:u w:val="single" w:color="auto"/>
            <w:color w:val="0000FF"/>
          </w:rPr>
          <w:t>May 1, 2017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10.118</w:t>
      </w:r>
      <w:r>
        <w:rPr>
          <w:sz w:val="20"/>
          <w:szCs w:val="20"/>
          <w:color w:val="auto"/>
        </w:rPr>
        <w:tab/>
      </w:r>
      <w:hyperlink r:id="rId547">
        <w:r>
          <w:rPr>
            <w:rFonts w:ascii="Arial" w:cs="Arial" w:eastAsia="Arial" w:hAnsi="Arial"/>
            <w:sz w:val="18"/>
            <w:szCs w:val="18"/>
            <w:u w:val="single" w:color="auto"/>
            <w:color w:val="0000FF"/>
          </w:rPr>
          <w:t>Letter Agreement, dated as of April 28, 2016, between American Airlines Group Inc. and W. Douglas Parker (incorporated by</w:t>
        </w:r>
      </w:hyperlink>
    </w:p>
    <w:p>
      <w:pPr>
        <w:spacing w:after="0" w:line="1" w:lineRule="exact"/>
        <w:rPr>
          <w:sz w:val="20"/>
          <w:szCs w:val="20"/>
          <w:color w:val="auto"/>
        </w:rPr>
      </w:pPr>
    </w:p>
    <w:p>
      <w:pPr>
        <w:jc w:val="center"/>
        <w:ind w:right="-39"/>
        <w:spacing w:after="0"/>
        <w:rPr>
          <w:rFonts w:ascii="Arial" w:cs="Arial" w:eastAsia="Arial" w:hAnsi="Arial"/>
          <w:sz w:val="18"/>
          <w:szCs w:val="18"/>
          <w:color w:val="0000FF"/>
        </w:rPr>
      </w:pPr>
      <w:hyperlink r:id="rId547">
        <w:r>
          <w:rPr>
            <w:rFonts w:ascii="Arial" w:cs="Arial" w:eastAsia="Arial" w:hAnsi="Arial"/>
            <w:sz w:val="18"/>
            <w:szCs w:val="18"/>
            <w:u w:val="single" w:color="auto"/>
            <w:color w:val="0000FF"/>
          </w:rPr>
          <w:t>reference to Exhibit 10.1 to AAG’s Current Report on Form 8-K filed on April 29, 2016 (Commission File No. 1-8400)).</w:t>
        </w:r>
        <w:r>
          <w:rPr>
            <w:rFonts w:ascii="Arial" w:cs="Arial" w:eastAsia="Arial" w:hAnsi="Arial"/>
            <w:sz w:val="18"/>
            <w:szCs w:val="18"/>
            <w:color w:val="000000"/>
          </w:rPr>
          <w:t>†</w:t>
        </w:r>
      </w:hyperlink>
    </w:p>
    <w:p>
      <w:pPr>
        <w:spacing w:after="0" w:line="18" w:lineRule="exact"/>
        <w:rPr>
          <w:sz w:val="20"/>
          <w:szCs w:val="20"/>
          <w:color w:val="auto"/>
        </w:rPr>
      </w:pPr>
    </w:p>
    <w:p>
      <w:pPr>
        <w:jc w:val="both"/>
        <w:ind w:left="920" w:hanging="890"/>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10.119</w:t>
      </w:r>
      <w:r>
        <w:rPr>
          <w:sz w:val="20"/>
          <w:szCs w:val="20"/>
          <w:color w:val="auto"/>
        </w:rPr>
        <w:tab/>
      </w:r>
      <w:hyperlink r:id="rId548">
        <w:r>
          <w:rPr>
            <w:rFonts w:ascii="Arial" w:cs="Arial" w:eastAsia="Arial" w:hAnsi="Arial"/>
            <w:sz w:val="18"/>
            <w:szCs w:val="18"/>
            <w:u w:val="single" w:color="auto"/>
            <w:color w:val="0000FF"/>
          </w:rPr>
          <w:t>Payroll Support Program 3 Agreement, dated as of April 23, 2021, between American Airlines, Inc. and the United States</w:t>
        </w:r>
      </w:hyperlink>
      <w:r>
        <w:rPr>
          <w:rFonts w:ascii="Arial" w:cs="Arial" w:eastAsia="Arial" w:hAnsi="Arial"/>
          <w:sz w:val="18"/>
          <w:szCs w:val="18"/>
          <w:u w:val="single" w:color="auto"/>
          <w:color w:val="0000FF"/>
        </w:rPr>
        <w:t xml:space="preserve"> </w:t>
      </w:r>
      <w:hyperlink r:id="rId548">
        <w:r>
          <w:rPr>
            <w:rFonts w:ascii="Arial" w:cs="Arial" w:eastAsia="Arial" w:hAnsi="Arial"/>
            <w:sz w:val="18"/>
            <w:szCs w:val="18"/>
            <w:u w:val="single" w:color="auto"/>
            <w:color w:val="0000FF"/>
          </w:rPr>
          <w:t>Department of the Treasury (incorporated by reference to Exhibit 10.1 to AAG’s Quarterly Report on Form 10-Q for the quarter</w:t>
        </w:r>
      </w:hyperlink>
      <w:r>
        <w:rPr>
          <w:rFonts w:ascii="Arial" w:cs="Arial" w:eastAsia="Arial" w:hAnsi="Arial"/>
          <w:sz w:val="18"/>
          <w:szCs w:val="18"/>
          <w:u w:val="single" w:color="auto"/>
          <w:color w:val="0000FF"/>
        </w:rPr>
        <w:t xml:space="preserve"> </w:t>
      </w:r>
      <w:hyperlink r:id="rId548">
        <w:r>
          <w:rPr>
            <w:rFonts w:ascii="Arial" w:cs="Arial" w:eastAsia="Arial" w:hAnsi="Arial"/>
            <w:sz w:val="18"/>
            <w:szCs w:val="18"/>
            <w:u w:val="single" w:color="auto"/>
            <w:color w:val="0000FF"/>
          </w:rPr>
          <w:t>ended June 30, 2021 (Commission File No. 1-8400)).</w:t>
        </w:r>
      </w:hyperlink>
    </w:p>
    <w:p>
      <w:pPr>
        <w:spacing w:after="0" w:line="7" w:lineRule="exact"/>
        <w:rPr>
          <w:rFonts w:ascii="Arial" w:cs="Arial" w:eastAsia="Arial" w:hAnsi="Arial"/>
          <w:sz w:val="18"/>
          <w:szCs w:val="18"/>
          <w:u w:val="single" w:color="auto"/>
          <w:color w:val="0000FF"/>
        </w:rPr>
      </w:pPr>
    </w:p>
    <w:p>
      <w:pPr>
        <w:jc w:val="both"/>
        <w:ind w:left="920" w:hanging="890"/>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10.120</w:t>
      </w:r>
      <w:r>
        <w:rPr>
          <w:sz w:val="20"/>
          <w:szCs w:val="20"/>
          <w:color w:val="auto"/>
        </w:rPr>
        <w:tab/>
      </w:r>
      <w:hyperlink r:id="rId549">
        <w:r>
          <w:rPr>
            <w:rFonts w:ascii="Arial" w:cs="Arial" w:eastAsia="Arial" w:hAnsi="Arial"/>
            <w:sz w:val="18"/>
            <w:szCs w:val="18"/>
            <w:u w:val="single" w:color="auto"/>
            <w:color w:val="0000FF"/>
          </w:rPr>
          <w:t>Promissory Note, dated as of April 23, 2021, issued by American Airlines Group Inc. in the name of the United States Department</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of the Treasury and guaranteed by American Airlines, Inc., Envoy Air Inc., Piedmont Airlines, Inc. and PSA Airlines, Inc.</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(incorporated by reference to Exhibit 10.2 to AAG’s Quarterly Report on Form 10-Q for the quarter ended June 30, 2021</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(Commission File No. 1-8400)).</w:t>
        </w:r>
      </w:hyperlink>
    </w:p>
    <w:p>
      <w:pPr>
        <w:spacing w:after="0" w:line="12" w:lineRule="exact"/>
        <w:rPr>
          <w:rFonts w:ascii="Arial" w:cs="Arial" w:eastAsia="Arial" w:hAnsi="Arial"/>
          <w:sz w:val="18"/>
          <w:szCs w:val="18"/>
          <w:u w:val="single" w:color="auto"/>
          <w:color w:val="0000FF"/>
        </w:rPr>
      </w:pPr>
    </w:p>
    <w:p>
      <w:pPr>
        <w:jc w:val="both"/>
        <w:ind w:left="920" w:hanging="890"/>
        <w:spacing w:after="0" w:line="24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10.121</w:t>
      </w:r>
      <w:r>
        <w:rPr>
          <w:sz w:val="20"/>
          <w:szCs w:val="20"/>
          <w:color w:val="auto"/>
        </w:rPr>
        <w:tab/>
      </w:r>
      <w:hyperlink r:id="rId550">
        <w:r>
          <w:rPr>
            <w:rFonts w:ascii="Arial" w:cs="Arial" w:eastAsia="Arial" w:hAnsi="Arial"/>
            <w:sz w:val="18"/>
            <w:szCs w:val="18"/>
            <w:u w:val="single" w:color="auto"/>
            <w:color w:val="0000FF"/>
          </w:rPr>
          <w:t>Term Loan Credit and Guaranty Agreement, dated as of March 24, 2021, among American Airlines, Inc., AAdvantage Loyalty IP</w:t>
        </w:r>
      </w:hyperlink>
      <w:r>
        <w:rPr>
          <w:rFonts w:ascii="Arial" w:cs="Arial" w:eastAsia="Arial" w:hAnsi="Arial"/>
          <w:sz w:val="18"/>
          <w:szCs w:val="18"/>
          <w:u w:val="single" w:color="auto"/>
          <w:color w:val="0000FF"/>
        </w:rPr>
        <w:t xml:space="preserve"> </w:t>
      </w:r>
      <w:hyperlink r:id="rId550">
        <w:r>
          <w:rPr>
            <w:rFonts w:ascii="Arial" w:cs="Arial" w:eastAsia="Arial" w:hAnsi="Arial"/>
            <w:sz w:val="18"/>
            <w:szCs w:val="18"/>
            <w:u w:val="single" w:color="auto"/>
            <w:color w:val="0000FF"/>
          </w:rPr>
          <w:t>Ltd., American Airlines Group Inc., AAdvantage Holdings 1, Ltd., AAdvantage Holdings 2, Ltd., Barclays Bank PLC, as</w:t>
        </w:r>
      </w:hyperlink>
      <w:r>
        <w:rPr>
          <w:rFonts w:ascii="Arial" w:cs="Arial" w:eastAsia="Arial" w:hAnsi="Arial"/>
          <w:sz w:val="18"/>
          <w:szCs w:val="18"/>
          <w:u w:val="single" w:color="auto"/>
          <w:color w:val="0000FF"/>
        </w:rPr>
        <w:t xml:space="preserve"> </w:t>
      </w:r>
      <w:hyperlink r:id="rId550">
        <w:r>
          <w:rPr>
            <w:rFonts w:ascii="Arial" w:cs="Arial" w:eastAsia="Arial" w:hAnsi="Arial"/>
            <w:sz w:val="18"/>
            <w:szCs w:val="18"/>
            <w:u w:val="single" w:color="auto"/>
            <w:color w:val="0000FF"/>
          </w:rPr>
          <w:t>administrative agent, Wilmington Trust, National Association, as collateral administrator, and the lenders party thereto</w:t>
        </w:r>
      </w:hyperlink>
      <w:r>
        <w:rPr>
          <w:rFonts w:ascii="Arial" w:cs="Arial" w:eastAsia="Arial" w:hAnsi="Arial"/>
          <w:sz w:val="18"/>
          <w:szCs w:val="18"/>
          <w:u w:val="single" w:color="auto"/>
          <w:color w:val="0000FF"/>
        </w:rPr>
        <w:t xml:space="preserve"> </w:t>
      </w:r>
      <w:hyperlink r:id="rId550">
        <w:r>
          <w:rPr>
            <w:rFonts w:ascii="Arial" w:cs="Arial" w:eastAsia="Arial" w:hAnsi="Arial"/>
            <w:sz w:val="18"/>
            <w:szCs w:val="18"/>
            <w:u w:val="single" w:color="auto"/>
            <w:color w:val="0000FF"/>
          </w:rPr>
          <w:t>(incorporated by reference as Exhibit 10.4 to AAG’s Quarterly Report on Form 10-Q for the quarter ended March 31, 2021</w:t>
        </w:r>
      </w:hyperlink>
      <w:r>
        <w:rPr>
          <w:rFonts w:ascii="Arial" w:cs="Arial" w:eastAsia="Arial" w:hAnsi="Arial"/>
          <w:sz w:val="18"/>
          <w:szCs w:val="18"/>
          <w:u w:val="single" w:color="auto"/>
          <w:color w:val="0000FF"/>
        </w:rPr>
        <w:t xml:space="preserve"> </w:t>
      </w:r>
      <w:hyperlink r:id="rId550">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9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14.1</w:t>
      </w:r>
      <w:r>
        <w:rPr>
          <w:sz w:val="20"/>
          <w:szCs w:val="20"/>
          <w:color w:val="auto"/>
        </w:rPr>
        <w:tab/>
      </w:r>
      <w:hyperlink r:id="rId551">
        <w:r>
          <w:rPr>
            <w:rFonts w:ascii="Arial" w:cs="Arial" w:eastAsia="Arial" w:hAnsi="Arial"/>
            <w:sz w:val="18"/>
            <w:szCs w:val="18"/>
            <w:u w:val="single" w:color="auto"/>
            <w:color w:val="0000FF"/>
          </w:rPr>
          <w:t>Code of Ethics (incorporated by reference to Exhibit 14.1 to AAG’s Current Report on Form 8-K filed on December 9, 2013</w:t>
        </w:r>
      </w:hyperlink>
      <w:r>
        <w:rPr>
          <w:rFonts w:ascii="Arial" w:cs="Arial" w:eastAsia="Arial" w:hAnsi="Arial"/>
          <w:sz w:val="18"/>
          <w:szCs w:val="18"/>
          <w:u w:val="single" w:color="auto"/>
          <w:color w:val="0000FF"/>
        </w:rPr>
        <w:t xml:space="preserve"> </w:t>
      </w:r>
      <w:hyperlink r:id="rId551">
        <w:r>
          <w:rPr>
            <w:rFonts w:ascii="Arial" w:cs="Arial" w:eastAsia="Arial" w:hAnsi="Arial"/>
            <w:sz w:val="18"/>
            <w:szCs w:val="18"/>
            <w:u w:val="single" w:color="auto"/>
            <w:color w:val="0000FF"/>
          </w:rPr>
          <w:t>(Commission File No. 1-8400)).</w:t>
        </w:r>
      </w:hyperlink>
    </w:p>
    <w:p>
      <w:pPr>
        <w:spacing w:after="0" w:line="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Significant subsidiaries of AAG and American as of December 31, 2022.</w:t>
      </w:r>
    </w:p>
    <w:p>
      <w:pPr>
        <w:spacing w:after="0" w:line="3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Independent Registered Public Accounting Firm – KPMG LLP.</w:t>
      </w:r>
    </w:p>
    <w:p>
      <w:pPr>
        <w:spacing w:after="0" w:line="2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u w:val="single" w:color="auto"/>
          <w:color w:val="0000FF"/>
        </w:rPr>
        <w:t>Powers of Attorney (included in signature page of this Annual Report on Form 10-K).</w:t>
      </w:r>
    </w:p>
    <w:p>
      <w:pPr>
        <w:spacing w:after="0" w:line="2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AAG Chief Executive Officer pursuant to Rule 13a-14(a).</w:t>
      </w:r>
    </w:p>
    <w:p>
      <w:pPr>
        <w:spacing w:after="0" w:line="2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AAG Chief Financial Officer pursuant to Rule 13a-14(a).</w:t>
      </w:r>
    </w:p>
    <w:p>
      <w:pPr>
        <w:spacing w:after="0" w:line="2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0000FF"/>
        </w:rPr>
        <w:t>Certification of American Chief Executive Officer pursuant to Rule 13a-14(a).</w:t>
      </w:r>
    </w:p>
    <w:p>
      <w:pPr>
        <w:spacing w:after="0" w:line="2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u w:val="single" w:color="auto"/>
          <w:color w:val="0000FF"/>
        </w:rPr>
        <w:t>Certification of American Chief Financial Officer pursuant to Rule 13a-14(a).</w:t>
      </w:r>
    </w:p>
    <w:p>
      <w:pPr>
        <w:ind w:left="2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pursuant to Rule 13a-14(b) and section 906 of the Sarbanes-Oxley Act of 2002 (subsections (a) and (b) of section</w:t>
      </w:r>
    </w:p>
    <w:p>
      <w:pPr>
        <w:ind w:left="920"/>
        <w:spacing w:after="0"/>
        <w:rPr>
          <w:sz w:val="20"/>
          <w:szCs w:val="20"/>
          <w:color w:val="auto"/>
        </w:rPr>
      </w:pPr>
      <w:r>
        <w:rPr>
          <w:rFonts w:ascii="Arial" w:cs="Arial" w:eastAsia="Arial" w:hAnsi="Arial"/>
          <w:sz w:val="18"/>
          <w:szCs w:val="18"/>
          <w:u w:val="single" w:color="auto"/>
          <w:color w:val="0000FF"/>
        </w:rPr>
        <w:t>1350, chapter 63 of title 18, United States Code).</w:t>
      </w:r>
    </w:p>
    <w:p>
      <w:pPr>
        <w:spacing w:after="0" w:line="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pursuant to Rule 13a-14(b) and section 906 of the Sarbanes-Oxley Act of 2002 (subsections (a) and (b) of section</w:t>
      </w:r>
    </w:p>
    <w:p>
      <w:pPr>
        <w:ind w:left="920"/>
        <w:spacing w:after="0"/>
        <w:rPr>
          <w:sz w:val="20"/>
          <w:szCs w:val="20"/>
          <w:color w:val="auto"/>
        </w:rPr>
      </w:pPr>
      <w:r>
        <w:rPr>
          <w:rFonts w:ascii="Arial" w:cs="Arial" w:eastAsia="Arial" w:hAnsi="Arial"/>
          <w:sz w:val="18"/>
          <w:szCs w:val="18"/>
          <w:u w:val="single" w:color="auto"/>
          <w:color w:val="0000FF"/>
        </w:rPr>
        <w:t>1350, chapter 63 of title 18, United States Code).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ind w:left="920" w:right="1760" w:hanging="890"/>
        <w:spacing w:after="0" w:line="230"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Interactive data files pursuant to Rule 405 of Regulation S-T, formatted in Inline XBRL (eXtensible Business Reporting Language).</w:t>
      </w:r>
    </w:p>
    <w:p>
      <w:pPr>
        <w:spacing w:after="0" w:line="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112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55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00" w:lineRule="exact"/>
        <w:rPr>
          <w:sz w:val="20"/>
          <w:szCs w:val="20"/>
          <w:color w:val="auto"/>
        </w:rPr>
      </w:pPr>
    </w:p>
    <w:p>
      <w:pPr>
        <w:jc w:val="both"/>
        <w:ind w:left="640" w:hanging="240"/>
        <w:spacing w:after="0" w:line="225" w:lineRule="auto"/>
        <w:tabs>
          <w:tab w:leader="none" w:pos="64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Pursuant to Item 601(a)(5)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2" w:lineRule="exact"/>
        <w:rPr>
          <w:sz w:val="20"/>
          <w:szCs w:val="20"/>
          <w:color w:val="auto"/>
        </w:rPr>
      </w:pPr>
    </w:p>
    <w:p>
      <w:pPr>
        <w:ind w:left="640" w:hanging="240"/>
        <w:spacing w:after="0"/>
        <w:tabs>
          <w:tab w:leader="none" w:pos="64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Confidential treatment has been granted with respect to certain portions of this agreement.</w:t>
      </w:r>
    </w:p>
    <w:p>
      <w:pPr>
        <w:spacing w:after="0" w:line="22" w:lineRule="exact"/>
        <w:rPr>
          <w:sz w:val="20"/>
          <w:szCs w:val="20"/>
          <w:color w:val="auto"/>
        </w:rPr>
      </w:pPr>
    </w:p>
    <w:p>
      <w:pPr>
        <w:ind w:left="640" w:hanging="330"/>
        <w:spacing w:after="0"/>
        <w:tabs>
          <w:tab w:leader="none" w:pos="64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Portions of this exhibit have been omitted in accordance with Item 601(b)(10) of Regulation S-K.</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American Airlines Group Inc.</w:t>
      </w:r>
    </w:p>
    <w:p>
      <w:pPr>
        <w:spacing w:after="0" w:line="40" w:lineRule="exact"/>
        <w:rPr>
          <w:sz w:val="20"/>
          <w:szCs w:val="20"/>
          <w:color w:val="auto"/>
        </w:rPr>
      </w:pPr>
    </w:p>
    <w:p>
      <w:pPr>
        <w:ind w:left="5620" w:right="3160" w:hanging="6533"/>
        <w:spacing w:after="0" w:line="269" w:lineRule="auto"/>
        <w:tabs>
          <w:tab w:leader="none" w:pos="5600" w:val="left"/>
        </w:tabs>
        <w:rPr>
          <w:sz w:val="20"/>
          <w:szCs w:val="20"/>
          <w:color w:val="auto"/>
        </w:rPr>
      </w:pPr>
      <w:r>
        <w:rPr>
          <w:rFonts w:ascii="Arial" w:cs="Arial" w:eastAsia="Arial" w:hAnsi="Arial"/>
          <w:sz w:val="18"/>
          <w:szCs w:val="18"/>
          <w:color w:val="auto"/>
        </w:rPr>
        <w:t>Date: February 22, 2023</w:t>
      </w:r>
      <w:r>
        <w:rPr>
          <w:sz w:val="20"/>
          <w:szCs w:val="20"/>
          <w:color w:val="auto"/>
        </w:rPr>
        <w:tab/>
      </w:r>
      <w:r>
        <w:rPr>
          <w:rFonts w:ascii="Arial" w:cs="Arial" w:eastAsia="Arial" w:hAnsi="Arial"/>
          <w:sz w:val="18"/>
          <w:szCs w:val="18"/>
          <w:color w:val="auto"/>
        </w:rPr>
        <w:t>By: /s/ Robert D. Isom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-155575</wp:posOffset>
            </wp:positionV>
            <wp:extent cx="26142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55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56"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American Airlines, Inc.</w:t>
      </w:r>
    </w:p>
    <w:p>
      <w:pPr>
        <w:spacing w:after="0" w:line="40" w:lineRule="exact"/>
        <w:rPr>
          <w:sz w:val="20"/>
          <w:szCs w:val="20"/>
          <w:color w:val="auto"/>
        </w:rPr>
      </w:pPr>
    </w:p>
    <w:p>
      <w:pPr>
        <w:ind w:left="5620" w:right="3160" w:hanging="6533"/>
        <w:spacing w:after="0" w:line="269" w:lineRule="auto"/>
        <w:tabs>
          <w:tab w:leader="none" w:pos="5600" w:val="left"/>
        </w:tabs>
        <w:rPr>
          <w:sz w:val="20"/>
          <w:szCs w:val="20"/>
          <w:color w:val="auto"/>
        </w:rPr>
      </w:pPr>
      <w:r>
        <w:rPr>
          <w:rFonts w:ascii="Arial" w:cs="Arial" w:eastAsia="Arial" w:hAnsi="Arial"/>
          <w:sz w:val="18"/>
          <w:szCs w:val="18"/>
          <w:color w:val="auto"/>
        </w:rPr>
        <w:t>Date: February 22, 2023</w:t>
      </w:r>
      <w:r>
        <w:rPr>
          <w:sz w:val="20"/>
          <w:szCs w:val="20"/>
          <w:color w:val="auto"/>
        </w:rPr>
        <w:tab/>
      </w:r>
      <w:r>
        <w:rPr>
          <w:rFonts w:ascii="Arial" w:cs="Arial" w:eastAsia="Arial" w:hAnsi="Arial"/>
          <w:sz w:val="18"/>
          <w:szCs w:val="18"/>
          <w:color w:val="auto"/>
        </w:rPr>
        <w:t>By: /s/ Robert D. Isom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-155575</wp:posOffset>
            </wp:positionV>
            <wp:extent cx="26142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55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Robert D. Isom and Devon E. May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2022,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13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Group Inc. and in the capacities and on the dates noted: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6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60" w:type="dxa"/>
            <w:vAlign w:val="bottom"/>
            <w:tcBorders>
              <w:bottom w:val="single" w:sz="8" w:color="435363"/>
            </w:tcBorders>
          </w:tcPr>
          <w:p>
            <w:pPr>
              <w:ind w:left="60"/>
              <w:spacing w:after="0"/>
              <w:rPr>
                <w:sz w:val="20"/>
                <w:szCs w:val="20"/>
                <w:color w:val="auto"/>
              </w:rPr>
            </w:pPr>
            <w:r>
              <w:rPr>
                <w:rFonts w:ascii="Arial" w:cs="Arial" w:eastAsia="Arial" w:hAnsi="Arial"/>
                <w:sz w:val="18"/>
                <w:szCs w:val="18"/>
                <w:color w:val="auto"/>
              </w:rPr>
              <w:t>Robert D. Isom</w:t>
            </w:r>
          </w:p>
        </w:tc>
      </w:tr>
      <w:tr>
        <w:trPr>
          <w:trHeight w:val="218"/>
        </w:trPr>
        <w:tc>
          <w:tcPr>
            <w:tcW w:w="53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Robert D. Isom</w:t>
            </w:r>
          </w:p>
        </w:tc>
      </w:tr>
      <w:tr>
        <w:trPr>
          <w:trHeight w:val="229"/>
        </w:trPr>
        <w:tc>
          <w:tcPr>
            <w:tcW w:w="5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9"/>
        </w:trPr>
        <w:tc>
          <w:tcPr>
            <w:tcW w:w="53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6"/>
        </w:trPr>
        <w:tc>
          <w:tcPr>
            <w:tcW w:w="53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6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60" w:type="dxa"/>
            <w:vAlign w:val="bottom"/>
            <w:tcBorders>
              <w:bottom w:val="single" w:sz="8" w:color="435363"/>
            </w:tcBorders>
          </w:tcPr>
          <w:p>
            <w:pPr>
              <w:ind w:left="160"/>
              <w:spacing w:after="0"/>
              <w:rPr>
                <w:sz w:val="20"/>
                <w:szCs w:val="20"/>
                <w:color w:val="auto"/>
              </w:rPr>
            </w:pPr>
            <w:r>
              <w:rPr>
                <w:rFonts w:ascii="Arial" w:cs="Arial" w:eastAsia="Arial" w:hAnsi="Arial"/>
                <w:sz w:val="18"/>
                <w:szCs w:val="18"/>
                <w:color w:val="auto"/>
              </w:rPr>
              <w:t>Devon E. May</w:t>
            </w:r>
          </w:p>
        </w:tc>
      </w:tr>
      <w:tr>
        <w:trPr>
          <w:trHeight w:val="218"/>
        </w:trPr>
        <w:tc>
          <w:tcPr>
            <w:tcW w:w="53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Devon E. May</w:t>
            </w:r>
          </w:p>
        </w:tc>
      </w:tr>
      <w:tr>
        <w:trPr>
          <w:trHeight w:val="230"/>
        </w:trPr>
        <w:tc>
          <w:tcPr>
            <w:tcW w:w="5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53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5"/>
        </w:trPr>
        <w:tc>
          <w:tcPr>
            <w:tcW w:w="53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6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60" w:type="dxa"/>
            <w:vAlign w:val="bottom"/>
            <w:tcBorders>
              <w:bottom w:val="single" w:sz="8" w:color="435363"/>
            </w:tcBorders>
          </w:tcPr>
          <w:p>
            <w:pPr>
              <w:ind w:left="140"/>
              <w:spacing w:after="0"/>
              <w:rPr>
                <w:sz w:val="20"/>
                <w:szCs w:val="20"/>
                <w:color w:val="auto"/>
              </w:rPr>
            </w:pPr>
            <w:r>
              <w:rPr>
                <w:rFonts w:ascii="Arial" w:cs="Arial" w:eastAsia="Arial" w:hAnsi="Arial"/>
                <w:sz w:val="18"/>
                <w:szCs w:val="18"/>
                <w:color w:val="auto"/>
              </w:rPr>
              <w:t>Angela K. Owens</w:t>
            </w:r>
          </w:p>
        </w:tc>
      </w:tr>
      <w:tr>
        <w:trPr>
          <w:trHeight w:val="218"/>
        </w:trPr>
        <w:tc>
          <w:tcPr>
            <w:tcW w:w="53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Angela K. Owens</w:t>
            </w:r>
          </w:p>
        </w:tc>
      </w:tr>
      <w:tr>
        <w:trPr>
          <w:trHeight w:val="230"/>
        </w:trPr>
        <w:tc>
          <w:tcPr>
            <w:tcW w:w="5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Vice President and Corporate Controller</w:t>
            </w:r>
          </w:p>
        </w:tc>
      </w:tr>
      <w:tr>
        <w:trPr>
          <w:trHeight w:val="239"/>
        </w:trPr>
        <w:tc>
          <w:tcPr>
            <w:tcW w:w="53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James F. Albaugh</w:t>
            </w: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James F. Albaugh, Director</w:t>
            </w:r>
          </w:p>
        </w:tc>
      </w:tr>
      <w:tr>
        <w:trPr>
          <w:trHeight w:val="490"/>
        </w:trPr>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Jeffrey D. Benjamin</w:t>
            </w: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Jeffrey D. Benjamin, Director</w:t>
            </w:r>
          </w:p>
        </w:tc>
      </w:tr>
      <w:tr>
        <w:trPr>
          <w:trHeight w:val="490"/>
        </w:trPr>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80"/>
              <w:spacing w:after="0"/>
              <w:rPr>
                <w:sz w:val="20"/>
                <w:szCs w:val="20"/>
                <w:color w:val="auto"/>
              </w:rPr>
            </w:pPr>
            <w:r>
              <w:rPr>
                <w:rFonts w:ascii="Arial" w:cs="Arial" w:eastAsia="Arial" w:hAnsi="Arial"/>
                <w:sz w:val="18"/>
                <w:szCs w:val="18"/>
                <w:color w:val="auto"/>
              </w:rPr>
              <w:t>Adriane M. Brown</w:t>
            </w: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Adriane M. Brown, Director</w:t>
            </w:r>
          </w:p>
        </w:tc>
      </w:tr>
      <w:tr>
        <w:trPr>
          <w:trHeight w:val="490"/>
        </w:trPr>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John T. Cahill</w:t>
            </w: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John T. Cahill, Director</w:t>
            </w:r>
          </w:p>
        </w:tc>
      </w:tr>
      <w:tr>
        <w:trPr>
          <w:trHeight w:val="490"/>
        </w:trPr>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Michael J. Embler</w:t>
            </w: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Michael J. Embler, Director</w:t>
            </w:r>
          </w:p>
        </w:tc>
      </w:tr>
      <w:tr>
        <w:trPr>
          <w:trHeight w:val="494"/>
        </w:trPr>
        <w:tc>
          <w:tcPr>
            <w:tcW w:w="320" w:type="dxa"/>
            <w:vAlign w:val="bottom"/>
          </w:tcPr>
          <w:p>
            <w:pPr>
              <w:ind w:left="20"/>
              <w:spacing w:after="0"/>
              <w:rPr>
                <w:sz w:val="20"/>
                <w:szCs w:val="20"/>
                <w:color w:val="auto"/>
              </w:rPr>
            </w:pPr>
            <w:r>
              <w:rPr>
                <w:rFonts w:ascii="Arial" w:cs="Arial" w:eastAsia="Arial" w:hAnsi="Arial"/>
                <w:sz w:val="18"/>
                <w:szCs w:val="18"/>
                <w:color w:val="auto"/>
              </w:rPr>
              <w:t>/s/</w:t>
            </w:r>
          </w:p>
        </w:tc>
        <w:tc>
          <w:tcPr>
            <w:tcW w:w="5000" w:type="dxa"/>
            <w:vAlign w:val="bottom"/>
          </w:tcPr>
          <w:p>
            <w:pPr>
              <w:ind w:left="100"/>
              <w:spacing w:after="0"/>
              <w:rPr>
                <w:sz w:val="20"/>
                <w:szCs w:val="20"/>
                <w:color w:val="auto"/>
              </w:rPr>
            </w:pPr>
            <w:r>
              <w:rPr>
                <w:rFonts w:ascii="Arial" w:cs="Arial" w:eastAsia="Arial" w:hAnsi="Arial"/>
                <w:sz w:val="18"/>
                <w:szCs w:val="18"/>
                <w:color w:val="auto"/>
              </w:rPr>
              <w:t>Matthew J. Hart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3775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559">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Matthew J. Hart, Director</w:t>
      </w:r>
    </w:p>
    <w:p>
      <w:pPr>
        <w:spacing w:after="0" w:line="200" w:lineRule="exact"/>
        <w:rPr>
          <w:sz w:val="20"/>
          <w:szCs w:val="20"/>
          <w:color w:val="auto"/>
        </w:rPr>
      </w:pPr>
    </w:p>
    <w:p>
      <w:pPr>
        <w:sectPr>
          <w:pgSz w:w="11900" w:h="16838" w:orient="portrait"/>
          <w:cols w:equalWidth="0" w:num="2">
            <w:col w:w="4600" w:space="720"/>
            <w:col w:w="592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8"/>
              </w:rPr>
              <w:t>Table of Contents</w:t>
            </w:r>
          </w:p>
        </w:tc>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952"/>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Date: February 22, 2023</w:t>
            </w:r>
          </w:p>
        </w:tc>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Susan D. Kronick</w:t>
            </w:r>
          </w:p>
        </w:tc>
      </w:tr>
      <w:tr>
        <w:trPr>
          <w:trHeight w:val="232"/>
        </w:trPr>
        <w:tc>
          <w:tcPr>
            <w:tcW w:w="1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Susan D. Kronick, Director</w:t>
            </w:r>
          </w:p>
        </w:tc>
      </w:tr>
      <w:tr>
        <w:trPr>
          <w:trHeight w:val="49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Date: February 22, 2023</w:t>
            </w:r>
          </w:p>
        </w:tc>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Martin H. Nesbitt</w:t>
            </w:r>
          </w:p>
        </w:tc>
      </w:tr>
      <w:tr>
        <w:trPr>
          <w:trHeight w:val="232"/>
        </w:trPr>
        <w:tc>
          <w:tcPr>
            <w:tcW w:w="1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Martin H. Nesbitt, Director</w:t>
            </w:r>
          </w:p>
        </w:tc>
      </w:tr>
      <w:tr>
        <w:trPr>
          <w:trHeight w:val="49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Date: February 22, 2023</w:t>
            </w:r>
          </w:p>
        </w:tc>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Denise M. O’Leary</w:t>
            </w:r>
          </w:p>
        </w:tc>
      </w:tr>
      <w:tr>
        <w:trPr>
          <w:trHeight w:val="232"/>
        </w:trPr>
        <w:tc>
          <w:tcPr>
            <w:tcW w:w="1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Denise M. O’Leary, Director</w:t>
            </w:r>
          </w:p>
        </w:tc>
      </w:tr>
      <w:tr>
        <w:trPr>
          <w:trHeight w:val="49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Date: February 22, 2023</w:t>
            </w:r>
          </w:p>
        </w:tc>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W. Douglas Parker</w:t>
            </w:r>
          </w:p>
        </w:tc>
      </w:tr>
      <w:tr>
        <w:trPr>
          <w:trHeight w:val="232"/>
        </w:trPr>
        <w:tc>
          <w:tcPr>
            <w:tcW w:w="1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W. Douglas Parker, Chairman</w:t>
            </w:r>
          </w:p>
        </w:tc>
      </w:tr>
      <w:tr>
        <w:trPr>
          <w:trHeight w:val="49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Date: February 22, 2023</w:t>
            </w:r>
          </w:p>
        </w:tc>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Vicente Reynal</w:t>
            </w:r>
          </w:p>
        </w:tc>
      </w:tr>
      <w:tr>
        <w:trPr>
          <w:trHeight w:val="232"/>
        </w:trPr>
        <w:tc>
          <w:tcPr>
            <w:tcW w:w="1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Vicente Reynal, Director</w:t>
            </w:r>
          </w:p>
        </w:tc>
      </w:tr>
      <w:tr>
        <w:trPr>
          <w:trHeight w:val="49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Date: February 22, 2023</w:t>
            </w:r>
          </w:p>
        </w:tc>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Ray M. Robinson</w:t>
            </w:r>
          </w:p>
        </w:tc>
      </w:tr>
      <w:tr>
        <w:trPr>
          <w:trHeight w:val="232"/>
        </w:trPr>
        <w:tc>
          <w:tcPr>
            <w:tcW w:w="1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Ray M. Robinson, Director</w:t>
            </w:r>
          </w:p>
        </w:tc>
      </w:tr>
      <w:tr>
        <w:trPr>
          <w:trHeight w:val="49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Date: February 22, 2023</w:t>
            </w:r>
          </w:p>
        </w:tc>
        <w:tc>
          <w:tcPr>
            <w:tcW w:w="32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Gregory D. Smith</w:t>
            </w:r>
          </w:p>
        </w:tc>
      </w:tr>
      <w:tr>
        <w:trPr>
          <w:trHeight w:val="232"/>
        </w:trPr>
        <w:tc>
          <w:tcPr>
            <w:tcW w:w="1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Gregory D. Smith, Director</w:t>
            </w:r>
          </w:p>
        </w:tc>
      </w:tr>
      <w:tr>
        <w:trPr>
          <w:trHeight w:val="494"/>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Date: February 22, 2023</w:t>
            </w:r>
          </w:p>
        </w:tc>
        <w:tc>
          <w:tcPr>
            <w:tcW w:w="320" w:type="dxa"/>
            <w:vAlign w:val="bottom"/>
          </w:tcPr>
          <w:p>
            <w:pPr>
              <w:ind w:left="20"/>
              <w:spacing w:after="0"/>
              <w:rPr>
                <w:sz w:val="20"/>
                <w:szCs w:val="20"/>
                <w:color w:val="auto"/>
              </w:rPr>
            </w:pPr>
            <w:r>
              <w:rPr>
                <w:rFonts w:ascii="Arial" w:cs="Arial" w:eastAsia="Arial" w:hAnsi="Arial"/>
                <w:sz w:val="18"/>
                <w:szCs w:val="18"/>
                <w:color w:val="auto"/>
              </w:rPr>
              <w:t>/s/</w:t>
            </w:r>
          </w:p>
        </w:tc>
        <w:tc>
          <w:tcPr>
            <w:tcW w:w="5000" w:type="dxa"/>
            <w:vAlign w:val="bottom"/>
          </w:tcPr>
          <w:p>
            <w:pPr>
              <w:ind w:left="100"/>
              <w:spacing w:after="0"/>
              <w:rPr>
                <w:sz w:val="20"/>
                <w:szCs w:val="20"/>
                <w:color w:val="auto"/>
              </w:rPr>
            </w:pPr>
            <w:r>
              <w:rPr>
                <w:rFonts w:ascii="Arial" w:cs="Arial" w:eastAsia="Arial" w:hAnsi="Arial"/>
                <w:sz w:val="18"/>
                <w:szCs w:val="18"/>
                <w:color w:val="auto"/>
              </w:rPr>
              <w:t>Douglas M. Steenland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-1905</wp:posOffset>
            </wp:positionV>
            <wp:extent cx="33775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56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Douglas M. Steenland, Director</w:t>
      </w:r>
    </w:p>
    <w:p>
      <w:pPr>
        <w:spacing w:after="0" w:line="266"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Inc. and in the capacities and on the dates noted: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6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60" w:type="dxa"/>
            <w:vAlign w:val="bottom"/>
            <w:tcBorders>
              <w:bottom w:val="single" w:sz="8" w:color="435363"/>
            </w:tcBorders>
          </w:tcPr>
          <w:p>
            <w:pPr>
              <w:ind w:left="60"/>
              <w:spacing w:after="0"/>
              <w:rPr>
                <w:sz w:val="20"/>
                <w:szCs w:val="20"/>
                <w:color w:val="auto"/>
              </w:rPr>
            </w:pPr>
            <w:r>
              <w:rPr>
                <w:rFonts w:ascii="Arial" w:cs="Arial" w:eastAsia="Arial" w:hAnsi="Arial"/>
                <w:sz w:val="18"/>
                <w:szCs w:val="18"/>
                <w:color w:val="auto"/>
              </w:rPr>
              <w:t>Robert D. Isom</w:t>
            </w:r>
          </w:p>
        </w:tc>
      </w:tr>
      <w:tr>
        <w:trPr>
          <w:trHeight w:val="218"/>
        </w:trPr>
        <w:tc>
          <w:tcPr>
            <w:tcW w:w="53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Robert D. Isom</w:t>
            </w:r>
          </w:p>
        </w:tc>
      </w:tr>
      <w:tr>
        <w:trPr>
          <w:trHeight w:val="230"/>
        </w:trPr>
        <w:tc>
          <w:tcPr>
            <w:tcW w:w="5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9"/>
        </w:trPr>
        <w:tc>
          <w:tcPr>
            <w:tcW w:w="53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53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6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60" w:type="dxa"/>
            <w:vAlign w:val="bottom"/>
            <w:tcBorders>
              <w:bottom w:val="single" w:sz="8" w:color="435363"/>
            </w:tcBorders>
          </w:tcPr>
          <w:p>
            <w:pPr>
              <w:ind w:left="160"/>
              <w:spacing w:after="0"/>
              <w:rPr>
                <w:sz w:val="20"/>
                <w:szCs w:val="20"/>
                <w:color w:val="auto"/>
              </w:rPr>
            </w:pPr>
            <w:r>
              <w:rPr>
                <w:rFonts w:ascii="Arial" w:cs="Arial" w:eastAsia="Arial" w:hAnsi="Arial"/>
                <w:sz w:val="18"/>
                <w:szCs w:val="18"/>
                <w:color w:val="auto"/>
              </w:rPr>
              <w:t>Devon E. May</w:t>
            </w:r>
          </w:p>
        </w:tc>
      </w:tr>
      <w:tr>
        <w:trPr>
          <w:trHeight w:val="218"/>
        </w:trPr>
        <w:tc>
          <w:tcPr>
            <w:tcW w:w="53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Devon E. May</w:t>
            </w:r>
          </w:p>
        </w:tc>
      </w:tr>
      <w:tr>
        <w:trPr>
          <w:trHeight w:val="229"/>
        </w:trPr>
        <w:tc>
          <w:tcPr>
            <w:tcW w:w="5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53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5"/>
        </w:trPr>
        <w:tc>
          <w:tcPr>
            <w:tcW w:w="53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6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60" w:type="dxa"/>
            <w:vAlign w:val="bottom"/>
            <w:tcBorders>
              <w:bottom w:val="single" w:sz="8" w:color="435363"/>
            </w:tcBorders>
          </w:tcPr>
          <w:p>
            <w:pPr>
              <w:ind w:left="140"/>
              <w:spacing w:after="0"/>
              <w:rPr>
                <w:sz w:val="20"/>
                <w:szCs w:val="20"/>
                <w:color w:val="auto"/>
              </w:rPr>
            </w:pPr>
            <w:r>
              <w:rPr>
                <w:rFonts w:ascii="Arial" w:cs="Arial" w:eastAsia="Arial" w:hAnsi="Arial"/>
                <w:sz w:val="18"/>
                <w:szCs w:val="18"/>
                <w:color w:val="auto"/>
              </w:rPr>
              <w:t>Angela K. Owens</w:t>
            </w:r>
          </w:p>
        </w:tc>
      </w:tr>
      <w:tr>
        <w:trPr>
          <w:trHeight w:val="218"/>
        </w:trPr>
        <w:tc>
          <w:tcPr>
            <w:tcW w:w="53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Angela K. Owens</w:t>
            </w:r>
          </w:p>
        </w:tc>
      </w:tr>
      <w:tr>
        <w:trPr>
          <w:trHeight w:val="230"/>
        </w:trPr>
        <w:tc>
          <w:tcPr>
            <w:tcW w:w="5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Vice President and Corporate Controller</w:t>
            </w:r>
          </w:p>
        </w:tc>
      </w:tr>
      <w:tr>
        <w:trPr>
          <w:trHeight w:val="239"/>
        </w:trPr>
        <w:tc>
          <w:tcPr>
            <w:tcW w:w="53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96"/>
        </w:trPr>
        <w:tc>
          <w:tcPr>
            <w:tcW w:w="53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6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60" w:type="dxa"/>
            <w:vAlign w:val="bottom"/>
            <w:tcBorders>
              <w:bottom w:val="single" w:sz="8" w:color="435363"/>
            </w:tcBorders>
          </w:tcPr>
          <w:p>
            <w:pPr>
              <w:ind w:left="160"/>
              <w:spacing w:after="0"/>
              <w:rPr>
                <w:sz w:val="20"/>
                <w:szCs w:val="20"/>
                <w:color w:val="auto"/>
              </w:rPr>
            </w:pPr>
            <w:r>
              <w:rPr>
                <w:rFonts w:ascii="Arial" w:cs="Arial" w:eastAsia="Arial" w:hAnsi="Arial"/>
                <w:sz w:val="18"/>
                <w:szCs w:val="18"/>
                <w:color w:val="auto"/>
              </w:rPr>
              <w:t>Stephen L. Johnson</w:t>
            </w:r>
          </w:p>
        </w:tc>
      </w:tr>
      <w:tr>
        <w:trPr>
          <w:trHeight w:val="232"/>
        </w:trPr>
        <w:tc>
          <w:tcPr>
            <w:tcW w:w="53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Stephen L. Johnson, Director</w:t>
            </w:r>
          </w:p>
        </w:tc>
      </w:tr>
      <w:tr>
        <w:trPr>
          <w:trHeight w:val="724"/>
        </w:trPr>
        <w:tc>
          <w:tcPr>
            <w:tcW w:w="5300" w:type="dxa"/>
            <w:vAlign w:val="bottom"/>
          </w:tcPr>
          <w:p>
            <w:pPr>
              <w:spacing w:after="0"/>
              <w:rPr>
                <w:sz w:val="24"/>
                <w:szCs w:val="24"/>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209</w:t>
            </w:r>
          </w:p>
        </w:tc>
      </w:tr>
    </w:tbl>
    <w:p>
      <w:pPr>
        <w:sectPr>
          <w:pgSz w:w="11900" w:h="16838" w:orient="portrait"/>
          <w:cols w:equalWidth="0" w:num="1">
            <w:col w:w="11220"/>
          </w:cols>
          <w:pgMar w:left="320" w:top="351" w:right="35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2"/>
          <w:szCs w:val="22"/>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 BYLAWS</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OF</w:t>
      </w:r>
    </w:p>
    <w:p>
      <w:pPr>
        <w:ind w:left="3800"/>
        <w:spacing w:after="0" w:line="205" w:lineRule="auto"/>
        <w:rPr>
          <w:sz w:val="20"/>
          <w:szCs w:val="20"/>
          <w:color w:val="auto"/>
        </w:rPr>
      </w:pPr>
      <w:r>
        <w:rPr>
          <w:rFonts w:ascii="Times New Roman" w:cs="Times New Roman" w:eastAsia="Times New Roman" w:hAnsi="Times New Roman"/>
          <w:sz w:val="22"/>
          <w:szCs w:val="22"/>
          <w:b w:val="1"/>
          <w:bCs w:val="1"/>
          <w:color w:val="auto"/>
        </w:rPr>
        <w:t>AMERICAN AIRLINES GROUP INC.</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(hereinafter called the “</w:t>
      </w:r>
      <w:r>
        <w:rPr>
          <w:rFonts w:ascii="Times New Roman" w:cs="Times New Roman" w:eastAsia="Times New Roman" w:hAnsi="Times New Roman"/>
          <w:sz w:val="22"/>
          <w:szCs w:val="22"/>
          <w:b w:val="1"/>
          <w:bCs w:val="1"/>
          <w:u w:val="single" w:color="auto"/>
          <w:color w:val="auto"/>
        </w:rPr>
        <w:t>Corporation</w:t>
      </w:r>
      <w:r>
        <w:rPr>
          <w:rFonts w:ascii="Times New Roman" w:cs="Times New Roman" w:eastAsia="Times New Roman" w:hAnsi="Times New Roman"/>
          <w:sz w:val="22"/>
          <w:szCs w:val="22"/>
          <w:b w:val="1"/>
          <w:bCs w:val="1"/>
          <w:color w:val="auto"/>
        </w:rPr>
        <w:t>”)</w:t>
      </w:r>
    </w:p>
    <w:p>
      <w:pPr>
        <w:spacing w:after="0" w:line="15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Effective June 13, 2018</w:t>
      </w:r>
    </w:p>
    <w:p>
      <w:pPr>
        <w:spacing w:after="0" w:line="17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As amended January 31, 2023</w:t>
      </w:r>
    </w:p>
    <w:p>
      <w:pPr>
        <w:spacing w:after="0" w:line="1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 * * * * * * * * *</w:t>
      </w:r>
    </w:p>
    <w:p>
      <w:pPr>
        <w:spacing w:after="0" w:line="16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155" w:lineRule="exact"/>
        <w:rPr>
          <w:sz w:val="20"/>
          <w:szCs w:val="20"/>
          <w:color w:val="auto"/>
        </w:rPr>
      </w:pPr>
    </w:p>
    <w:p>
      <w:pPr>
        <w:jc w:val="both"/>
        <w:ind w:right="260"/>
        <w:spacing w:after="0" w:line="225" w:lineRule="auto"/>
        <w:rPr>
          <w:sz w:val="20"/>
          <w:szCs w:val="20"/>
          <w:color w:val="auto"/>
        </w:rPr>
      </w:pPr>
      <w:r>
        <w:rPr>
          <w:rFonts w:ascii="Times New Roman" w:cs="Times New Roman" w:eastAsia="Times New Roman" w:hAnsi="Times New Roman"/>
          <w:sz w:val="22"/>
          <w:szCs w:val="22"/>
          <w:color w:val="auto"/>
        </w:rPr>
        <w:t>The registered office of the Corporation shall be in the City of Wilmington, County of New Castle, Delaware. The Corporation may also have offices at such other places, both within and without the State of Delaware, as the Board of Directors may from time to time determine.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Meetings of Stockholders</w:t>
      </w:r>
    </w:p>
    <w:p>
      <w:pPr>
        <w:spacing w:after="0" w:line="15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Annual Meetings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annual meeting of stockholders for the election of Directors shall be held on such date and at such time as shall be designated from time to time by the Board of Directors, at which meeting the stockholders shall elect a Board of Directors pursuant to Article III hereof and may transact such other business as may properly come before the meeting in accordance with Section 7 of this Article 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Special Meetings of Stockholders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60" w:firstLine="8"/>
        <w:spacing w:after="0" w:line="210" w:lineRule="auto"/>
        <w:tabs>
          <w:tab w:leader="none" w:pos="64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required by law or the Restated Certificate of Incorporation, as the same may be amended, restated or supplemented from time to time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xml:space="preserve">”), special meetings of the stockholders for any purpose or purposes may be called only (i) by the Chairman of the Board of Directors, (ii) by the Board of Directors, (iii) by the Chief Executive Officer or (iv) by the Secretary of the Corporation, following his or her receipt of one or more written demands to call a special meeting of the stockholders in accordance with, and subject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from stockholders who hold as of the record date fixed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 in the aggregate, at least 20% (the “</w:t>
      </w:r>
      <w:r>
        <w:rPr>
          <w:rFonts w:ascii="Times New Roman" w:cs="Times New Roman" w:eastAsia="Times New Roman" w:hAnsi="Times New Roman"/>
          <w:sz w:val="22"/>
          <w:szCs w:val="22"/>
          <w:u w:val="single" w:color="auto"/>
          <w:color w:val="auto"/>
        </w:rPr>
        <w:t>Requisite Percentage</w:t>
      </w:r>
      <w:r>
        <w:rPr>
          <w:rFonts w:ascii="Times New Roman" w:cs="Times New Roman" w:eastAsia="Times New Roman" w:hAnsi="Times New Roman"/>
          <w:sz w:val="22"/>
          <w:szCs w:val="22"/>
          <w:color w:val="auto"/>
        </w:rPr>
        <w:t>”) of the voting power of the outstanding shares of the Corporation (the “</w:t>
      </w:r>
      <w:r>
        <w:rPr>
          <w:rFonts w:ascii="Times New Roman" w:cs="Times New Roman" w:eastAsia="Times New Roman" w:hAnsi="Times New Roman"/>
          <w:sz w:val="22"/>
          <w:szCs w:val="22"/>
          <w:u w:val="single" w:color="auto"/>
          <w:color w:val="auto"/>
        </w:rPr>
        <w:t>Requesting Group</w:t>
      </w:r>
      <w:r>
        <w:rPr>
          <w:rFonts w:ascii="Times New Roman" w:cs="Times New Roman" w:eastAsia="Times New Roman" w:hAnsi="Times New Roman"/>
          <w:sz w:val="22"/>
          <w:szCs w:val="22"/>
          <w:color w:val="auto"/>
        </w:rPr>
        <w:t xml:space="preserve">”). The notice of a special meeting shall state the purpose or purposes of the special meeting, and the business to be conducted at the special meeting shall be limited to the purpose or purposes stated in the notice. Except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stockholders shall not be permitted to propose business to be brought before a special meeting of the stockholders. Stockholders who nominate persons for election to the board of directors at a special meeting must also comply with the requirements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w:t>
      </w:r>
    </w:p>
    <w:p>
      <w:pPr>
        <w:spacing w:after="0" w:line="151" w:lineRule="exact"/>
        <w:rPr>
          <w:rFonts w:ascii="Times New Roman" w:cs="Times New Roman" w:eastAsia="Times New Roman" w:hAnsi="Times New Roman"/>
          <w:sz w:val="22"/>
          <w:szCs w:val="22"/>
          <w:color w:val="auto"/>
        </w:rPr>
      </w:pPr>
    </w:p>
    <w:p>
      <w:pPr>
        <w:ind w:right="40" w:firstLine="8"/>
        <w:spacing w:after="0" w:line="217" w:lineRule="auto"/>
        <w:tabs>
          <w:tab w:leader="none" w:pos="64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stockholder may demand that the Secretary of the Corporation call a special meeting of the stockholders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unless a stockholder has first submitted a request in writing that the Board of Directors fix a record date (a “</w:t>
      </w:r>
      <w:r>
        <w:rPr>
          <w:rFonts w:ascii="Times New Roman" w:cs="Times New Roman" w:eastAsia="Times New Roman" w:hAnsi="Times New Roman"/>
          <w:sz w:val="22"/>
          <w:szCs w:val="22"/>
          <w:u w:val="single" w:color="auto"/>
          <w:color w:val="auto"/>
        </w:rPr>
        <w:t>Demand Record Date</w:t>
      </w:r>
      <w:r>
        <w:rPr>
          <w:rFonts w:ascii="Times New Roman" w:cs="Times New Roman" w:eastAsia="Times New Roman" w:hAnsi="Times New Roman"/>
          <w:sz w:val="22"/>
          <w:szCs w:val="22"/>
          <w:color w:val="auto"/>
        </w:rPr>
        <w:t>”) for the purpose of determining the stockholders entitled to demand that the Secretary of the Corporation call such special meeting, which request shall be in proper form and delivered to, or mailed and received by, the Secretary of the Corporation at the principal executive offices of the Corporation.</w:t>
      </w:r>
    </w:p>
    <w:p>
      <w:pPr>
        <w:sectPr>
          <w:pgSz w:w="11900" w:h="16838" w:orient="portrait"/>
          <w:cols w:equalWidth="0" w:num="1">
            <w:col w:w="11240"/>
          </w:cols>
          <w:pgMar w:left="320" w:top="122" w:right="339" w:bottom="1440" w:gutter="0" w:footer="0" w:header="0"/>
        </w:sectPr>
      </w:pPr>
    </w:p>
    <w:bookmarkStart w:id="210" w:name="page211"/>
    <w:bookmarkEnd w:id="210"/>
    <w:p>
      <w:pPr>
        <w:ind w:right="100" w:firstLine="8"/>
        <w:spacing w:after="0" w:line="236" w:lineRule="auto"/>
        <w:tabs>
          <w:tab w:leader="none" w:pos="64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in proper form 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 request by a stockholder for the Board of Directors to fix a Demand Record Date shall set forth:</w:t>
      </w:r>
    </w:p>
    <w:p>
      <w:pPr>
        <w:spacing w:after="0" w:line="150" w:lineRule="exact"/>
        <w:rPr>
          <w:sz w:val="20"/>
          <w:szCs w:val="20"/>
          <w:color w:val="auto"/>
        </w:rPr>
      </w:pPr>
    </w:p>
    <w:p>
      <w:pPr>
        <w:ind w:right="60" w:firstLine="8"/>
        <w:spacing w:after="0" w:line="219" w:lineRule="auto"/>
        <w:tabs>
          <w:tab w:leader="none" w:pos="63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each Requesting Person (as defined below), the Stockholder Information (as defined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7(c)(i)</w:t>
      </w:r>
      <w:r>
        <w:rPr>
          <w:rFonts w:ascii="Times New Roman" w:cs="Times New Roman" w:eastAsia="Times New Roman" w:hAnsi="Times New Roman"/>
          <w:sz w:val="21"/>
          <w:szCs w:val="21"/>
          <w:color w:val="auto"/>
        </w:rPr>
        <w:t xml:space="preserve">, except that for purposes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the term “Requesting Person” shall be substituted for the term “Proposing Person” in all places it appears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7(c)(i)</w:t>
      </w:r>
      <w:r>
        <w:rPr>
          <w:rFonts w:ascii="Times New Roman" w:cs="Times New Roman" w:eastAsia="Times New Roman" w:hAnsi="Times New Roman"/>
          <w:sz w:val="21"/>
          <w:szCs w:val="21"/>
          <w:color w:val="auto"/>
        </w:rPr>
        <w:t>); further, any Requesting Person who is the stockholder of any shares of the Corporation that constitute part of the Requisite Percentage as of the Demand Record Date, but is not the stockholder of record of such shares, shall provide information to establish their ownership consistent with the requirements set forth in Rule</w:t>
      </w:r>
    </w:p>
    <w:p>
      <w:pPr>
        <w:spacing w:after="0" w:line="2" w:lineRule="exact"/>
        <w:rPr>
          <w:rFonts w:ascii="Times New Roman" w:cs="Times New Roman" w:eastAsia="Times New Roman" w:hAnsi="Times New Roman"/>
          <w:sz w:val="21"/>
          <w:szCs w:val="21"/>
          <w:color w:val="auto"/>
        </w:rPr>
      </w:pPr>
    </w:p>
    <w:p>
      <w:pPr>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14a-8 of the Securities Exchange Act of 1934, as amended, and the rules and regulations thereunder (as so amended and inclusive of such rules and regulations,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136"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Requesting Person, any Disclosable Interests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set forth in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clauses</w:t>
      </w:r>
    </w:p>
    <w:p>
      <w:pPr>
        <w:ind w:right="320"/>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and (I), except that 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term “Requesting Person” shall be substituted for the term “Proposing Person” in all places it appears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clauses (A) and (I) and the disclosure in clause (I)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shall be made with respect to the business proposed to be conducted at the special meeting or the proposed election of directors at the special meeting, as the case may be);</w:t>
      </w:r>
    </w:p>
    <w:p>
      <w:pPr>
        <w:spacing w:after="0" w:line="153" w:lineRule="exact"/>
        <w:rPr>
          <w:rFonts w:ascii="Times New Roman" w:cs="Times New Roman" w:eastAsia="Times New Roman" w:hAnsi="Times New Roman"/>
          <w:sz w:val="22"/>
          <w:szCs w:val="22"/>
          <w:color w:val="auto"/>
        </w:rPr>
      </w:pPr>
    </w:p>
    <w:p>
      <w:pPr>
        <w:ind w:right="20" w:firstLine="8"/>
        <w:spacing w:after="0" w:line="209" w:lineRule="auto"/>
        <w:tabs>
          <w:tab w:leader="none" w:pos="6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item of business that the Requesting Person proposes to bring before the special meeting, (A) a brief description of the business desired to be brought before the special meeting, the reasons for conducting such business at the special meeting and any material interest in such business of each Requesting Person, (B) the text of the proposal or business (including the text of any resolutions proposed for consideration), and (C) a reasonably detailed description of all agreements, arrangements, discussions and understandings (x) between or among any of the Requesting Persons or (y) between or among any Requesting Person and any other record or beneficial holder(s) or persons(s) who have a right to acquire beneficial ownership at any time in the future of the shares of any class or series of the Corporation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disclosures required by this paragraph (iii) shall not include any disclosures with respect to any broker, dealer, commercial bank, trust company or other nominee who is a Requesting Person solely as a result of being the stockholder directed to prepare and submit the notice required by these Bylaws on behalf of a beneficial owner; and</w:t>
      </w:r>
    </w:p>
    <w:p>
      <w:pPr>
        <w:spacing w:after="0" w:line="160" w:lineRule="exact"/>
        <w:rPr>
          <w:rFonts w:ascii="Times New Roman" w:cs="Times New Roman" w:eastAsia="Times New Roman" w:hAnsi="Times New Roman"/>
          <w:sz w:val="22"/>
          <w:szCs w:val="22"/>
          <w:color w:val="auto"/>
        </w:rPr>
      </w:pPr>
    </w:p>
    <w:p>
      <w:pPr>
        <w:ind w:right="940" w:firstLine="8"/>
        <w:spacing w:after="0" w:line="236" w:lineRule="auto"/>
        <w:tabs>
          <w:tab w:leader="none" w:pos="6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directors are proposed to be elected at the special meeting, the Nominee Information for each person whom a Requesting Person expects to nominate for election as a director at the special meeting.</w:t>
      </w:r>
    </w:p>
    <w:p>
      <w:pPr>
        <w:spacing w:after="0" w:line="150"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the term “Requesting Person” (x) shall mean (i) the stockholder making the request to fix a Demand Record Date for the purpose of determining the stockholders entitled to demand that the Secretary call a special meeting, (ii) each member of the Requesting Group, (iii) the beneficial owner or beneficial owners, if different, on whose behalf such request is made, (iv) any affiliate of such stockholder or beneficial owner and (v) any other person with whom such stockholder or beneficial owner (or any of their respective affiliates) is Acting in Concert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 and (y) shall exclude with respect to Section (2)(c)(ii), (iii) and (iv), any stockholder that has provided such demand solely in response to a solicitation made pursuant to, and in accordance with, Section 14(a)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395" w:right="3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Exchange Act by way of a solicitation statement filed on Schedule 14A (a “</w:t>
      </w:r>
      <w:r>
        <w:rPr>
          <w:rFonts w:ascii="Times New Roman" w:cs="Times New Roman" w:eastAsia="Times New Roman" w:hAnsi="Times New Roman"/>
          <w:sz w:val="22"/>
          <w:szCs w:val="22"/>
          <w:u w:val="single" w:color="auto"/>
          <w:color w:val="auto"/>
        </w:rPr>
        <w:t>Solicited Stockholder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8"/>
        <w:spacing w:after="0" w:line="211" w:lineRule="auto"/>
        <w:tabs>
          <w:tab w:leader="none" w:pos="64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ten days after receipt of a request to fix a Demand Record Date in proper form and otherwise in compliance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from any stockholder, the Board of Directors may adopt a resolution fixing a Demand Record Date for the purpose of determining the stockholders entitled to demand that the Secretary of the Corporation call a special meeting, which date shall not precede the date upon which the resolution fixing the Demand Record Date is adopted by the Board of Directors. If no resolution fixing a Demand Record Date has been adopted by the Board of Directors within the ten day period after the date on which such a request to fix a Demand Record Date was received by the Secretary of the Corporation in proper form, the Demand Record Date in respect thereof shall be deemed to be the 20th day after the date on which such a request is received. Notwithstanding anything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to the contrary, no Demand Record Date shall be fixed if the Board of Directors determines that the demand or demands that would otherwise be submitted following such Demand Record Date could not comply with the requirements set forth in clauses (ii), (iv), (v) or (vi)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2(f)</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ind w:right="20" w:firstLine="8"/>
        <w:spacing w:after="0" w:line="218" w:lineRule="auto"/>
        <w:tabs>
          <w:tab w:leader="none" w:pos="64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qualification, a special meeting of the stockholders shall not be called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unless stockholders who hold the Requisite Percentage as of the Demand Record Date timely provide one or more demands to call such special meeting in writing and in proper form to the Secretary of the Corporation at the principal executive offices of the Corporation. To be timely, a stockholder’s demand to call a special meeting must be delivered to, or mailed and received at, the principal executive offices of the Corporation not later than the 60th day following the Demand Record Date. To be in proper form for purposes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 demand to call a special meeting shall set forth (i) the business proposed to be conducted at the special meeting or the proposed election of directors at the special meeting, as the case may be, (ii) the text of the proposal or business (including the text of any resolutions proposed for consideration), if applicable, (iii) with respect to any stockholder or stockholders submitting a demand to call a special meeting the information required to be provided pursuant to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a Requesting Person (which shall exclude with respect to Section (2)(c)(ii), (iii) and (iv), any Solicited Stockholder), and (iv) a representation that each Requesting Stockholder intends to hold their shares of the Corporation that constitute part of the Requisite Percentage as of the Demand Record Date through the date of the special stockholder meeting. A stockholder may revoke a demand to call a special meeting by written revocation delivered to the Secretary at any time prior to the special meeting. If any such revocation(s) are received by the Secretary after the Secretary’s receipt of written demands from the holders of the Requisite Percentage of stockholders, and as a result of such revocation(s), at any time there no longer are unrevoked demands from the Requisite Percentage of stockholders to call a special meeting, the Board of Directors shall have the discretion to determine whether or not to proceed with the special meeting.</w:t>
      </w:r>
    </w:p>
    <w:p>
      <w:pPr>
        <w:spacing w:after="0" w:line="159" w:lineRule="exact"/>
        <w:rPr>
          <w:rFonts w:ascii="Times New Roman" w:cs="Times New Roman" w:eastAsia="Times New Roman" w:hAnsi="Times New Roman"/>
          <w:sz w:val="21"/>
          <w:szCs w:val="21"/>
          <w:color w:val="auto"/>
        </w:rPr>
      </w:pPr>
    </w:p>
    <w:p>
      <w:pPr>
        <w:ind w:right="160" w:firstLine="8"/>
        <w:spacing w:after="0" w:line="222" w:lineRule="auto"/>
        <w:tabs>
          <w:tab w:leader="none" w:pos="64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Secretary shall not accept, and shall consider ineffective, a written demand from a stockholder to call a special meeting (i) that does not comply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(ii) that relates to an item of business to be transacted at such meeting that is not a proper subject for stockholder action under applicable law, (iii) that includes an item of business to be transacted at such meeting that did not appear on the written request that resulted in the determination of the Demand Record Date, (iv) that relates to an item of business that is identical or substantially similar to an item of business (a “</w:t>
      </w:r>
      <w:r>
        <w:rPr>
          <w:rFonts w:ascii="Times New Roman" w:cs="Times New Roman" w:eastAsia="Times New Roman" w:hAnsi="Times New Roman"/>
          <w:sz w:val="21"/>
          <w:szCs w:val="21"/>
          <w:u w:val="single" w:color="auto"/>
          <w:color w:val="auto"/>
        </w:rPr>
        <w:t>Similar Item</w:t>
      </w:r>
      <w:r>
        <w:rPr>
          <w:rFonts w:ascii="Times New Roman" w:cs="Times New Roman" w:eastAsia="Times New Roman" w:hAnsi="Times New Roman"/>
          <w:sz w:val="21"/>
          <w:szCs w:val="21"/>
          <w:color w:val="auto"/>
        </w:rPr>
        <w:t xml:space="preserve">”) for which a record date for notice of a stockholder meeting (other than the Demand Record Date) was previously fixed and such demand is delivered between the time beginning on the 61st day after such previous record date and ending on the one-year anniversary of such previous record date, (v) if the Board of Directors calls an annual or special meeting of stockholders (in lieu of calling the special meeting to which the written demand relates) in accordance with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2(g)</w:t>
      </w:r>
      <w:r>
        <w:rPr>
          <w:rFonts w:ascii="Times New Roman" w:cs="Times New Roman" w:eastAsia="Times New Roman" w:hAnsi="Times New Roman"/>
          <w:sz w:val="21"/>
          <w:szCs w:val="21"/>
          <w:color w:val="auto"/>
        </w:rPr>
        <w:t>, or (vi)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212" w:name="page213"/>
    <w:bookmarkEnd w:id="212"/>
    <w:p>
      <w:pPr>
        <w:spacing w:after="0" w:line="231" w:lineRule="auto"/>
        <w:rPr>
          <w:sz w:val="20"/>
          <w:szCs w:val="20"/>
          <w:color w:val="auto"/>
        </w:rPr>
      </w:pPr>
      <w:r>
        <w:rPr>
          <w:rFonts w:ascii="Times New Roman" w:cs="Times New Roman" w:eastAsia="Times New Roman" w:hAnsi="Times New Roman"/>
          <w:sz w:val="21"/>
          <w:szCs w:val="21"/>
          <w:color w:val="auto"/>
        </w:rPr>
        <w:t>Similar Item has been presented at the most recent annual meeting or at any special meeting held within one year prior to receipt by the Secretary of such demand to call a special meeting; it being understood that with respect to subsections (iv) and (vi), the election of directors at the preceding annual meeting of stockholders shall be deemed not to constitute a Similar Item in respect of a proposal to remove one or more directors or the entire Board of Directors at a stockholder requested special meeting.</w:t>
      </w:r>
    </w:p>
    <w:p>
      <w:pPr>
        <w:spacing w:after="0" w:line="150" w:lineRule="exact"/>
        <w:rPr>
          <w:sz w:val="20"/>
          <w:szCs w:val="20"/>
          <w:color w:val="auto"/>
        </w:rPr>
      </w:pPr>
    </w:p>
    <w:p>
      <w:pPr>
        <w:ind w:right="40" w:firstLine="8"/>
        <w:spacing w:after="0" w:line="211" w:lineRule="auto"/>
        <w:tabs>
          <w:tab w:leader="none" w:pos="64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receipt of demands in proper form and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from a stockholder or stockholders holding the Requisite Percentage, the Board of Directors shall duly call, and determine the place, date and time of, a special meeting of stockholders for the purpose or purposes and to conduct the business specified in the demands received by the Corporation. The record date for notice and voting for such a special meeting shall be fixed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these Bylaws. The Board of Directors shall provide written notice of such special meeting to the stockholders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Notwithstanding anything in these Bylaws to the contrary, the Board of Directors may (i) submit its own proposal or proposals for consideration at such a special meeting or (ii) in lieu of calling the special meeting demanded by a stockholder or stockholders holding the Requisite Percentage, present a Similar Item for stockholder approval at any other meeting of stockholders that is held within 90 days after the date on which the Corporation receives written demands for a special meeting from a stockholder or stockholders holding the Requisite Percentage.</w:t>
      </w:r>
    </w:p>
    <w:p>
      <w:pPr>
        <w:spacing w:after="0" w:line="151" w:lineRule="exact"/>
        <w:rPr>
          <w:rFonts w:ascii="Times New Roman" w:cs="Times New Roman" w:eastAsia="Times New Roman" w:hAnsi="Times New Roman"/>
          <w:sz w:val="22"/>
          <w:szCs w:val="22"/>
          <w:color w:val="auto"/>
        </w:rPr>
      </w:pPr>
    </w:p>
    <w:p>
      <w:pPr>
        <w:ind w:firstLine="8"/>
        <w:spacing w:after="0" w:line="212" w:lineRule="auto"/>
        <w:tabs>
          <w:tab w:leader="none" w:pos="64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special meeting called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stockholder or stockholders (except for any Solicited Stockholder) who requested that the Board of Directors fix a record date for notice and voting for the special meeting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who delivered a demand to call a special meeting to the Secretary shall further update and supplement the information previously provided to the Corporation in connection with such request or demand, if necessary, so that the information provided or required to be provided in such request or demand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be true and correct as of the record date for notice of the special meeting, and such update and supplement shall be delivered to, or mailed and received by, the Secretary at the principal executive offices of the Corporation not later than eight business days after the record date for notice of the special meeting.</w:t>
      </w:r>
    </w:p>
    <w:p>
      <w:pPr>
        <w:spacing w:after="0" w:line="156" w:lineRule="exact"/>
        <w:rPr>
          <w:rFonts w:ascii="Times New Roman" w:cs="Times New Roman" w:eastAsia="Times New Roman" w:hAnsi="Times New Roman"/>
          <w:sz w:val="22"/>
          <w:szCs w:val="22"/>
          <w:color w:val="auto"/>
        </w:rPr>
      </w:pPr>
    </w:p>
    <w:p>
      <w:pPr>
        <w:ind w:firstLine="8"/>
        <w:spacing w:after="0" w:line="211" w:lineRule="auto"/>
        <w:tabs>
          <w:tab w:leader="none" w:pos="6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these Bylaws to the contrary, the Secretary shall not be required to call a special meeting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except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If the Board of Directors shall determine that any request to fix a record date for notice and voting for the special meeting or demand to call and hold a special meeting was not properly made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shall determine that the stockholder or stockholders requesting that the Board of Directors fix such record date or submitting a demand to call the special meeting have not otherwise complied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then the Board of Directors shall not be required to fix such record date or to call and hold the special meeting. In addition to the requirements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each Requesting Person shall comply with all requirements of applicable law, including all requirements of the Exchange Act, with respect to any request to fix a record date for notice and voting for the special meeting or demand to call a special meeting.</w:t>
      </w:r>
    </w:p>
    <w:p>
      <w:pPr>
        <w:spacing w:after="0" w:line="154"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Location of Meetings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meetings of the stockholders for any purpose may be held, within or without the State of Delaware, at such time and place as shall be designated from time to time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213" w:name="page214"/>
    <w:bookmarkEnd w:id="213"/>
    <w:p>
      <w:pPr>
        <w:spacing w:after="0" w:line="21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List of Stockholders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Secretary shall cause to be prepared a complete list of stockholders entitled to vote at any meeting of the stockholders, arranged in alphabetical order and showing the address of each stockholder and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days prior to the meeting, at the election of the Corporation, either: (i) on a reasonably accessible electronic network,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4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u w:val="single" w:color="auto"/>
          <w:color w:val="auto"/>
        </w:rPr>
        <w:t>Voting</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Unless otherwise required by applicable law, the Certificate of Incorporation, these Bylaws, or the rules or regulations of any stock exchange applicable to the Corporation, any question brought before any meeting of the stockholders, other than the election of Directors, shall be decided by the affirmative vote of the holders of a majority of the total number of votes of the Corporation’s capital stock present in person or represented by proxy at the meeting and entitled to vote on the subject matter, voting as a single class. Except as otherwise required by applicable law, by the Certificate of Incorporation, or by these Bylaws, each stockholder entitled to vote shall, at every meeting of the stockholders, be entitled to one vote in person or by proxy (as described below) for each share of voting stock held by him. Such right to vote shall be subject to the right of the Board of Directors to fix a record date for voting stockholders as hereinafter provided. The Board of Directors, in its discretion, or the Officer of the Corporation presiding at a meeting of the stockholders, in such Officer’s discretion, may require that any votes cast at such meeting shall be cast by written ballot. Any action required or permitted to be taken by the stockholders of the Corporation must be effected at a duly called annual or special meeting of stockholders of the Corporation.</w:t>
      </w:r>
    </w:p>
    <w:p>
      <w:pPr>
        <w:spacing w:after="0" w:line="146"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Proxies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stockholder entitled to vote at a meeting of stockholders may authorize another person or persons to act for him or her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Any proxy is suspended when the person executing the proxy is present at a meeting of stockholders and elects to vote, except that when such proxy is coupled with an interest and the fact of the interest appears on the face of the proxy, the agent named in the proxy shall have all voting and other rights referred to in the proxy, notwithstanding the presence of the person executing the proxy.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spacing w:after="0" w:line="16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Without limiting the manner in which a stockholder may authorize another person or persons to act for such stockholder as proxy, the following shall constitute a valid means by which a stockholder may grant such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214" w:name="page215"/>
    <w:bookmarkEnd w:id="214"/>
    <w:p>
      <w:pPr>
        <w:ind w:right="80" w:firstLine="8"/>
        <w:spacing w:after="0" w:line="220" w:lineRule="auto"/>
        <w:tabs>
          <w:tab w:leader="none" w:pos="64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52" w:lineRule="exact"/>
        <w:rPr>
          <w:rFonts w:ascii="Times New Roman" w:cs="Times New Roman" w:eastAsia="Times New Roman" w:hAnsi="Times New Roman"/>
          <w:sz w:val="22"/>
          <w:szCs w:val="22"/>
          <w:color w:val="auto"/>
        </w:rPr>
      </w:pPr>
    </w:p>
    <w:p>
      <w:pPr>
        <w:ind w:firstLine="8"/>
        <w:spacing w:after="0" w:line="212" w:lineRule="auto"/>
        <w:tabs>
          <w:tab w:leader="none" w:pos="64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stockholder may authorize another person or persons to act for such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telegram, cablegram or other means of electronic transmission must either set forth or be submitted with information from which it can be determined that the telegram, cablegram or other electronic transmission was authorized by the stockholder. If it is determined that such telegrams, cablegrams or other electronic transmissions are valid, the inspectors or, if there are no inspectors, such other persons making that determination shall specify the information, on which they relied.</w:t>
      </w:r>
    </w:p>
    <w:p>
      <w:pPr>
        <w:spacing w:after="0" w:line="156"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21"/>
          <w:szCs w:val="21"/>
          <w:color w:val="auto"/>
        </w:rPr>
        <w:t xml:space="preserve">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copy, facsimile telecommunication or other reproduction shall be a complete reproduction of the entire original writing or transmission.</w:t>
      </w:r>
    </w:p>
    <w:p>
      <w:pPr>
        <w:spacing w:after="0" w:line="150"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the exclusive use by the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u w:val="single" w:color="auto"/>
          <w:color w:val="auto"/>
        </w:rPr>
        <w:t>Nature of Business at Annual Meetings of Stockholders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firstLine="8"/>
        <w:spacing w:after="0" w:line="208" w:lineRule="auto"/>
        <w:tabs>
          <w:tab w:leader="none" w:pos="64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 annual meeting of the stockholders, only such business shall be conducted as shall have been properly brought before the meeting. To be properly brought before an annual meeting, business must be (i) brought before the meeting by the Board of Directors and specified in a notice of meeting given by or at the direction of the Board of Directors or (ii) otherwise properly brought before the meeting by a stockholder present in person who (A) (1) was a beneficial owner of shares of the Corporation both at the time of giving the notice provided for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and at the time of the meeting, (2) is entitled to vote at the meeting, and (3) has complied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in all applicable respects, (B) properly made such proposal in accordance with Rule 14a-8 under the Exchange Act or (C) by any Eligible Stockholder (as defined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in accordance with the procedures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The foregoing clause (ii) shall be the exclusive means for a stockholder to propose business to be brought before an annual meeting of the stockholders. The only matters that may be brought before a special meeting are the matters specified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“present in person” shall mean that the stockholder proposing that the business be brought before the annual meeting of the Corporation, or, if the proposing stockholder is not an individual, a qualified representative of such proposing stockholder, appear at such annual meeting. A “qualified representative” of such proposing stockholder shall be, if such proposing stockholder is (i) a general or limited partnership, any general partner or person who functions as a general partner of the general or limited partnership or who controls the general or limited partnership, (ii) a trust, any trustee of the trust, or (iii) a corporation, limited liability company or other entity, any officer or person who functions as an officer of the corporation, limited liability company or other entity or any officer, director, general partner or person who functions as an officer, director or general partner of any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395" w:right="379" w:bottom="1440" w:gutter="0" w:footer="0" w:header="0"/>
        </w:sectPr>
      </w:pPr>
    </w:p>
    <w:bookmarkStart w:id="215" w:name="page216"/>
    <w:bookmarkEnd w:id="215"/>
    <w:p>
      <w:pPr>
        <w:jc w:val="both"/>
        <w:ind w:right="160"/>
        <w:spacing w:after="0" w:line="236" w:lineRule="auto"/>
        <w:rPr>
          <w:sz w:val="20"/>
          <w:szCs w:val="20"/>
          <w:color w:val="auto"/>
        </w:rPr>
      </w:pPr>
      <w:r>
        <w:rPr>
          <w:rFonts w:ascii="Times New Roman" w:cs="Times New Roman" w:eastAsia="Times New Roman" w:hAnsi="Times New Roman"/>
          <w:sz w:val="21"/>
          <w:szCs w:val="21"/>
          <w:color w:val="auto"/>
        </w:rPr>
        <w:t xml:space="preserve">ultimately in control of the corporation, limited liability company or other entity. Stockholders seeking to nominate persons for election to the Board of Directors must comply with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and 7 or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as applicable, and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not be applicable to nominations except as expressly provided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and 7.</w:t>
      </w:r>
    </w:p>
    <w:p>
      <w:pPr>
        <w:spacing w:after="0" w:line="152" w:lineRule="exact"/>
        <w:rPr>
          <w:sz w:val="20"/>
          <w:szCs w:val="20"/>
          <w:color w:val="auto"/>
        </w:rPr>
      </w:pPr>
    </w:p>
    <w:p>
      <w:pPr>
        <w:ind w:firstLine="8"/>
        <w:spacing w:after="0" w:line="210" w:lineRule="auto"/>
        <w:tabs>
          <w:tab w:leader="none" w:pos="64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any other applicable requirements, for business to be properly brought before an annual meeting by a stockholder, the stockholder must (i) (x) provide Timely Notice (as defined below) thereof in writing and in proper form to the Secretary of the Corporation and (y) provide any updates or supplements to such notice at the times and in the forms required by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(ii) comply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To be timely, a stockholder’s notice must be delivered to, or mailed and received at, the principal executive offices of the Corporation not less than 90 days nor more than 120 days prior to the one-year anniversary of the preceding year’s annual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date of the annual meeting is more than 30 days before or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(such notice within such time periods, “</w:t>
      </w:r>
      <w:r>
        <w:rPr>
          <w:rFonts w:ascii="Times New Roman" w:cs="Times New Roman" w:eastAsia="Times New Roman" w:hAnsi="Times New Roman"/>
          <w:sz w:val="22"/>
          <w:szCs w:val="22"/>
          <w:u w:val="single" w:color="auto"/>
          <w:color w:val="auto"/>
        </w:rPr>
        <w:t>Timely Notice</w:t>
      </w:r>
      <w:r>
        <w:rPr>
          <w:rFonts w:ascii="Times New Roman" w:cs="Times New Roman" w:eastAsia="Times New Roman" w:hAnsi="Times New Roman"/>
          <w:sz w:val="22"/>
          <w:szCs w:val="22"/>
          <w:color w:val="auto"/>
        </w:rPr>
        <w:t>”). In no event shall any adjournment or postponement of an annual meeting or the announcement thereof commence a new time period for the giving of Timely Notice as described above.</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in proper form 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 stockholder’s notice to the Secretary shall set forth:</w:t>
      </w:r>
    </w:p>
    <w:p>
      <w:pPr>
        <w:spacing w:after="0" w:line="179" w:lineRule="exact"/>
        <w:rPr>
          <w:sz w:val="20"/>
          <w:szCs w:val="20"/>
          <w:color w:val="auto"/>
        </w:rPr>
      </w:pPr>
    </w:p>
    <w:p>
      <w:pPr>
        <w:ind w:right="60" w:firstLine="8"/>
        <w:spacing w:after="0" w:line="213" w:lineRule="auto"/>
        <w:tabs>
          <w:tab w:leader="none" w:pos="6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Persons,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22"/>
          <w:szCs w:val="22"/>
          <w:u w:val="single" w:color="auto"/>
          <w:color w:val="auto"/>
        </w:rPr>
        <w:t>Stockholder Information</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firstLine="8"/>
        <w:spacing w:after="0" w:line="218" w:lineRule="auto"/>
        <w:tabs>
          <w:tab w:leader="none" w:pos="64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21"/>
          <w:szCs w:val="21"/>
          <w:u w:val="single" w:color="auto"/>
          <w:color w:val="auto"/>
        </w:rPr>
        <w:t>Synthetic Equity Position</w:t>
      </w:r>
      <w:r>
        <w:rPr>
          <w:rFonts w:ascii="Times New Roman" w:cs="Times New Roman" w:eastAsia="Times New Roman" w:hAnsi="Times New Roman"/>
          <w:sz w:val="21"/>
          <w:szCs w:val="21"/>
          <w:color w:val="auto"/>
        </w:rPr>
        <w:t xml:space="preserve">”) and that is, directly or indirectly, held or maintained by such Proposing Person with respect to any shares of any class or series of shares of the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395" w:right="359" w:bottom="1440" w:gutter="0" w:footer="0" w:header="0"/>
        </w:sectPr>
      </w:pPr>
    </w:p>
    <w:bookmarkStart w:id="216" w:name="page217"/>
    <w:bookmarkEnd w:id="216"/>
    <w:p>
      <w:pPr>
        <w:spacing w:after="0" w:line="216" w:lineRule="auto"/>
        <w:rPr>
          <w:sz w:val="20"/>
          <w:szCs w:val="20"/>
          <w:color w:val="auto"/>
        </w:rPr>
      </w:pPr>
      <w:r>
        <w:rPr>
          <w:rFonts w:ascii="Times New Roman" w:cs="Times New Roman" w:eastAsia="Times New Roman" w:hAnsi="Times New Roman"/>
          <w:sz w:val="21"/>
          <w:szCs w:val="21"/>
          <w:color w:val="auto"/>
        </w:rPr>
        <w:t>of the Corporation, (C)(x) if such Proposing Person is (i) a general or limited partnership, syndicate or other group, the identity of each general partner and each person who functions as a general partner of the general or limited partnership, each member of the syndicate or group and each person controlling the general partner or member, a trust, any trustee of the trust, or (iii) a corporation, limited liability company or other entity, the identity of each officer and each person who functions as an officer of the corporation, limited liability company or other entity, each person controlling the corporation, limited liability company or other entity, and each officer, director, general partner and person who functions as an officer, director or general partner of any entity ultimately in control of the corporation, limited liability company or other entity (each such person or persons set forth in the preceding clauses (i), (ii) and (iii), a “</w:t>
      </w:r>
      <w:r>
        <w:rPr>
          <w:rFonts w:ascii="Times New Roman" w:cs="Times New Roman" w:eastAsia="Times New Roman" w:hAnsi="Times New Roman"/>
          <w:sz w:val="21"/>
          <w:szCs w:val="21"/>
          <w:u w:val="single" w:color="auto"/>
          <w:color w:val="auto"/>
        </w:rPr>
        <w:t>Responsible Person</w:t>
      </w:r>
      <w:r>
        <w:rPr>
          <w:rFonts w:ascii="Times New Roman" w:cs="Times New Roman" w:eastAsia="Times New Roman" w:hAnsi="Times New Roman"/>
          <w:sz w:val="21"/>
          <w:szCs w:val="21"/>
          <w:color w:val="auto"/>
        </w:rPr>
        <w:t>”), any fiduciary duties owed by such Responsible Person to the equity holders or other beneficiaries of such Proposing Person and any material interests or relationships of such Responsible Person that are not shared generally by other record or beneficial holders of the shares of any class or series of the Corporation and that reasonably could have influenced the decision of such Proposing Person to propose such business to be brought before the meeting, and (y) if such Proposing Person is a natural person, any material interests or relationships of such natural person that are not shared generally by other record or beneficial holders of the shares of any class or series of the Corporation and that reasonably could have influenced the decision of such Proposing Person to propose such business to be brought before the meeting, (D) any material shares or any Synthetic Equity Position in any principal competitor of the Corporation held by such Proposing Persons, (E) a summary of any material discussions regarding the business proposed to be brought before the meeting</w:t>
      </w:r>
    </w:p>
    <w:p>
      <w:pPr>
        <w:spacing w:after="0" w:line="3" w:lineRule="exact"/>
        <w:rPr>
          <w:sz w:val="20"/>
          <w:szCs w:val="20"/>
          <w:color w:val="auto"/>
        </w:rPr>
      </w:pPr>
    </w:p>
    <w:p>
      <w:pPr>
        <w:ind w:firstLine="8"/>
        <w:spacing w:after="0" w:line="214" w:lineRule="auto"/>
        <w:tabs>
          <w:tab w:leader="none" w:pos="30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or among any of the Proposing Persons or (2) between or among any Proposing Person and any other record or beneficial holder of the shares of any class or series of the Corporation (including their names), (F) any material pending or threatened legal proceeding in which such Proposing Person is a party or material participant involving the Corporation or any of its Officers or Directors, or any affiliate of the Corporation, (G) any other material relationship between such Proposing Person, on the one hand, and the Corporation, any affiliate of the Corporation or any principal competitor of the Corporation, on the other hand, (H) any direct or indirect material interest in any material contract or agreement of such Proposing Person with the Corporation, any affiliate of the Corporation or any principal competitor of the Corporation (including, in any such case, any employment agreement, collective bargaining agreement or consulting agreement) and (I)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w:t>
      </w:r>
    </w:p>
    <w:p>
      <w:pPr>
        <w:spacing w:after="0" w:line="7" w:lineRule="exact"/>
        <w:rPr>
          <w:rFonts w:ascii="Times New Roman" w:cs="Times New Roman" w:eastAsia="Times New Roman" w:hAnsi="Times New Roman"/>
          <w:sz w:val="21"/>
          <w:szCs w:val="21"/>
          <w:color w:val="auto"/>
        </w:rPr>
      </w:pPr>
    </w:p>
    <w:p>
      <w:pPr>
        <w:ind w:right="40"/>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are referred to as “</w:t>
      </w:r>
      <w:r>
        <w:rPr>
          <w:rFonts w:ascii="Times New Roman" w:cs="Times New Roman" w:eastAsia="Times New Roman" w:hAnsi="Times New Roman"/>
          <w:sz w:val="22"/>
          <w:szCs w:val="22"/>
          <w:u w:val="single" w:color="auto"/>
          <w:color w:val="auto"/>
        </w:rPr>
        <w:t>Disclosable Interests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54" w:lineRule="exact"/>
        <w:rPr>
          <w:sz w:val="20"/>
          <w:szCs w:val="20"/>
          <w:color w:val="auto"/>
        </w:rPr>
      </w:pPr>
    </w:p>
    <w:p>
      <w:pPr>
        <w:ind w:firstLine="8"/>
        <w:spacing w:after="0" w:line="220" w:lineRule="auto"/>
        <w:tabs>
          <w:tab w:leader="none" w:pos="64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(C) a reasonably detailed description of all agreements, arrangements and understandings</w:t>
      </w:r>
    </w:p>
    <w:p>
      <w:pPr>
        <w:spacing w:after="0" w:line="2" w:lineRule="exact"/>
        <w:rPr>
          <w:rFonts w:ascii="Times New Roman" w:cs="Times New Roman" w:eastAsia="Times New Roman" w:hAnsi="Times New Roman"/>
          <w:sz w:val="21"/>
          <w:szCs w:val="21"/>
          <w:color w:val="auto"/>
        </w:rPr>
      </w:pPr>
    </w:p>
    <w:p>
      <w:pPr>
        <w:ind w:right="160" w:firstLine="8"/>
        <w:spacing w:after="0" w:line="223" w:lineRule="auto"/>
        <w:tabs>
          <w:tab w:leader="none" w:pos="30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disclosures required by this paragraph (iii)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395" w:right="359" w:bottom="1440" w:gutter="0" w:footer="0" w:header="0"/>
        </w:sectPr>
      </w:pPr>
    </w:p>
    <w:bookmarkStart w:id="217" w:name="page218"/>
    <w:bookmarkEnd w:id="217"/>
    <w:p>
      <w:pPr>
        <w:ind w:right="260"/>
        <w:spacing w:after="0" w:line="225" w:lineRule="auto"/>
        <w:rPr>
          <w:sz w:val="20"/>
          <w:szCs w:val="20"/>
          <w:color w:val="auto"/>
        </w:rPr>
      </w:pPr>
      <w:r>
        <w:rPr>
          <w:rFonts w:ascii="Times New Roman" w:cs="Times New Roman" w:eastAsia="Times New Roman" w:hAnsi="Times New Roman"/>
          <w:sz w:val="22"/>
          <w:szCs w:val="22"/>
          <w:color w:val="auto"/>
        </w:rPr>
        <w:t>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53"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Proposing Person</w:t>
      </w:r>
      <w:r>
        <w:rPr>
          <w:rFonts w:ascii="Times New Roman" w:cs="Times New Roman" w:eastAsia="Times New Roman" w:hAnsi="Times New Roman"/>
          <w:sz w:val="22"/>
          <w:szCs w:val="22"/>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(iii) any participant (as defined in paragraphs (a)(ii)-(vi) of Instruction 3 to Item 4 of Schedule 14A) with such stockholder in such solicitation or associate (each within the meaning of Rule 12b-2 under the Exchange Act for purposes of these Bylaws) of such stockholder or beneficial owner and (iv) any other person with whom such stockholder or such beneficial owner (or any of their respective associates or other participants in such solicitation) is Acting in Concert (as defined below).</w:t>
      </w:r>
    </w:p>
    <w:p>
      <w:pPr>
        <w:spacing w:after="0" w:line="156" w:lineRule="exact"/>
        <w:rPr>
          <w:sz w:val="20"/>
          <w:szCs w:val="20"/>
          <w:color w:val="auto"/>
        </w:rPr>
      </w:pPr>
    </w:p>
    <w:p>
      <w:pPr>
        <w:ind w:right="60"/>
        <w:spacing w:after="0" w:line="209" w:lineRule="auto"/>
        <w:rPr>
          <w:sz w:val="20"/>
          <w:szCs w:val="20"/>
          <w:color w:val="auto"/>
        </w:rPr>
      </w:pPr>
      <w:r>
        <w:rPr>
          <w:rFonts w:ascii="Times New Roman" w:cs="Times New Roman" w:eastAsia="Times New Roman" w:hAnsi="Times New Roman"/>
          <w:sz w:val="22"/>
          <w:szCs w:val="22"/>
          <w:color w:val="auto"/>
        </w:rPr>
        <w:t>A person shall be deemed to be “</w:t>
      </w:r>
      <w:r>
        <w:rPr>
          <w:rFonts w:ascii="Times New Roman" w:cs="Times New Roman" w:eastAsia="Times New Roman" w:hAnsi="Times New Roman"/>
          <w:sz w:val="22"/>
          <w:szCs w:val="22"/>
          <w:u w:val="single" w:color="auto"/>
          <w:color w:val="auto"/>
        </w:rPr>
        <w:t>Acting in Concert</w:t>
      </w:r>
      <w:r>
        <w:rPr>
          <w:rFonts w:ascii="Times New Roman" w:cs="Times New Roman" w:eastAsia="Times New Roman" w:hAnsi="Times New Roman"/>
          <w:sz w:val="22"/>
          <w:szCs w:val="22"/>
          <w:color w:val="auto"/>
        </w:rPr>
        <w:t xml:space="preserve">” with another person for purposes of these Bylaws if such person knowingly acts (whether or not pursuant to an express agreement, arrangement or understanding) in concert or in parallel with, or towards a common goal with such other person, relating to changing or influencing the control of the Corporation or in connection with or as a participant in any transaction having that purpose or effect, where (A) each person is conscious of the other person’s conduct and this awareness is an element in their decision-making processes and (B)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person shall not be deemed to be Acting in Concert with any other person solely as a result of the solicitation or receipt of (1) revocable proxies or consents from such other person in response to a solicitation made pursuant to, and in accordance with, Section 14(a) of the Exchange Act by way of a proxy or consent solicitation statement filed on Schedule 14A or (2) tenders of securities from such other person in a public tender or exchange offer made pursuant to, and in accordance with, Section 14(d) of the Exchange Act by means of a tender offer statement filed on Schedule TO. A person Acting in Concert with another person shall be deemed to be Acting in Concert with any third party who is also Acting in Concert with such other person.</w:t>
      </w:r>
    </w:p>
    <w:p>
      <w:pPr>
        <w:spacing w:after="0" w:line="156" w:lineRule="exact"/>
        <w:rPr>
          <w:sz w:val="20"/>
          <w:szCs w:val="20"/>
          <w:color w:val="auto"/>
        </w:rPr>
      </w:pPr>
    </w:p>
    <w:p>
      <w:pPr>
        <w:ind w:right="40" w:firstLine="8"/>
        <w:spacing w:after="0" w:line="211" w:lineRule="auto"/>
        <w:tabs>
          <w:tab w:leader="none" w:pos="64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w:t>
      </w:r>
    </w:p>
    <w:p>
      <w:pPr>
        <w:spacing w:after="0" w:line="151" w:lineRule="exact"/>
        <w:rPr>
          <w:rFonts w:ascii="Times New Roman" w:cs="Times New Roman" w:eastAsia="Times New Roman" w:hAnsi="Times New Roman"/>
          <w:sz w:val="22"/>
          <w:szCs w:val="22"/>
          <w:color w:val="auto"/>
        </w:rPr>
      </w:pPr>
    </w:p>
    <w:p>
      <w:pPr>
        <w:ind w:firstLine="8"/>
        <w:spacing w:after="0" w:line="220" w:lineRule="auto"/>
        <w:tabs>
          <w:tab w:leader="none" w:pos="64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these Bylaws to the contrary, no business shall be conducted at an annual meeting except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If the chairman of the meeting determines that the business was not properly brought before the meeting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7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he or she shall so declare to the meeting and any such business shall not be considered or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218" w:name="page219"/>
    <w:bookmarkEnd w:id="218"/>
    <w:p>
      <w:pPr>
        <w:ind w:right="20" w:firstLine="8"/>
        <w:spacing w:after="0" w:line="212" w:lineRule="auto"/>
        <w:tabs>
          <w:tab w:leader="none" w:pos="64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is expressly intended to apply to any business proposed to be brought before an annual meeting of stockholders other than any proposal made pursuant to Rule 14a-8 under the Exchange Act and any Proxy Access Notice (as defined below) submitted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In addition to the requirements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be deemed to affect the rights of stockholders to request inclusion of proposals in the Corporation’s proxy statement pursuant to Rule 14a-8 under the Exchange Act or the ability of any Eligible Stockholder (as defined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to request inclusion of a Nominee in the Corporation’s proxy statement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right="300" w:firstLine="8"/>
        <w:spacing w:after="0" w:line="225" w:lineRule="auto"/>
        <w:tabs>
          <w:tab w:leader="none" w:pos="64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w:t>
      </w:r>
      <w:r>
        <w:rPr>
          <w:rFonts w:ascii="Times New Roman" w:cs="Times New Roman" w:eastAsia="Times New Roman" w:hAnsi="Times New Roman"/>
          <w:sz w:val="22"/>
          <w:szCs w:val="22"/>
          <w:u w:val="single" w:color="auto"/>
          <w:color w:val="auto"/>
        </w:rPr>
        <w:t>public disclosure</w:t>
      </w:r>
      <w:r>
        <w:rPr>
          <w:rFonts w:ascii="Times New Roman" w:cs="Times New Roman" w:eastAsia="Times New Roman" w:hAnsi="Times New Roman"/>
          <w:sz w:val="22"/>
          <w:szCs w:val="22"/>
          <w:color w:val="auto"/>
        </w:rPr>
        <w:t>” shall mean disclosure in a press release reported by a national news service or in a document publicly filed by the Corporation with the Securities and Exchange Commission (the “Commission”) pursuant to Sections 13, 14 or 15(d) of the Exchange Act.</w:t>
      </w:r>
    </w:p>
    <w:p>
      <w:pPr>
        <w:spacing w:after="0" w:line="148"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i w:val="1"/>
          <w:iCs w:val="1"/>
          <w:u w:val="single" w:color="auto"/>
          <w:color w:val="auto"/>
        </w:rPr>
        <w:t>Notice to Stockholders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Whenever stockholders are required or permitted to take any action at a meeting, a written notice of the meeting shall be given, which shall state the place, if any, date and hour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required by law, written notice of any meeting shall be given not less than ten nor more than 60 days before the date of the meeting to each stockholder entitled to notice of and to vote at such meeting.</w:t>
      </w:r>
    </w:p>
    <w:p>
      <w:pPr>
        <w:spacing w:after="0" w:line="150"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i w:val="1"/>
          <w:iCs w:val="1"/>
          <w:u w:val="single" w:color="auto"/>
          <w:color w:val="auto"/>
        </w:rPr>
        <w:t>Quorum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Unless otherwise required by applicable law or the Certificate of Incorporation, the holders of a majority in voting power of the Corporation’s capital stock issued and outstanding and entitled to vote at a meeting of stockholders,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chairman of the meeting or the stockholders entitled to vote at the meeting, present in person or represented by proxy, shall have the power to adjourn the meeting from time to time without further notice until a quorum shall be present or represented.</w:t>
      </w:r>
    </w:p>
    <w:p>
      <w:pPr>
        <w:spacing w:after="0" w:line="14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u w:val="single" w:color="auto"/>
          <w:color w:val="auto"/>
        </w:rPr>
        <w:t>Adjournment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chairman of the meeting may adjourn any meeting of the stockholders from time to time to reconvene at the same or some other place. Notice need not be given of any adjourned meeting if the time and place, if any, thereof and the means of remote communications, if any, by which stockholders and proxyholders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or if after the adjournment a new record date is fixed for the adjourned meeting, notice of the adjourned meeting in accordance with the requirements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be given to each stockholder of record entitled to notice of and to vote at the meeting.</w:t>
      </w:r>
    </w:p>
    <w:p>
      <w:pPr>
        <w:spacing w:after="0" w:line="14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u w:val="single" w:color="auto"/>
          <w:color w:val="auto"/>
        </w:rPr>
        <w:t>Record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order that the Corporation may determine the stockholders entitled to notice of or to vote at any meeting of the stockholders or any adjournment thereof, the Board of Directors may fix a record date, which record date shall not precede the date upon which the resolution fixing the record date is adopted by the Board of Directors, and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395" w:right="379" w:bottom="1440" w:gutter="0" w:footer="0" w:header="0"/>
        </w:sectPr>
      </w:pPr>
    </w:p>
    <w:bookmarkStart w:id="219" w:name="page220"/>
    <w:bookmarkEnd w:id="219"/>
    <w:p>
      <w:pPr>
        <w:ind w:right="100"/>
        <w:spacing w:after="0" w:line="215" w:lineRule="auto"/>
        <w:rPr>
          <w:sz w:val="20"/>
          <w:szCs w:val="20"/>
          <w:color w:val="auto"/>
        </w:rPr>
      </w:pPr>
      <w:r>
        <w:rPr>
          <w:rFonts w:ascii="Times New Roman" w:cs="Times New Roman" w:eastAsia="Times New Roman" w:hAnsi="Times New Roman"/>
          <w:sz w:val="22"/>
          <w:szCs w:val="22"/>
          <w:color w:val="auto"/>
        </w:rPr>
        <w:t xml:space="preserve">record date shall not be more than 60 nor less than ten days before the date of such meeting. If no record date is fixed by the Board of Directors,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Board of Directors may fix a new record date for the adjourned meeting.</w:t>
      </w:r>
    </w:p>
    <w:p>
      <w:pPr>
        <w:spacing w:after="0" w:line="148"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i w:val="1"/>
          <w:iCs w:val="1"/>
          <w:u w:val="single" w:color="auto"/>
          <w:color w:val="auto"/>
        </w:rPr>
        <w:t>Stock Ledger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stock ledger of the Corporation shall be the only evidence as to who are the stockholders entitled to examine the stock ledger, the list required by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the books of the Corporation, or to vote in person or by proxy at any meeting of the stockholders. For these purposes, the stock ledger shall include the Foreign Stock Record described in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of these Bylaws and all the provisions of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governing the maintenance and use of the Foreign Stock Record.</w:t>
      </w:r>
    </w:p>
    <w:p>
      <w:pPr>
        <w:spacing w:after="0" w:line="147"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i w:val="1"/>
          <w:iCs w:val="1"/>
          <w:u w:val="single" w:color="auto"/>
          <w:color w:val="auto"/>
        </w:rPr>
        <w:t>Conduct of Meetings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Board of Directors may adopt by resolution such rules and regulations for the conduct of any meeting of the stockholders as it shall deem appropriate.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(d) limitations on attendance at or participation in the meeting to stockholders of record of the Corporation, their duly authorized and constituted proxies or such other persons as the chairman of the meeting shall determine; (e) restrictions on entry to the meeting after the time fixed for the commencement thereof; and (f) limitations on the time allotted to questions or comments by participants.</w:t>
      </w:r>
    </w:p>
    <w:p>
      <w:pPr>
        <w:spacing w:after="0" w:line="146"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i w:val="1"/>
          <w:iCs w:val="1"/>
          <w:u w:val="single" w:color="auto"/>
          <w:color w:val="auto"/>
        </w:rPr>
        <w:t>Inspectors of Meeting</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In advance of any meeting of the stockholders, the Board of Directors, by resolution, the Chairman of the Board or the Chief Executive Officer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chairman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Directors</w:t>
      </w:r>
    </w:p>
    <w:p>
      <w:pPr>
        <w:spacing w:after="0" w:line="15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Number of Directors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Board of Directors shall consist of not less than one nor more than 15 members, the exact number of which shall be fixed from time to time by resolution adopted by the affirmative vote of a majority of the Board of Directors then in office, except as otherwise set forth in the Certificate of Incorporation or these Bylaws. Directors need not be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Nomination of Directors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80" w:firstLine="8"/>
        <w:spacing w:after="0" w:line="218" w:lineRule="auto"/>
        <w:tabs>
          <w:tab w:leader="none" w:pos="64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(ii) by a stockholder present in person (A) who was a beneficial owner of shares of the Corporation both at the time of giving the notice provided for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at the time of the meeting, (B) is entitled to vote at the meeting, and (C) has complied with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2 and 7</w:t>
      </w:r>
      <w:r>
        <w:rPr>
          <w:rFonts w:ascii="Times New Roman" w:cs="Times New Roman" w:eastAsia="Times New Roman" w:hAnsi="Times New Roman"/>
          <w:sz w:val="21"/>
          <w:szCs w:val="21"/>
          <w:color w:val="auto"/>
        </w:rPr>
        <w:t xml:space="preserve"> as to such notice and nomination or (iii) by any Eligible Stockholder (as defined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in accordance with the procedures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present in person</w:t>
      </w:r>
      <w:r>
        <w:rPr>
          <w:rFonts w:ascii="Times New Roman" w:cs="Times New Roman" w:eastAsia="Times New Roman" w:hAnsi="Times New Roman"/>
          <w:sz w:val="21"/>
          <w:szCs w:val="21"/>
          <w:color w:val="auto"/>
        </w:rPr>
        <w:t>” shall mean that the stockholder proposing that the business be brought before the meeting of the Corporation, or, if the proposing stockholder is not an individual, a qualified representative of such proposing stockholder, appear at such meeting. A “qualified representative” of such proposing stockholder shall be, if such proposing stockholder is (i) a general or limited partnership, any general partner or person who functions as a general partner of the general or limited partnership or who controls the general or limited partnership, (ii) a trust, any trustee of the trust or (iii) a corporation, limited liability company or other entity, any officer or person who functions as an officer of the corporation, limited liability company or other entity or any officer, director, general partner or person who functions as an officer, director or general partner of any entity ultimately in control of the corporation, limited liability company or other entity. The foregoing clauses (ii) and (iii) shall be the exclusive means for a stockholder to make any nomination of a person or persons for election to the Board of Directors at an annual meeting or special meeting.</w:t>
      </w:r>
    </w:p>
    <w:p>
      <w:pPr>
        <w:spacing w:after="0" w:line="159" w:lineRule="exact"/>
        <w:rPr>
          <w:rFonts w:ascii="Times New Roman" w:cs="Times New Roman" w:eastAsia="Times New Roman" w:hAnsi="Times New Roman"/>
          <w:sz w:val="21"/>
          <w:szCs w:val="21"/>
          <w:color w:val="auto"/>
        </w:rPr>
      </w:pPr>
    </w:p>
    <w:p>
      <w:pPr>
        <w:ind w:right="60" w:firstLine="8"/>
        <w:spacing w:after="0" w:line="211" w:lineRule="auto"/>
        <w:tabs>
          <w:tab w:leader="none" w:pos="64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 addition to any other applicable requirements, for a stockholder to make any nomination of a person or persons for election to the Board of Directors at an annual meeting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stockholder must (A) provide notice thereof in writing and in proper form to the Secretary of the Corporation delivered to, or mailed and received at, the principal executive offices of the Corporation not less than 90 days nor more than 120 days prior to the one-year anniversary of the preceding year’s annual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date of the annual meeting is more than 30 days before or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(B) provide the information, agreements and questionnaires with respect to such stockholder and its candidate for nomination as required to be set forth by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 and (C) provide any updates or supplements to such notice at the times and in the forms required by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firstLine="8"/>
        <w:spacing w:after="0" w:line="211" w:lineRule="auto"/>
        <w:tabs>
          <w:tab w:leader="none" w:pos="47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such special meeting, the stockholder must (A) provide timely notice thereof in writing and in proper form to the Secretary of the Corporation at the principal executive offices of the Corporation, (B) provide the information with respect to such stockholder and its candidate for nomination as required by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 and (C) provide any updates or supplements to such notice at the times and in the forms required by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To be timely, a stockholder’s notice for nominations to be made at a special meeting must be delivered to, or mailed and received at, the principal executive offices of the Corporation not earlier than the 120th day prior to such special meeting and not later than the 90th day prior to such special meeting or, if later, the tenth day following the day on which public disclosure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of the date of such special meeting was first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221" w:name="page222"/>
    <w:bookmarkEnd w:id="221"/>
    <w:p>
      <w:pPr>
        <w:ind w:right="160" w:firstLine="8"/>
        <w:spacing w:after="0" w:line="236" w:lineRule="auto"/>
        <w:tabs>
          <w:tab w:leader="none" w:pos="5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adjournment or postponement of an annual meeting or special meeting or the announcement thereof commence a new time period for the giving of a stockholder’s notice as described above.</w:t>
      </w:r>
    </w:p>
    <w:p>
      <w:pPr>
        <w:spacing w:after="0" w:line="150"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in proper form 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 stockholder’s notice to the Secretary shall set forth:</w:t>
      </w:r>
    </w:p>
    <w:p>
      <w:pPr>
        <w:spacing w:after="0" w:line="179" w:lineRule="exact"/>
        <w:rPr>
          <w:sz w:val="20"/>
          <w:szCs w:val="20"/>
          <w:color w:val="auto"/>
        </w:rPr>
      </w:pPr>
    </w:p>
    <w:p>
      <w:pPr>
        <w:jc w:val="both"/>
        <w:ind w:right="180" w:firstLine="8"/>
        <w:spacing w:after="0" w:line="225" w:lineRule="auto"/>
        <w:tabs>
          <w:tab w:leader="none" w:pos="6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Nominating Person (as defined below), the Stockholder Information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w:t>
      </w:r>
      <w:r>
        <w:rPr>
          <w:rFonts w:ascii="Times New Roman" w:cs="Times New Roman" w:eastAsia="Times New Roman" w:hAnsi="Times New Roman"/>
          <w:sz w:val="22"/>
          <w:szCs w:val="22"/>
          <w:color w:val="auto"/>
        </w:rPr>
        <w:t xml:space="preserve">, except that 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u w:val="single" w:color="auto"/>
          <w:color w:val="auto"/>
        </w:rPr>
        <w:t>Nominating Person</w:t>
      </w:r>
      <w:r>
        <w:rPr>
          <w:rFonts w:ascii="Times New Roman" w:cs="Times New Roman" w:eastAsia="Times New Roman" w:hAnsi="Times New Roman"/>
          <w:sz w:val="22"/>
          <w:szCs w:val="22"/>
          <w:color w:val="auto"/>
        </w:rPr>
        <w:t>” shall be substituted for the term “</w:t>
      </w:r>
      <w:r>
        <w:rPr>
          <w:rFonts w:ascii="Times New Roman" w:cs="Times New Roman" w:eastAsia="Times New Roman" w:hAnsi="Times New Roman"/>
          <w:sz w:val="22"/>
          <w:szCs w:val="22"/>
          <w:u w:val="single" w:color="auto"/>
          <w:color w:val="auto"/>
        </w:rPr>
        <w:t>Proposing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xml:space="preserve">” in all places it appears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120" w:firstLine="8"/>
        <w:spacing w:after="0" w:line="220" w:lineRule="auto"/>
        <w:tabs>
          <w:tab w:leader="none" w:pos="64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Nominating Person, any Disclosable Interests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except that 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u w:val="single" w:color="auto"/>
          <w:color w:val="auto"/>
        </w:rPr>
        <w:t>Nominating Person</w:t>
      </w:r>
      <w:r>
        <w:rPr>
          <w:rFonts w:ascii="Times New Roman" w:cs="Times New Roman" w:eastAsia="Times New Roman" w:hAnsi="Times New Roman"/>
          <w:sz w:val="22"/>
          <w:szCs w:val="22"/>
          <w:color w:val="auto"/>
        </w:rPr>
        <w:t>” shall be substituted for the term “</w:t>
      </w:r>
      <w:r>
        <w:rPr>
          <w:rFonts w:ascii="Times New Roman" w:cs="Times New Roman" w:eastAsia="Times New Roman" w:hAnsi="Times New Roman"/>
          <w:sz w:val="22"/>
          <w:szCs w:val="22"/>
          <w:u w:val="single" w:color="auto"/>
          <w:color w:val="auto"/>
        </w:rPr>
        <w:t>Proposing Person</w:t>
      </w:r>
      <w:r>
        <w:rPr>
          <w:rFonts w:ascii="Times New Roman" w:cs="Times New Roman" w:eastAsia="Times New Roman" w:hAnsi="Times New Roman"/>
          <w:sz w:val="22"/>
          <w:szCs w:val="22"/>
          <w:color w:val="auto"/>
        </w:rPr>
        <w:t xml:space="preserve">” in all places it appears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and the disclosure with respect to the business to be brought before the meeting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shall be made with respect to the election of Directors at the meeting);</w:t>
      </w:r>
    </w:p>
    <w:p>
      <w:pPr>
        <w:spacing w:after="0" w:line="152" w:lineRule="exact"/>
        <w:rPr>
          <w:rFonts w:ascii="Times New Roman" w:cs="Times New Roman" w:eastAsia="Times New Roman" w:hAnsi="Times New Roman"/>
          <w:sz w:val="22"/>
          <w:szCs w:val="22"/>
          <w:color w:val="auto"/>
        </w:rPr>
      </w:pPr>
    </w:p>
    <w:p>
      <w:pPr>
        <w:ind w:firstLine="8"/>
        <w:spacing w:after="0" w:line="209" w:lineRule="auto"/>
        <w:tabs>
          <w:tab w:leader="none" w:pos="6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cs="Times New Roman" w:eastAsia="Times New Roman" w:hAnsi="Times New Roman"/>
          <w:sz w:val="22"/>
          <w:szCs w:val="22"/>
          <w:u w:val="single" w:color="auto"/>
          <w:color w:val="auto"/>
        </w:rPr>
        <w:t>Nominee Information</w:t>
      </w:r>
      <w:r>
        <w:rPr>
          <w:rFonts w:ascii="Times New Roman" w:cs="Times New Roman" w:eastAsia="Times New Roman" w:hAnsi="Times New Roman"/>
          <w:sz w:val="22"/>
          <w:szCs w:val="22"/>
          <w:color w:val="auto"/>
        </w:rPr>
        <w:t xml:space="preserve">”), and (D) a completed and signed questionnaire, representation and agreement as provided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ind w:right="200"/>
        <w:spacing w:after="0" w:line="217"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Nominating Person</w:t>
      </w:r>
      <w:r>
        <w:rPr>
          <w:rFonts w:ascii="Times New Roman" w:cs="Times New Roman" w:eastAsia="Times New Roman" w:hAnsi="Times New Roman"/>
          <w:sz w:val="22"/>
          <w:szCs w:val="22"/>
          <w:color w:val="auto"/>
        </w:rPr>
        <w:t>” shall mean (i) the stockholder providing the notice of the nomination proposed to be made at the meeting, (ii) the beneficial owner or beneficial owners, if different, on whose behalf the notice of the nomination proposed to be made at the meeting is made, (iii) any associate of such stockholder or beneficial owner or any other participant in such solicitation, and (iv) any other person with whom such stockholder or such beneficial owner (or any of their respective associates or other participants in such solicitation) is Acting in Concert.</w:t>
      </w:r>
    </w:p>
    <w:p>
      <w:pPr>
        <w:spacing w:after="0" w:line="152" w:lineRule="exact"/>
        <w:rPr>
          <w:sz w:val="20"/>
          <w:szCs w:val="20"/>
          <w:color w:val="auto"/>
        </w:rPr>
      </w:pPr>
    </w:p>
    <w:p>
      <w:pPr>
        <w:ind w:right="80" w:firstLine="8"/>
        <w:spacing w:after="0" w:line="213" w:lineRule="auto"/>
        <w:tabs>
          <w:tab w:leader="none" w:pos="64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if practicable, any adjournment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395" w:right="379" w:bottom="1440" w:gutter="0" w:footer="0" w:header="0"/>
        </w:sectPr>
      </w:pPr>
    </w:p>
    <w:bookmarkStart w:id="222" w:name="page223"/>
    <w:bookmarkEnd w:id="222"/>
    <w:p>
      <w:pPr>
        <w:jc w:val="both"/>
        <w:ind w:right="660"/>
        <w:spacing w:after="0" w:line="225" w:lineRule="auto"/>
        <w:rPr>
          <w:sz w:val="20"/>
          <w:szCs w:val="20"/>
          <w:color w:val="auto"/>
        </w:rPr>
      </w:pPr>
      <w:r>
        <w:rPr>
          <w:rFonts w:ascii="Times New Roman" w:cs="Times New Roman" w:eastAsia="Times New Roman" w:hAnsi="Times New Roman"/>
          <w:sz w:val="22"/>
          <w:szCs w:val="22"/>
          <w:color w:val="auto"/>
        </w:rPr>
        <w:t>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w:t>
      </w:r>
    </w:p>
    <w:p>
      <w:pPr>
        <w:spacing w:after="0" w:line="153" w:lineRule="exact"/>
        <w:rPr>
          <w:sz w:val="20"/>
          <w:szCs w:val="20"/>
          <w:color w:val="auto"/>
        </w:rPr>
      </w:pPr>
    </w:p>
    <w:p>
      <w:pPr>
        <w:ind w:right="20" w:firstLine="8"/>
        <w:spacing w:after="0" w:line="209" w:lineRule="auto"/>
        <w:tabs>
          <w:tab w:leader="none" w:pos="64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requirements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with respect to any nomination proposed to be made at a meeting, each Nominating Person shall comply with all applicable requirements of the Exchange Act with respect to any such nominations. Notwithstanding the foregoing provisions of this Article III, Section 2,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Corporation shall disregard any proxies or votes solicited for the Nominating Person’s candidates.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47"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u w:val="single" w:color="auto"/>
          <w:color w:val="auto"/>
        </w:rPr>
        <w:t>Term; Vacancies; Election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Director shall hold office until the next annual election and until his or her successor is duly elected and qualified, or until his or her earlier death, resignation or removal. The Directors shall be elected at the annual meeting of the stockholders in the manner specified by these Bylaws. Any vacancy on the Board of Directors that results from an increase in the number of Directors may be filled by a majority of the Board of Directors then in office,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quorum is present, and any other vacancy occurring on the Board of Directors may be filled by a majority of the Board of Directors then in office, even if less than a quorum, or by a sole remaining Director. Each Director to be elected by the stockholders of the Corporation shall be elected by the affirmative vote of a majority of the votes cast with respect to such Director by the shares represented and entitled to vote therefor at a meeting of the stockholders for the election of Directors at which a quorum is present (an “</w:t>
      </w:r>
      <w:r>
        <w:rPr>
          <w:rFonts w:ascii="Times New Roman" w:cs="Times New Roman" w:eastAsia="Times New Roman" w:hAnsi="Times New Roman"/>
          <w:sz w:val="21"/>
          <w:szCs w:val="21"/>
          <w:u w:val="single" w:color="auto"/>
          <w:color w:val="auto"/>
        </w:rPr>
        <w:t>Election Meeting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Board of Directors determines that the number of nominees exceeds the number of Directors to be elected at such meeting (a “</w:t>
      </w:r>
      <w:r>
        <w:rPr>
          <w:rFonts w:ascii="Times New Roman" w:cs="Times New Roman" w:eastAsia="Times New Roman" w:hAnsi="Times New Roman"/>
          <w:sz w:val="21"/>
          <w:szCs w:val="21"/>
          <w:u w:val="single" w:color="auto"/>
          <w:color w:val="auto"/>
        </w:rPr>
        <w:t>Contested Election</w:t>
      </w:r>
      <w:r>
        <w:rPr>
          <w:rFonts w:ascii="Times New Roman" w:cs="Times New Roman" w:eastAsia="Times New Roman" w:hAnsi="Times New Roman"/>
          <w:sz w:val="21"/>
          <w:szCs w:val="21"/>
          <w:color w:val="auto"/>
        </w:rPr>
        <w:t xml:space="preserve">”), and the Board of Directors has not rescinded such determination by the record date of the Election Meeting as initially announced, each of the Directors to be elected at the Election Meeting shall be elected by the affirmative vote of a plurality of the votes cast by the shares represented and entitled to vote at such meeting with respect to the election of such Director. For purposes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 “majority of votes cast” means that the number of votes cast “for” a candidate for Director exceeds the number of votes cast “against” that Director (with “abstentions” and “broker nonvotes” not counted as votes cast as either “for” or “against” such Director’s election). In an election other than a Contested Election, stockholders will be given the choice to cast votes “for” or “against” the election of Directors or to “abstain” from such vote and shall not have the ability to cast any other vote with respect to such election of Directors. In a Contested Election, stockholders will be given the choice to cast “for” or “withhold” votes for the election of Directors and shall not have the ability to cast any other vote with respect to such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395" w:right="359" w:bottom="1440" w:gutter="0" w:footer="0" w:header="0"/>
        </w:sectPr>
      </w:pPr>
    </w:p>
    <w:bookmarkStart w:id="223" w:name="page224"/>
    <w:bookmarkEnd w:id="223"/>
    <w:p>
      <w:pPr>
        <w:ind w:right="500"/>
        <w:spacing w:after="0" w:line="225" w:lineRule="auto"/>
        <w:rPr>
          <w:sz w:val="20"/>
          <w:szCs w:val="20"/>
          <w:color w:val="auto"/>
        </w:rPr>
      </w:pPr>
      <w:r>
        <w:rPr>
          <w:rFonts w:ascii="Times New Roman" w:cs="Times New Roman" w:eastAsia="Times New Roman" w:hAnsi="Times New Roman"/>
          <w:sz w:val="22"/>
          <w:szCs w:val="22"/>
          <w:color w:val="auto"/>
        </w:rPr>
        <w:t>In the event an Election Meeting involves the election of Directors by separate votes by class or classes or series, the determination as to whether an election constitutes a Contested Election shall be made on a class by class or series by series basis, as applicable.</w:t>
      </w:r>
    </w:p>
    <w:p>
      <w:pPr>
        <w:spacing w:after="0" w:line="148"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Powers of Directors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business, property and affairs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Compensation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Board of Directors shall have the authority to fix the compensation of Directors.</w:t>
      </w:r>
    </w:p>
    <w:p>
      <w:pPr>
        <w:spacing w:after="0" w:line="179"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Resignations of Directors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Any Director of the Corporation may resign at any time, by giving notice in writing or by electronic transmission to the Chairman of the Board, the Chief Executive Officer or the Secretary of the Corporation. Such resignation shall take effect when delivered unless the resignation specifies a later effective date determined upon the happening of an event or events. Unless otherwise specified in such notice, the acceptance of such resignation shall not be necessary to make it effective.</w:t>
      </w:r>
    </w:p>
    <w:p>
      <w:pPr>
        <w:spacing w:after="0" w:line="14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u w:val="single" w:color="auto"/>
          <w:color w:val="auto"/>
        </w:rPr>
        <w:t>Additional Requirements For Valid Nomination of Candidates to Serve as Director and, If Elected, to Be Seated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Directors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180" w:firstLine="8"/>
        <w:spacing w:after="0" w:line="225" w:lineRule="auto"/>
        <w:tabs>
          <w:tab w:leader="none" w:pos="64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eligible to be a candidate for election as a Director of the Corporation at an annual or special meeting, a candidate must be nominated in the manner prescribed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8 and the candidate for nomination, whether nominated by the Board of Directors or by a stockholder of record:</w:t>
      </w:r>
    </w:p>
    <w:p>
      <w:pPr>
        <w:spacing w:after="0" w:line="153" w:lineRule="exact"/>
        <w:rPr>
          <w:sz w:val="20"/>
          <w:szCs w:val="20"/>
          <w:color w:val="auto"/>
        </w:rPr>
      </w:pPr>
    </w:p>
    <w:p>
      <w:pPr>
        <w:ind w:right="60" w:firstLine="8"/>
        <w:spacing w:after="0" w:line="210" w:lineRule="auto"/>
        <w:tabs>
          <w:tab w:leader="none" w:pos="6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have previously delivered (in accordance with the time period prescribed for delivery in a notice to such candidate given by or on behalf of the Board of Directors), to the Secretary at the principal executive offices of the Corporation, (i) a completed written questionnaire (in a form provided by the Corporation) with respect to the background, qualifications, stock ownership and independence of such proposed nominee and (ii) a written representation and agreement (in form provided by the Corporation) that such candidate for nomination (A) is not a party to any agreement, arrangement or understanding with, and has not given and will not give any commitment or assurance to, any person or entity as to how such proposed nominee, if elected as a Director of the Corporation, will act or vote on any issue or question and (B)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57" w:lineRule="exact"/>
        <w:rPr>
          <w:rFonts w:ascii="Times New Roman" w:cs="Times New Roman" w:eastAsia="Times New Roman" w:hAnsi="Times New Roman"/>
          <w:sz w:val="22"/>
          <w:szCs w:val="22"/>
          <w:color w:val="auto"/>
        </w:rPr>
      </w:pPr>
    </w:p>
    <w:p>
      <w:pPr>
        <w:jc w:val="both"/>
        <w:ind w:firstLine="8"/>
        <w:spacing w:after="0" w:line="220" w:lineRule="auto"/>
        <w:tabs>
          <w:tab w:leader="none" w:pos="64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not serve on the boards of more than five other public companies, and any candidate who is a chief executive officer of a public company must not serve on more than two other public company boards, unless in each case the Board of Directors of the Corporation has determined in advance that such simultaneous service will not impair the ability of such candidate to effectively serve on the Board of Directors; and</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be under age 75.</w:t>
      </w:r>
    </w:p>
    <w:p>
      <w:pPr>
        <w:spacing w:after="0" w:line="179" w:lineRule="exact"/>
        <w:rPr>
          <w:sz w:val="20"/>
          <w:szCs w:val="20"/>
          <w:color w:val="auto"/>
        </w:rPr>
      </w:pPr>
    </w:p>
    <w:p>
      <w:pPr>
        <w:ind w:right="620" w:firstLine="8"/>
        <w:spacing w:after="0" w:line="236" w:lineRule="auto"/>
        <w:tabs>
          <w:tab w:leader="none" w:pos="64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also require any proposed candidate for nomination as a Director to furnish such other information as may reasonably be requested by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20" w:top="1395" w:right="379" w:bottom="1440" w:gutter="0" w:footer="0" w:header="0"/>
        </w:sectPr>
      </w:pPr>
    </w:p>
    <w:bookmarkStart w:id="224" w:name="page225"/>
    <w:bookmarkEnd w:id="224"/>
    <w:p>
      <w:pPr>
        <w:jc w:val="both"/>
        <w:ind w:right="40"/>
        <w:spacing w:after="0" w:line="225" w:lineRule="auto"/>
        <w:rPr>
          <w:sz w:val="20"/>
          <w:szCs w:val="20"/>
          <w:color w:val="auto"/>
        </w:rPr>
      </w:pPr>
      <w:r>
        <w:rPr>
          <w:rFonts w:ascii="Times New Roman" w:cs="Times New Roman" w:eastAsia="Times New Roman" w:hAnsi="Times New Roman"/>
          <w:sz w:val="22"/>
          <w:szCs w:val="22"/>
          <w:color w:val="auto"/>
        </w:rPr>
        <w:t>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153" w:lineRule="exact"/>
        <w:rPr>
          <w:sz w:val="20"/>
          <w:szCs w:val="20"/>
          <w:color w:val="auto"/>
        </w:rPr>
      </w:pPr>
    </w:p>
    <w:p>
      <w:pPr>
        <w:ind w:right="140" w:firstLine="8"/>
        <w:spacing w:after="0" w:line="210" w:lineRule="auto"/>
        <w:tabs>
          <w:tab w:leader="none" w:pos="64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candidate shall be eligible for nomination as a Director of the Corporation by a stockholder of record unless such candidate for nomination and the Nominating Person seeking to place such candidate’s name in nomination has complied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as applicable. No candidate for nomination nominated by the Board of Directors shall be eligible for nomination as a Director of the Corporation unless such candidate for nomination has provided all information with respect to such candidate for nomination that would be required to be set forth in a stockholder’s notice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as applicable, as if such candidate for nomination were a Nominating Person. The chairman of the meeting shall, if the facts warrant, determine that a nomination was not properly made in accordance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as applicable,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w:t>
      </w:r>
    </w:p>
    <w:p>
      <w:pPr>
        <w:spacing w:after="0" w:line="157" w:lineRule="exact"/>
        <w:rPr>
          <w:rFonts w:ascii="Times New Roman" w:cs="Times New Roman" w:eastAsia="Times New Roman" w:hAnsi="Times New Roman"/>
          <w:sz w:val="22"/>
          <w:szCs w:val="22"/>
          <w:color w:val="auto"/>
        </w:rPr>
      </w:pPr>
    </w:p>
    <w:p>
      <w:pPr>
        <w:ind w:firstLine="8"/>
        <w:spacing w:after="0" w:line="225" w:lineRule="auto"/>
        <w:tabs>
          <w:tab w:leader="none" w:pos="64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these Bylaws to the contrary, no candidate for nomination shall be eligible to be seated as a Director of the Corporation unless nominated and elected in accordance with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as applicable, as determined by a majority of the Board of Directors then in office.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u w:val="single" w:color="auto"/>
          <w:color w:val="auto"/>
        </w:rPr>
        <w:t>Proxy Access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180" w:firstLine="8"/>
        <w:spacing w:after="0" w:line="225" w:lineRule="auto"/>
        <w:tabs>
          <w:tab w:leader="none" w:pos="645"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if any Eligible Stockholder or group of up to 20 Eligible Stockholders submits to the Corporation a Proxy Access Notice that complies with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and such Eligible Stockholder or group of Eligible Stockholders otherwise satisfies all the terms and conditions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(such Eligible Stockholder or group of Eligible Stockholders, a “</w:t>
      </w:r>
      <w:r>
        <w:rPr>
          <w:rFonts w:ascii="Times New Roman" w:cs="Times New Roman" w:eastAsia="Times New Roman" w:hAnsi="Times New Roman"/>
          <w:sz w:val="21"/>
          <w:szCs w:val="21"/>
          <w:u w:val="single" w:color="auto"/>
          <w:color w:val="auto"/>
        </w:rPr>
        <w:t>Nominating Stockholder</w:t>
      </w:r>
      <w:r>
        <w:rPr>
          <w:rFonts w:ascii="Times New Roman" w:cs="Times New Roman" w:eastAsia="Times New Roman" w:hAnsi="Times New Roman"/>
          <w:sz w:val="21"/>
          <w:szCs w:val="21"/>
          <w:color w:val="auto"/>
        </w:rPr>
        <w:t>”), the Corporation shall include in its proxy statement or on its form of proxy and ballot, as applicable (collectively, “</w:t>
      </w:r>
      <w:r>
        <w:rPr>
          <w:rFonts w:ascii="Times New Roman" w:cs="Times New Roman" w:eastAsia="Times New Roman" w:hAnsi="Times New Roman"/>
          <w:sz w:val="21"/>
          <w:szCs w:val="21"/>
          <w:u w:val="single" w:color="auto"/>
          <w:color w:val="auto"/>
        </w:rPr>
        <w:t>proxy materials</w:t>
      </w:r>
      <w:r>
        <w:rPr>
          <w:rFonts w:ascii="Times New Roman" w:cs="Times New Roman" w:eastAsia="Times New Roman" w:hAnsi="Times New Roman"/>
          <w:sz w:val="21"/>
          <w:szCs w:val="21"/>
          <w:color w:val="auto"/>
        </w:rPr>
        <w:t>”), for any annual meeting of stockholders, in addition to any persons nominated for election by the Board of Directors or any committee thereof:</w:t>
      </w:r>
    </w:p>
    <w:p>
      <w:pPr>
        <w:spacing w:after="0" w:line="154" w:lineRule="exact"/>
        <w:rPr>
          <w:sz w:val="20"/>
          <w:szCs w:val="20"/>
          <w:color w:val="auto"/>
        </w:rPr>
      </w:pPr>
    </w:p>
    <w:p>
      <w:pPr>
        <w:ind w:right="280" w:firstLine="8"/>
        <w:spacing w:after="0" w:line="236" w:lineRule="auto"/>
        <w:tabs>
          <w:tab w:leader="none" w:pos="6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name of any person or persons nominated by such Nominating Stockholder for election to the Board of Directors at such annual meeting of stockholders who meets the requirements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Nominee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right="580" w:firstLine="8"/>
        <w:spacing w:after="0" w:line="236" w:lineRule="auto"/>
        <w:tabs>
          <w:tab w:leader="none" w:pos="64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about the Nominee and the Nominating Stockholder required under the rules of the Commission or other applicable law to be included in the proxy materials;</w:t>
      </w:r>
    </w:p>
    <w:p>
      <w:pPr>
        <w:spacing w:after="0" w:line="150" w:lineRule="exact"/>
        <w:rPr>
          <w:rFonts w:ascii="Times New Roman" w:cs="Times New Roman" w:eastAsia="Times New Roman" w:hAnsi="Times New Roman"/>
          <w:sz w:val="22"/>
          <w:szCs w:val="22"/>
          <w:color w:val="auto"/>
        </w:rPr>
      </w:pPr>
    </w:p>
    <w:p>
      <w:pPr>
        <w:ind w:right="40" w:firstLine="8"/>
        <w:spacing w:after="0" w:line="220" w:lineRule="auto"/>
        <w:tabs>
          <w:tab w:leader="none" w:pos="64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other applicable provisions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 written statement, not to exceed 500 words, that is not contrary to any of the Commission’s proxy rules, including Rule 14a-9 under the Exchange Act (a “</w:t>
      </w:r>
      <w:r>
        <w:rPr>
          <w:rFonts w:ascii="Times New Roman" w:cs="Times New Roman" w:eastAsia="Times New Roman" w:hAnsi="Times New Roman"/>
          <w:sz w:val="22"/>
          <w:szCs w:val="22"/>
          <w:u w:val="single" w:color="auto"/>
          <w:color w:val="auto"/>
        </w:rPr>
        <w:t>Supporting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included by the Nominating Stockholder in the Proxy Access Notice intended for inclusion in the proxy materials in support of the Nominee’s election to the Board of Directors; and</w:t>
      </w:r>
    </w:p>
    <w:p>
      <w:pPr>
        <w:spacing w:after="0" w:line="152" w:lineRule="exact"/>
        <w:rPr>
          <w:rFonts w:ascii="Times New Roman" w:cs="Times New Roman" w:eastAsia="Times New Roman" w:hAnsi="Times New Roman"/>
          <w:sz w:val="22"/>
          <w:szCs w:val="22"/>
          <w:color w:val="auto"/>
        </w:rPr>
      </w:pPr>
    </w:p>
    <w:p>
      <w:pPr>
        <w:ind w:right="80" w:firstLine="8"/>
        <w:spacing w:after="0" w:line="225" w:lineRule="auto"/>
        <w:tabs>
          <w:tab w:leader="none" w:pos="6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information that the Corporation or the Board of Directors determines, in its discretion, to include in the proxy materials relating to the nomination of the Nominee, including, without limitation, any statement in opposition to the nomination and any of the information provided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395" w:right="359" w:bottom="1440" w:gutter="0" w:footer="0" w:header="0"/>
        </w:sectPr>
      </w:pPr>
    </w:p>
    <w:bookmarkStart w:id="225" w:name="page226"/>
    <w:bookmarkEnd w:id="225"/>
    <w:p>
      <w:pPr>
        <w:ind w:left="652" w:hanging="652"/>
        <w:spacing w:after="0"/>
        <w:tabs>
          <w:tab w:leader="none" w:pos="6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Number of Nominees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8" w:right="20" w:firstLine="8"/>
        <w:spacing w:after="0" w:line="209" w:lineRule="auto"/>
        <w:tabs>
          <w:tab w:leader="none" w:pos="62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shall not be required to include in the proxy materials for an annual meeting of stockholders more Nominees than that number of directors constituting 20% of the total number of directors of the Corporation on the last day on which a Proxy Access Notice may be submitted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(rounded down to the nearest whole number, but not less than two) (the “</w:t>
      </w:r>
      <w:r>
        <w:rPr>
          <w:rFonts w:ascii="Times New Roman" w:cs="Times New Roman" w:eastAsia="Times New Roman" w:hAnsi="Times New Roman"/>
          <w:sz w:val="22"/>
          <w:szCs w:val="22"/>
          <w:u w:val="single" w:color="auto"/>
          <w:color w:val="auto"/>
        </w:rPr>
        <w:t>Maximum Number</w:t>
      </w:r>
      <w:r>
        <w:rPr>
          <w:rFonts w:ascii="Times New Roman" w:cs="Times New Roman" w:eastAsia="Times New Roman" w:hAnsi="Times New Roman"/>
          <w:sz w:val="22"/>
          <w:szCs w:val="22"/>
          <w:color w:val="auto"/>
        </w:rPr>
        <w:t xml:space="preserve">”). The Maximum Number for a particular annual meeting shall be reduced by: (A) the number of Nominees who are subsequently withdrawn or that the Board of Directors itself decides to nominate for election at such annual meeting of stockholders (including, without limitation, any person who is or will be nominated by the Board of Directors pursuant to any agreement or understanding with one or more stockholders to avoid such person being formally proposed as a Nominee), and (B) the number of incumbent directors who had been Nominees with respect to any of the preceding three annual meetings of stockholders and whose reelection at the upcoming annual meeting of stockholders is being recommended by the Board of Directors (including, without limitation, any person who was nominated by the Board of Directors pursuant to any agreement or understanding with one or more stockholders to avoid such person being formally proposed as a Nominee). In the event that one or more vacancies for any reason occurs on the Board of Directors after the deadline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but before the date of the annual meeting of stockholders, and the Board of Directors resolves to reduce the size of the Board of Directors in connection therewith, the Maximum Number shall be calculated based on the number of directors as so reduced.</w:t>
      </w:r>
    </w:p>
    <w:p>
      <w:pPr>
        <w:spacing w:after="0" w:line="151" w:lineRule="exact"/>
        <w:rPr>
          <w:rFonts w:ascii="Times New Roman" w:cs="Times New Roman" w:eastAsia="Times New Roman" w:hAnsi="Times New Roman"/>
          <w:sz w:val="22"/>
          <w:szCs w:val="22"/>
          <w:color w:val="auto"/>
        </w:rPr>
      </w:pPr>
    </w:p>
    <w:p>
      <w:pPr>
        <w:ind w:left="-8" w:firstLine="8"/>
        <w:spacing w:after="0" w:line="218" w:lineRule="auto"/>
        <w:tabs>
          <w:tab w:leader="none" w:pos="63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Nominating Stockholder submitting more than one Nominee for inclusion in the Corporation’s proxy materials shall rank such Nominees based on the order that the Nominating Stockholder desires such Nominees to be selected for inclusion in the Corporation’s proxy materials in the event that the total number of Nominees submitted by Nominating Stockholders exceeds the Maximum Number. In the event that the number of Nominees submitted by Nominating Stockholders exceeds the Maximum Number, the highest ranking Nominee from each Nominating Stockholder will be included in the Corporation’s proxy materials until the Maximum Number is reached, going in order from largest to smallest of the number of shares of common stock of the Corporation owned by each Nominating Stockholder as disclosed in each Nominating Stockholder’s Proxy Access Notice. If the Maximum Number is not reached after the highest ranking Nominee of each Nominating Stockholder has been selected, this process will be repeated as many times as necessary until the Maximum Number is reached. If, after the deadline for submitting a Proxy Access Notice as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8(d)</w:t>
      </w:r>
      <w:r>
        <w:rPr>
          <w:rFonts w:ascii="Times New Roman" w:cs="Times New Roman" w:eastAsia="Times New Roman" w:hAnsi="Times New Roman"/>
          <w:sz w:val="21"/>
          <w:szCs w:val="21"/>
          <w:color w:val="auto"/>
        </w:rPr>
        <w:t xml:space="preserve">, a Nominating Stockholder ceases to satisfy the requirements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or withdraws its nomination or a Nominee ceases to satisfy the requirements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or becomes unwilling or unable to serve on the Board of Directors, whether before or after the mailing of definitive proxy materials, then the nomination shall be disregarded, and the Corporation: (A) shall not be required to include in its proxy materials the disregarded Nominee; and (B) may otherwise communicate to its stockholders, including without limitation by amending or supplementing its proxy materials, that the Nominee will not be included as a Nominee in the proxy materials and the election of such Nominee will not be voted on at the annual meeting of stockholders.</w:t>
      </w:r>
    </w:p>
    <w:p>
      <w:pPr>
        <w:spacing w:after="0" w:line="162" w:lineRule="exact"/>
        <w:rPr>
          <w:sz w:val="20"/>
          <w:szCs w:val="20"/>
          <w:color w:val="auto"/>
        </w:rPr>
      </w:pPr>
    </w:p>
    <w:p>
      <w:pPr>
        <w:ind w:left="652" w:hanging="652"/>
        <w:spacing w:after="0"/>
        <w:tabs>
          <w:tab w:leader="none" w:pos="6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Nominating Stockholder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8" w:right="420" w:firstLine="8"/>
        <w:spacing w:after="0" w:line="217" w:lineRule="auto"/>
        <w:tabs>
          <w:tab w:leader="none" w:pos="62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Eligible Stockholder</w:t>
      </w:r>
      <w:r>
        <w:rPr>
          <w:rFonts w:ascii="Times New Roman" w:cs="Times New Roman" w:eastAsia="Times New Roman" w:hAnsi="Times New Roman"/>
          <w:sz w:val="22"/>
          <w:szCs w:val="22"/>
          <w:color w:val="auto"/>
        </w:rPr>
        <w:t xml:space="preserve">” is a person who has either (A) been a record holder of the shares of common stock used to satisfy the eligibility requirements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continuously for the three-year period specified in Subsection (ii) below or (B) provides to the Secretary of the Corporation, within the time period referred to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evidence of continuous ownership of such shares for such three-year period from one or more securities intermediaries in a form that satisfies the requirements as established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192"/>
          </w:cols>
          <w:pgMar w:left="328" w:top="1395" w:right="3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the Commission for a stockholder proposal under Rule 14a-8 under the Exchange Act (or any successor rule).</w:t>
      </w:r>
    </w:p>
    <w:p>
      <w:pPr>
        <w:spacing w:after="0" w:line="179" w:lineRule="exact"/>
        <w:rPr>
          <w:sz w:val="20"/>
          <w:szCs w:val="20"/>
          <w:color w:val="auto"/>
        </w:rPr>
      </w:pPr>
    </w:p>
    <w:p>
      <w:pPr>
        <w:ind w:right="80" w:firstLine="8"/>
        <w:spacing w:after="0" w:line="209" w:lineRule="auto"/>
        <w:tabs>
          <w:tab w:leader="none" w:pos="64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Eligible Stockholder or group of up to 20 Eligible Stockholders may submit a nomination in accordance with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only if the person or each member of the group, as applicable, has continuously owned at least the Minimum Number (as defined below) of shares of the Corporation’s outstanding common stock throughout the three-year period preceding and including the date of submission of the Proxy Access Notice, and continues to own at least the Minimum Number through the date of the annual meeting of stockholders. Two or more funds that are (i) under common management and investment control, (ii) under common management and funded primarily by a single employer or (iii) a “group of investment companies,” as such term is defined in Section 12(d)(1)(G)(ii) of the Investment Company Act of 1940, as amended, (two or more funds referred to under any of clause (i), (ii) or (iii), collectively a “</w:t>
      </w:r>
      <w:r>
        <w:rPr>
          <w:rFonts w:ascii="Times New Roman" w:cs="Times New Roman" w:eastAsia="Times New Roman" w:hAnsi="Times New Roman"/>
          <w:sz w:val="22"/>
          <w:szCs w:val="22"/>
          <w:u w:val="single" w:color="auto"/>
          <w:color w:val="auto"/>
        </w:rPr>
        <w:t>Qualifying Fund</w:t>
      </w:r>
      <w:r>
        <w:rPr>
          <w:rFonts w:ascii="Times New Roman" w:cs="Times New Roman" w:eastAsia="Times New Roman" w:hAnsi="Times New Roman"/>
          <w:sz w:val="22"/>
          <w:szCs w:val="22"/>
          <w:color w:val="auto"/>
        </w:rPr>
        <w:t xml:space="preserve">”) shall be treated as one Eligible Stockholder. For the avoidance of doubt, in the event of a nomination by a group of Eligible Stockholders, any and all requirements and obligations for an individual Eligible Stockholder that are set forth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including the minimum holding period, shall apply to each member of such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Minimum Number shall apply to the ownership of the group in the aggregate. Should any stockholder withdraw from a group of Eligible Stockholders at any time prior to the annual meeting of stockholders, the group of Eligible Stockholders shall only be deemed to own the shares held by the remaining members of the group.</w:t>
      </w:r>
    </w:p>
    <w:p>
      <w:pPr>
        <w:spacing w:after="0" w:line="155" w:lineRule="exact"/>
        <w:rPr>
          <w:rFonts w:ascii="Times New Roman" w:cs="Times New Roman" w:eastAsia="Times New Roman" w:hAnsi="Times New Roman"/>
          <w:sz w:val="22"/>
          <w:szCs w:val="22"/>
          <w:color w:val="auto"/>
        </w:rPr>
      </w:pPr>
    </w:p>
    <w:p>
      <w:pPr>
        <w:ind w:right="260" w:firstLine="8"/>
        <w:spacing w:after="0" w:line="225" w:lineRule="auto"/>
        <w:tabs>
          <w:tab w:leader="none" w:pos="64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Minimum Number</w:t>
      </w:r>
      <w:r>
        <w:rPr>
          <w:rFonts w:ascii="Times New Roman" w:cs="Times New Roman" w:eastAsia="Times New Roman" w:hAnsi="Times New Roman"/>
          <w:sz w:val="22"/>
          <w:szCs w:val="22"/>
          <w:color w:val="auto"/>
        </w:rPr>
        <w:t>” of shares of the Corporation’s common stock means three percent (3%) of the number of outstanding shares of common stock as of the most recent date for which such amount is given in any filing by the Corporation with the Commission prior to the submission of the Proxy Access Notice.</w:t>
      </w:r>
    </w:p>
    <w:p>
      <w:pPr>
        <w:spacing w:after="0" w:line="152" w:lineRule="exact"/>
        <w:rPr>
          <w:rFonts w:ascii="Times New Roman" w:cs="Times New Roman" w:eastAsia="Times New Roman" w:hAnsi="Times New Roman"/>
          <w:sz w:val="22"/>
          <w:szCs w:val="22"/>
          <w:color w:val="auto"/>
        </w:rPr>
      </w:pPr>
    </w:p>
    <w:p>
      <w:pPr>
        <w:ind w:right="220" w:firstLine="8"/>
        <w:spacing w:after="0" w:line="236" w:lineRule="auto"/>
        <w:tabs>
          <w:tab w:leader="none" w:pos="6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an Eligible Stockholder “owns” only those outstanding shares of the common stock of the Corporation as to which the Eligible Stockholder possesses both:</w:t>
      </w:r>
    </w:p>
    <w:p>
      <w:pPr>
        <w:spacing w:after="0" w:line="150" w:lineRule="exact"/>
        <w:rPr>
          <w:sz w:val="20"/>
          <w:szCs w:val="20"/>
          <w:color w:val="auto"/>
        </w:rPr>
      </w:pPr>
    </w:p>
    <w:p>
      <w:pPr>
        <w:ind w:left="640" w:hanging="632"/>
        <w:spacing w:after="0"/>
        <w:tabs>
          <w:tab w:leader="none" w:pos="6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voting and investment rights pertaining to the shares; and</w:t>
      </w:r>
    </w:p>
    <w:p>
      <w:pPr>
        <w:spacing w:after="0" w:line="179"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economic interest in (including the opportunity for profit and risk of loss on) such shares;</w:t>
      </w:r>
    </w:p>
    <w:p>
      <w:pPr>
        <w:spacing w:after="0" w:line="179"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number of shares calculated in accordance with clauses (A) and (B) shall not include any shares: (1) sold by such Eligible Stockholder or any of its affiliates in any transaction that has not been settled or closed, (2) borrowed by such Eligible Stockholder or any of its affiliates for any purpose or purchased by such Eligible Stockholder or any of its affiliates pursuant to an agreement to resell, or (3) subject to any option, warrant, forward contract, swap, contract of sale, other derivative or similar agreement entered into by such Eligible Stockholder or any of its affiliates, whether any such instrument or agreement is to be settled with shares, cash or other property based on the notional amount or value of outstanding shares of the Corporation, in any such case which instrument or agreement has, or is intended to have, the purpose or effect of: (w) reducing in any manner, to any extent or at any time in the future, such Eligible Stockholder’s or any of its affiliates’ full right to vote or direct the voting of any such shares, and/or (x) hedging, offsetting, or altering to any degree,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27" w:name="page228"/>
    <w:bookmarkEnd w:id="227"/>
    <w:p>
      <w:pPr>
        <w:ind w:right="40"/>
        <w:spacing w:after="0" w:line="222" w:lineRule="auto"/>
        <w:rPr>
          <w:sz w:val="20"/>
          <w:szCs w:val="20"/>
          <w:color w:val="auto"/>
        </w:rPr>
      </w:pPr>
      <w:r>
        <w:rPr>
          <w:rFonts w:ascii="Times New Roman" w:cs="Times New Roman" w:eastAsia="Times New Roman" w:hAnsi="Times New Roman"/>
          <w:sz w:val="21"/>
          <w:szCs w:val="21"/>
          <w:color w:val="auto"/>
        </w:rPr>
        <w:t xml:space="preserve">other similar instrument or arrangement that is revocable at any time by the Eligible Stockholder. An Eligible Stockholder’s ownership of shares shall be deemed to continue during any period in which the Eligible Stockholder has loaned such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Eligible Stockholder has the power to recall such loaned shares on no more than five business days’ notice and includes in the Proxy Access Notice an agreement that it will (y) promptly recall such loaned shares upon being notified that any of its Nominees will be included in the Corporation’s proxy materials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and (z) continue to hold such recalled shares (including the right to vote such shares) through the date of the annual meeting of stockholders. The terms “owned,” “owning” and other variations of the word “own” shall have correlative meanings. Each Nominating Stockholder shall furnish any other information that may reasonably be required by the Board of Directors to verify such stockholder’s continuous ownership of at least the Minimum Number during the three-year period referred to above.</w:t>
      </w:r>
    </w:p>
    <w:p>
      <w:pPr>
        <w:spacing w:after="0" w:line="150" w:lineRule="exact"/>
        <w:rPr>
          <w:sz w:val="20"/>
          <w:szCs w:val="20"/>
          <w:color w:val="auto"/>
        </w:rPr>
      </w:pPr>
    </w:p>
    <w:p>
      <w:pPr>
        <w:jc w:val="both"/>
        <w:ind w:firstLine="8"/>
        <w:spacing w:after="0" w:line="220" w:lineRule="auto"/>
        <w:tabs>
          <w:tab w:leader="none" w:pos="64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person may be in more than one group constituting a Nominating Stockholder, and if any person appears as a member of more than one group, it shall be deemed to be a member of the group that owns the greatest aggregate number of shares of the Corporation’s common stock as reflected in the Proxy Access Notice, and no shares may be attributed as owned by more than one person constituting a Nominating Stockholder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40" w:firstLine="8"/>
        <w:spacing w:after="0" w:line="220" w:lineRule="auto"/>
        <w:tabs>
          <w:tab w:leader="none" w:pos="64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nominate a Nominee, the Nominating Stockholder must, no earlier than 150 calendar days and no later than 120 calendar days before the date of the Corporation’s proxy materials released to stockholders in connection with the previous year’s annual meeting of stockholders, submit to the Secretary of the Corporation at the principal executive office of the Corporation all of the following information and documents (collectively, the “</w:t>
      </w:r>
      <w:r>
        <w:rPr>
          <w:rFonts w:ascii="Times New Roman" w:cs="Times New Roman" w:eastAsia="Times New Roman" w:hAnsi="Times New Roman"/>
          <w:sz w:val="22"/>
          <w:szCs w:val="22"/>
          <w:u w:val="single" w:color="auto"/>
          <w:color w:val="auto"/>
        </w:rPr>
        <w:t>Proxy Access Notice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660" w:firstLine="8"/>
        <w:spacing w:after="0" w:line="236" w:lineRule="auto"/>
        <w:tabs>
          <w:tab w:leader="none" w:pos="6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14N (or any successor form) relating to the Nominee, completed and filed with the Commission by the Nominating Stockholder as applicable, in accordance with the Commission’s rules;</w:t>
      </w:r>
    </w:p>
    <w:p>
      <w:pPr>
        <w:spacing w:after="0" w:line="150" w:lineRule="exact"/>
        <w:rPr>
          <w:rFonts w:ascii="Times New Roman" w:cs="Times New Roman" w:eastAsia="Times New Roman" w:hAnsi="Times New Roman"/>
          <w:sz w:val="22"/>
          <w:szCs w:val="22"/>
          <w:color w:val="auto"/>
        </w:rPr>
      </w:pPr>
    </w:p>
    <w:p>
      <w:pPr>
        <w:ind w:right="560" w:firstLine="8"/>
        <w:spacing w:after="0" w:line="236" w:lineRule="auto"/>
        <w:tabs>
          <w:tab w:leader="none" w:pos="64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notice of the nomination of such Nominee that includes the following additional information, agreements, representations and warranties by the Nominating Stockholder (including each group member):</w:t>
      </w:r>
    </w:p>
    <w:p>
      <w:pPr>
        <w:spacing w:after="0" w:line="150" w:lineRule="exact"/>
        <w:rPr>
          <w:sz w:val="20"/>
          <w:szCs w:val="20"/>
          <w:color w:val="auto"/>
        </w:rPr>
      </w:pPr>
    </w:p>
    <w:p>
      <w:pPr>
        <w:ind w:right="920" w:firstLine="8"/>
        <w:spacing w:after="0" w:line="236" w:lineRule="auto"/>
        <w:tabs>
          <w:tab w:leader="none" w:pos="63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information, representations and agreements required with respect to the nomination of directors pursuant to </w:t>
      </w:r>
      <w:r>
        <w:rPr>
          <w:rFonts w:ascii="Times New Roman" w:cs="Times New Roman" w:eastAsia="Times New Roman" w:hAnsi="Times New Roman"/>
          <w:sz w:val="22"/>
          <w:szCs w:val="22"/>
          <w:u w:val="single" w:color="auto"/>
          <w:color w:val="auto"/>
        </w:rPr>
        <w:t>Sections 2(c) and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these Bylaws;</w:t>
      </w:r>
    </w:p>
    <w:p>
      <w:pPr>
        <w:spacing w:after="0" w:line="150" w:lineRule="exact"/>
        <w:rPr>
          <w:rFonts w:ascii="Times New Roman" w:cs="Times New Roman" w:eastAsia="Times New Roman" w:hAnsi="Times New Roman"/>
          <w:sz w:val="22"/>
          <w:szCs w:val="22"/>
          <w:color w:val="auto"/>
        </w:rPr>
      </w:pPr>
    </w:p>
    <w:p>
      <w:pPr>
        <w:ind w:right="60" w:firstLine="8"/>
        <w:spacing w:after="0" w:line="236" w:lineRule="auto"/>
        <w:tabs>
          <w:tab w:leader="none" w:pos="6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150" w:lineRule="exact"/>
        <w:rPr>
          <w:rFonts w:ascii="Times New Roman" w:cs="Times New Roman" w:eastAsia="Times New Roman" w:hAnsi="Times New Roman"/>
          <w:sz w:val="22"/>
          <w:szCs w:val="22"/>
          <w:color w:val="auto"/>
        </w:rPr>
      </w:pPr>
    </w:p>
    <w:p>
      <w:pPr>
        <w:ind w:right="660" w:firstLine="8"/>
        <w:spacing w:after="0" w:line="236" w:lineRule="auto"/>
        <w:tabs>
          <w:tab w:leader="none" w:pos="6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did not acquire, and is not holding, securities of the Corporation for the purpose or with the effect of influencing or changing control of the Corporation;</w:t>
      </w:r>
    </w:p>
    <w:p>
      <w:pPr>
        <w:spacing w:after="0" w:line="150" w:lineRule="exact"/>
        <w:rPr>
          <w:rFonts w:ascii="Times New Roman" w:cs="Times New Roman" w:eastAsia="Times New Roman" w:hAnsi="Times New Roman"/>
          <w:sz w:val="22"/>
          <w:szCs w:val="22"/>
          <w:color w:val="auto"/>
        </w:rPr>
      </w:pPr>
    </w:p>
    <w:p>
      <w:pPr>
        <w:ind w:right="60" w:firstLine="8"/>
        <w:spacing w:after="0" w:line="225" w:lineRule="auto"/>
        <w:tabs>
          <w:tab w:leader="none" w:pos="63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Nominee’s candidacy or, if elected, Board of Directors membership, would not violate the Certificate of Incorporation, these Bylaws, or any applicable state or federal law or the rules of any stock exchange on which the Corporation’s securities are traded;</w:t>
      </w:r>
    </w:p>
    <w:p>
      <w:pPr>
        <w:spacing w:after="0" w:line="152"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Nominee:</w:t>
      </w:r>
    </w:p>
    <w:p>
      <w:pPr>
        <w:spacing w:after="0" w:line="179" w:lineRule="exact"/>
        <w:rPr>
          <w:sz w:val="20"/>
          <w:szCs w:val="20"/>
          <w:color w:val="auto"/>
        </w:rPr>
      </w:pPr>
    </w:p>
    <w:p>
      <w:pPr>
        <w:ind w:right="840" w:firstLine="8"/>
        <w:spacing w:after="0" w:line="236" w:lineRule="auto"/>
        <w:tabs>
          <w:tab w:leader="none" w:pos="64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have any direct or indirect material relationship with the Corporation and otherwise would qualify as an “independent director” under the rules of the primary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exchange on which the Corporation’s securities are traded and any applicable rules of the Commission;</w:t>
      </w:r>
    </w:p>
    <w:p>
      <w:pPr>
        <w:spacing w:after="0" w:line="179" w:lineRule="exact"/>
        <w:rPr>
          <w:sz w:val="20"/>
          <w:szCs w:val="20"/>
          <w:color w:val="auto"/>
        </w:rPr>
      </w:pPr>
    </w:p>
    <w:p>
      <w:pPr>
        <w:ind w:right="100" w:firstLine="8"/>
        <w:spacing w:after="0" w:line="236" w:lineRule="auto"/>
        <w:tabs>
          <w:tab w:leader="none" w:pos="64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meet the audit committee independence requirements under the rules of the principal stock exchange on which the Corporation’s common stock is traded;</w:t>
      </w:r>
    </w:p>
    <w:p>
      <w:pPr>
        <w:spacing w:after="0" w:line="13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qualify as a “non-employee director” for the purposes of Rule 16b-3 under the Exchange Act (or any successor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w:t>
      </w:r>
    </w:p>
    <w:p>
      <w:pPr>
        <w:spacing w:after="0" w:line="155" w:lineRule="exact"/>
        <w:rPr>
          <w:rFonts w:ascii="Times New Roman" w:cs="Times New Roman" w:eastAsia="Times New Roman" w:hAnsi="Times New Roman"/>
          <w:sz w:val="22"/>
          <w:szCs w:val="22"/>
          <w:color w:val="auto"/>
        </w:rPr>
      </w:pPr>
    </w:p>
    <w:p>
      <w:pPr>
        <w:ind w:right="60" w:firstLine="8"/>
        <w:spacing w:after="0" w:line="236" w:lineRule="auto"/>
        <w:tabs>
          <w:tab w:leader="none" w:pos="64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qualify as an “outside director” for the purposes of Section 162(m) of the Internal Revenue Code (or any successor provision);</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or is not (as the case may be) a “Non-Citizen” as defined in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of these Bylaws;</w:t>
      </w:r>
    </w:p>
    <w:p>
      <w:pPr>
        <w:spacing w:after="0" w:line="179" w:lineRule="exact"/>
        <w:rPr>
          <w:rFonts w:ascii="Times New Roman" w:cs="Times New Roman" w:eastAsia="Times New Roman" w:hAnsi="Times New Roman"/>
          <w:sz w:val="22"/>
          <w:szCs w:val="22"/>
          <w:color w:val="auto"/>
        </w:rPr>
      </w:pPr>
    </w:p>
    <w:p>
      <w:pPr>
        <w:jc w:val="both"/>
        <w:ind w:firstLine="8"/>
        <w:spacing w:after="0" w:line="255" w:lineRule="auto"/>
        <w:tabs>
          <w:tab w:leader="none" w:pos="64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has not been, within the past three years, an officer or director of a competitor, as defined under Section 8 of the Clayton Antitrust Act of 1914, as amended, and if the Nominee has held any such position during this period, details thereof; and</w:t>
      </w:r>
    </w:p>
    <w:p>
      <w:pPr>
        <w:spacing w:after="0" w:line="134" w:lineRule="exact"/>
        <w:rPr>
          <w:rFonts w:ascii="Times New Roman" w:cs="Times New Roman" w:eastAsia="Times New Roman" w:hAnsi="Times New Roman"/>
          <w:sz w:val="21"/>
          <w:szCs w:val="21"/>
          <w:color w:val="auto"/>
        </w:rPr>
      </w:pPr>
    </w:p>
    <w:p>
      <w:pPr>
        <w:ind w:right="100" w:firstLine="8"/>
        <w:spacing w:after="0" w:line="225" w:lineRule="auto"/>
        <w:tabs>
          <w:tab w:leader="none" w:pos="64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and has not been subject to any event specified in Rule 506(d)(1) of Regulation D (or any successor rule) under the Securities Act of 1933, as amended, or Item 401(f) of Regulation S-K (or any successor rule) under the Exchange Act, without reference to whether the event is material to an evaluation of the ability or integrity of the Nominee;</w:t>
      </w:r>
    </w:p>
    <w:p>
      <w:pPr>
        <w:spacing w:after="0" w:line="153" w:lineRule="exact"/>
        <w:rPr>
          <w:sz w:val="20"/>
          <w:szCs w:val="20"/>
          <w:color w:val="auto"/>
        </w:rPr>
      </w:pPr>
    </w:p>
    <w:p>
      <w:pPr>
        <w:ind w:right="20" w:firstLine="8"/>
        <w:spacing w:after="0" w:line="225" w:lineRule="auto"/>
        <w:tabs>
          <w:tab w:leader="none" w:pos="64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representation and warranty that the Nominating Stockholder satisfies the eligibility requirements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has provided evidence of ownership to the extent required by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and such evidence of ownership is true, complete and correct;</w:t>
      </w:r>
    </w:p>
    <w:p>
      <w:pPr>
        <w:spacing w:after="0" w:line="152" w:lineRule="exact"/>
        <w:rPr>
          <w:rFonts w:ascii="Times New Roman" w:cs="Times New Roman" w:eastAsia="Times New Roman" w:hAnsi="Times New Roman"/>
          <w:sz w:val="22"/>
          <w:szCs w:val="22"/>
          <w:color w:val="auto"/>
        </w:rPr>
      </w:pPr>
    </w:p>
    <w:p>
      <w:pPr>
        <w:ind w:right="180" w:firstLine="8"/>
        <w:spacing w:after="0" w:line="217" w:lineRule="auto"/>
        <w:tabs>
          <w:tab w:leader="none" w:pos="63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 representation and warranty that the Nominating Stockholder intends to continue to satisfy the eligibility requirements described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through the date of the annual meeting of stockholders and (ii) a statement as to whether or not the Nominating Stockholder intends to continue to hold the Minimum Number of shares for at least one year following the annual meeting of stockholders, which statement may also include a description as to why such Nominating Stockholder is unable to make the foregoing statement;</w:t>
      </w:r>
    </w:p>
    <w:p>
      <w:pPr>
        <w:spacing w:after="0" w:line="152" w:lineRule="exact"/>
        <w:rPr>
          <w:rFonts w:ascii="Times New Roman" w:cs="Times New Roman" w:eastAsia="Times New Roman" w:hAnsi="Times New Roman"/>
          <w:sz w:val="22"/>
          <w:szCs w:val="22"/>
          <w:color w:val="auto"/>
        </w:rPr>
      </w:pPr>
    </w:p>
    <w:p>
      <w:pPr>
        <w:ind w:right="380" w:firstLine="8"/>
        <w:spacing w:after="0" w:line="220" w:lineRule="auto"/>
        <w:tabs>
          <w:tab w:leader="none" w:pos="63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will not engage in or support, directly or indirectly, a “solicitation” within the meaning of Rule 14a-1(l) (without reference to the exception in Section 14a- 1(l)(2)(iv)) (or any successor rules) with respect to the annual meeting of stockholders, other than a solicitation in support of the Nominee or any nominee of the Board of Directors;</w:t>
      </w:r>
    </w:p>
    <w:p>
      <w:pPr>
        <w:spacing w:after="0" w:line="152" w:lineRule="exact"/>
        <w:rPr>
          <w:rFonts w:ascii="Times New Roman" w:cs="Times New Roman" w:eastAsia="Times New Roman" w:hAnsi="Times New Roman"/>
          <w:sz w:val="22"/>
          <w:szCs w:val="22"/>
          <w:color w:val="auto"/>
        </w:rPr>
      </w:pPr>
    </w:p>
    <w:p>
      <w:pPr>
        <w:ind w:right="220" w:firstLine="8"/>
        <w:spacing w:after="0" w:line="255" w:lineRule="auto"/>
        <w:tabs>
          <w:tab w:leader="none" w:pos="64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and warranty that the Nominating Stockholder will not use any proxy card other than the Corporation’s proxy card in soliciting stockholders in connection with the election of a Nominee at the annual meeting of stockholders;</w:t>
      </w:r>
    </w:p>
    <w:p>
      <w:pPr>
        <w:spacing w:after="0" w:line="134"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desired by the Nominating Stockholder, a Supporting Statement;</w:t>
      </w:r>
    </w:p>
    <w:p>
      <w:pPr>
        <w:spacing w:after="0" w:line="179" w:lineRule="exact"/>
        <w:rPr>
          <w:rFonts w:ascii="Times New Roman" w:cs="Times New Roman" w:eastAsia="Times New Roman" w:hAnsi="Times New Roman"/>
          <w:sz w:val="22"/>
          <w:szCs w:val="22"/>
          <w:color w:val="auto"/>
        </w:rPr>
      </w:pPr>
    </w:p>
    <w:p>
      <w:pPr>
        <w:jc w:val="both"/>
        <w:ind w:right="220" w:firstLine="8"/>
        <w:spacing w:after="0" w:line="255" w:lineRule="auto"/>
        <w:tabs>
          <w:tab w:leader="none" w:pos="637"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nomination by a group, the designation by all group members of one group member that is authorized to act on behalf of all group members with respect to matters relating to the nomination, including withdrawal of the nomination;</w:t>
      </w:r>
    </w:p>
    <w:p>
      <w:pPr>
        <w:spacing w:after="0" w:line="134" w:lineRule="exact"/>
        <w:rPr>
          <w:rFonts w:ascii="Times New Roman" w:cs="Times New Roman" w:eastAsia="Times New Roman" w:hAnsi="Times New Roman"/>
          <w:sz w:val="21"/>
          <w:szCs w:val="21"/>
          <w:color w:val="auto"/>
        </w:rPr>
      </w:pPr>
    </w:p>
    <w:p>
      <w:pPr>
        <w:ind w:right="820" w:firstLine="8"/>
        <w:spacing w:after="0" w:line="236" w:lineRule="auto"/>
        <w:tabs>
          <w:tab w:leader="none" w:pos="6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Eligible Stockholder that is a Qualifying Fund consisting of two or more funds, documentation demonstrating that the funds are eligible to be treated as a Qualifying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395" w:right="359" w:bottom="1440" w:gutter="0" w:footer="0" w:header="0"/>
        </w:sectPr>
      </w:pPr>
    </w:p>
    <w:bookmarkStart w:id="229" w:name="page230"/>
    <w:bookmarkEnd w:id="229"/>
    <w:p>
      <w:pPr>
        <w:ind w:right="500"/>
        <w:spacing w:after="0" w:line="236" w:lineRule="auto"/>
        <w:rPr>
          <w:sz w:val="20"/>
          <w:szCs w:val="20"/>
          <w:color w:val="auto"/>
        </w:rPr>
      </w:pPr>
      <w:r>
        <w:rPr>
          <w:rFonts w:ascii="Times New Roman" w:cs="Times New Roman" w:eastAsia="Times New Roman" w:hAnsi="Times New Roman"/>
          <w:sz w:val="22"/>
          <w:szCs w:val="22"/>
          <w:color w:val="auto"/>
        </w:rPr>
        <w:t xml:space="preserve">Fund and that each such fund comprising the Qualifying Fund otherwise meets the requirements set forth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ind w:right="80" w:firstLine="8"/>
        <w:spacing w:after="0" w:line="236" w:lineRule="auto"/>
        <w:tabs>
          <w:tab w:leader="none" w:pos="64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has not nominated and will not nominate for election any individual as director at the annual meeting of stockholders other than its Nominee(s).</w:t>
      </w:r>
    </w:p>
    <w:p>
      <w:pPr>
        <w:spacing w:after="0" w:line="150"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agreement pursuant to which the Nominating Stockholder (including each group member) agrees:</w:t>
      </w:r>
    </w:p>
    <w:p>
      <w:pPr>
        <w:spacing w:after="0" w:line="179" w:lineRule="exact"/>
        <w:rPr>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all applicable laws, rules and regulations in connection with the nomination, solicitation and election;</w:t>
      </w:r>
    </w:p>
    <w:p>
      <w:pPr>
        <w:spacing w:after="0" w:line="179" w:lineRule="exact"/>
        <w:rPr>
          <w:rFonts w:ascii="Times New Roman" w:cs="Times New Roman" w:eastAsia="Times New Roman" w:hAnsi="Times New Roman"/>
          <w:sz w:val="22"/>
          <w:szCs w:val="22"/>
          <w:color w:val="auto"/>
        </w:rPr>
      </w:pPr>
    </w:p>
    <w:p>
      <w:pPr>
        <w:ind w:right="140" w:firstLine="8"/>
        <w:spacing w:after="0" w:line="220" w:lineRule="auto"/>
        <w:tabs>
          <w:tab w:leader="none" w:pos="63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with the Commission any solicitation or other communication with the Corporation’s stockholders relating to any Nominee or one or more of the Corporation’s directors or director nominees, regardless of whether any such filing is required under any law, rule or regulation or whether any exemption from filing is available for such materials under any law, rule or regulation;</w:t>
      </w:r>
    </w:p>
    <w:p>
      <w:pPr>
        <w:spacing w:after="0" w:line="152" w:lineRule="exact"/>
        <w:rPr>
          <w:rFonts w:ascii="Times New Roman" w:cs="Times New Roman" w:eastAsia="Times New Roman" w:hAnsi="Times New Roman"/>
          <w:sz w:val="22"/>
          <w:szCs w:val="22"/>
          <w:color w:val="auto"/>
        </w:rPr>
      </w:pPr>
    </w:p>
    <w:p>
      <w:pPr>
        <w:jc w:val="both"/>
        <w:ind w:right="240" w:firstLine="8"/>
        <w:spacing w:after="0" w:line="236" w:lineRule="auto"/>
        <w:tabs>
          <w:tab w:leader="none" w:pos="639"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assume all liability stemming from an action, suit or proceeding concerning any actual or alleged legal or regulatory violation arising out of any communication by the Nominating Stockholder with the Corporation, its stockholders or any other person in connection with the nomination or election of directors, including, without limitation, the Proxy Access Notice;</w:t>
      </w:r>
    </w:p>
    <w:p>
      <w:pPr>
        <w:spacing w:after="0" w:line="151" w:lineRule="exact"/>
        <w:rPr>
          <w:rFonts w:ascii="Times New Roman" w:cs="Times New Roman" w:eastAsia="Times New Roman" w:hAnsi="Times New Roman"/>
          <w:sz w:val="21"/>
          <w:szCs w:val="21"/>
          <w:color w:val="auto"/>
        </w:rPr>
      </w:pPr>
    </w:p>
    <w:p>
      <w:pPr>
        <w:ind w:firstLine="8"/>
        <w:spacing w:after="0" w:line="213" w:lineRule="auto"/>
        <w:tabs>
          <w:tab w:leader="none" w:pos="63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indemnify and hold harmless (jointly and severally with all other group members, in the case of a group member) the Corporation and each of its directors, officers and employees individually against any liability, loss, damages, expenses, demands, claims or other costs (including reasonable attorneys’ fees and disbursements of counsel) incurred in connection with any threatened or pending action, suit or proceeding, whether legal, administrative or investigative, against the Corporation or any of its directors, officers or employees arising out of any nomination submitted by the Nominating Stockholder (including, without limitation, relating to any breach or alleged breach of its obligations, agreements, representations or warranties)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firstLine="8"/>
        <w:spacing w:after="0" w:line="221" w:lineRule="auto"/>
        <w:tabs>
          <w:tab w:leader="none" w:pos="64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(i) any information included in the Proxy Access Notice, or any other communication by the Nominating Stockholder (including with respect to any group member), with the Corporation, its stockholders or any other person in connection with the nomination or election of directors ceases to be true and accurate in all material respects (or due to a subsequent development omits a material fact necessary to make the statements made not misleading), or (ii) the Nominating Stockholder (including any group member) fails to continue to satisfy the eligibility requirements described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the Nominating Stockholder shall promptly (and in any event within 48 hours of discovering such misstatement, omission or failure) (x) in the case of clause (i) above, notify the Corporation and any other recipient of such communication of the misstatement or omission in such previously provided information and of the information that is required to correct the misstatement or omission, and (y) in the case of clause (ii) above, notify the Corporation why, and in what regard, the Nominating Stockholder fails to comply with the eligibility requirements described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and</w:t>
      </w:r>
    </w:p>
    <w:p>
      <w:pPr>
        <w:spacing w:after="0" w:line="152" w:lineRule="exact"/>
        <w:rPr>
          <w:sz w:val="20"/>
          <w:szCs w:val="20"/>
          <w:color w:val="auto"/>
        </w:rPr>
      </w:pPr>
    </w:p>
    <w:p>
      <w:pPr>
        <w:ind w:left="640" w:hanging="632"/>
        <w:spacing w:after="0"/>
        <w:tabs>
          <w:tab w:leader="none" w:pos="6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agreement by the Nominee:</w:t>
      </w:r>
    </w:p>
    <w:p>
      <w:pPr>
        <w:spacing w:after="0" w:line="179" w:lineRule="exact"/>
        <w:rPr>
          <w:sz w:val="20"/>
          <w:szCs w:val="20"/>
          <w:color w:val="auto"/>
        </w:rPr>
      </w:pPr>
    </w:p>
    <w:p>
      <w:pPr>
        <w:ind w:right="960" w:firstLine="8"/>
        <w:spacing w:after="0" w:line="236" w:lineRule="auto"/>
        <w:tabs>
          <w:tab w:leader="none" w:pos="63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to the Corporation such other information, including a completed copy of the Corporation’s director questionnaire, as it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160"/>
          </w:cols>
          <w:pgMar w:left="320" w:top="1395" w:right="419" w:bottom="1440" w:gutter="0" w:footer="0" w:header="0"/>
        </w:sectPr>
      </w:pPr>
    </w:p>
    <w:bookmarkStart w:id="230" w:name="page231"/>
    <w:bookmarkEnd w:id="230"/>
    <w:p>
      <w:pPr>
        <w:ind w:right="300" w:firstLine="8"/>
        <w:spacing w:after="0" w:line="225" w:lineRule="auto"/>
        <w:tabs>
          <w:tab w:leader="none" w:pos="6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Nominee (i) agrees, if elected, to serve as a member of the Board of Directors, and (ii) has read and agrees to adhere to the Corporation’s Corporate Governance Guidelines and any other Corporation policies and guidelines applicable to directors generally; and</w:t>
      </w:r>
    </w:p>
    <w:p>
      <w:pPr>
        <w:spacing w:after="0" w:line="152" w:lineRule="exact"/>
        <w:rPr>
          <w:rFonts w:ascii="Times New Roman" w:cs="Times New Roman" w:eastAsia="Times New Roman" w:hAnsi="Times New Roman"/>
          <w:sz w:val="22"/>
          <w:szCs w:val="22"/>
          <w:color w:val="auto"/>
        </w:rPr>
      </w:pPr>
    </w:p>
    <w:p>
      <w:pPr>
        <w:ind w:right="100" w:firstLine="8"/>
        <w:spacing w:after="0" w:line="224" w:lineRule="auto"/>
        <w:tabs>
          <w:tab w:leader="none" w:pos="63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Nominee is not and will not become a party to (1) any compensatory, payment or other financial agreement, arrangement or understanding with any person or entity in connection with service or action as a director of the Corporation that has not been disclosed to the Corporation in writing, (2) any agreement, arrangement or understanding with any person or entity as to how the Nominee would vote or act on any issue or question as a director (a “</w:t>
      </w:r>
      <w:r>
        <w:rPr>
          <w:rFonts w:ascii="Times New Roman" w:cs="Times New Roman" w:eastAsia="Times New Roman" w:hAnsi="Times New Roman"/>
          <w:sz w:val="21"/>
          <w:szCs w:val="21"/>
          <w:u w:val="single" w:color="auto"/>
          <w:color w:val="auto"/>
        </w:rPr>
        <w:t>Voting Commitment</w:t>
      </w:r>
      <w:r>
        <w:rPr>
          <w:rFonts w:ascii="Times New Roman" w:cs="Times New Roman" w:eastAsia="Times New Roman" w:hAnsi="Times New Roman"/>
          <w:sz w:val="21"/>
          <w:szCs w:val="21"/>
          <w:color w:val="auto"/>
        </w:rPr>
        <w:t>”) that has not been disclosed to the Corporation in writing, or (3) any Voting Commitment that could limit or interfere with the Nominee’s ability to comply, if elected as a director of the Corporation, with its fiduciary duties under applicable law or with the Corporation’s Corporate Governance Guidelines and any other Corporation policies and guidelines applicable to directors generally.</w:t>
      </w:r>
    </w:p>
    <w:p>
      <w:pPr>
        <w:spacing w:after="0" w:line="150"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22"/>
          <w:szCs w:val="22"/>
          <w:color w:val="auto"/>
        </w:rPr>
        <w:t xml:space="preserve">The information and documents required by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shall be: (x) provided with respect to and executed by each group member, in the case of information applicable to group members; and (y) provided with respect to the persons specified in Instruction 1 to Items 6(c) and (d) of Schedule 14N (or any successor item) if and to the extent applicable to a Nominating Stockholder or group member. The Proxy Access Notice shall be deemed submitted on the date on which all the information and documents referred to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(other than such information and documents contemplated to be provided after the date the Proxy Access Notice is provided) have been delivered to or, if sent by mail, received by the Secretary of the Corporation. For the avoidance of doubt, in no event shall any adjournment or postponement of an annual meeting of stockholders or the public announcement thereof commence a new time period for the giving of a Proxy Access Notice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 and Clarifications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8"/>
        <w:spacing w:after="0" w:line="227" w:lineRule="auto"/>
        <w:tabs>
          <w:tab w:leader="none" w:pos="63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 the Corporation may omit from its proxy materials any Nominee and any information concerning such Nominee (including a Nominating Stockholder’s Supporting Statement), (y) any nomination shall be disregarded, and (z) no vote on such Nominee will occur (notwithstanding that proxies in respect of such vote may have been received by the Corporation), and the Nominating Stockholder may not, after the last day on which a Proxy Access Notice would be timely, cure in any way any defect preventing the nomination of the Nominee, if:</w:t>
      </w:r>
    </w:p>
    <w:p>
      <w:pPr>
        <w:spacing w:after="0" w:line="154" w:lineRule="exact"/>
        <w:rPr>
          <w:sz w:val="20"/>
          <w:szCs w:val="20"/>
          <w:color w:val="auto"/>
        </w:rPr>
      </w:pPr>
    </w:p>
    <w:p>
      <w:pPr>
        <w:ind w:right="100" w:firstLine="8"/>
        <w:spacing w:after="0" w:line="236" w:lineRule="auto"/>
        <w:tabs>
          <w:tab w:leader="none" w:pos="63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receives a notice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that a stockholder intends to nominate a candidate for director at the annual meeting of stockholders;</w:t>
      </w:r>
    </w:p>
    <w:p>
      <w:pPr>
        <w:spacing w:after="0" w:line="150" w:lineRule="exact"/>
        <w:rPr>
          <w:rFonts w:ascii="Times New Roman" w:cs="Times New Roman" w:eastAsia="Times New Roman" w:hAnsi="Times New Roman"/>
          <w:sz w:val="22"/>
          <w:szCs w:val="22"/>
          <w:color w:val="auto"/>
        </w:rPr>
      </w:pPr>
    </w:p>
    <w:p>
      <w:pPr>
        <w:jc w:val="both"/>
        <w:ind w:right="160" w:firstLine="8"/>
        <w:spacing w:after="0" w:line="225" w:lineRule="auto"/>
        <w:tabs>
          <w:tab w:leader="none" w:pos="6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Nominating Stockholder or the designated lead group member, as applicable, or any qualified representative thereof, does not appear at the annual meeting of stockholders to present the nomination submitted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or the Nominating Stockholder withdraws its nomination prior to the annual meeting of stockholders;</w:t>
      </w:r>
    </w:p>
    <w:p>
      <w:pPr>
        <w:spacing w:after="0" w:line="152" w:lineRule="exact"/>
        <w:rPr>
          <w:rFonts w:ascii="Times New Roman" w:cs="Times New Roman" w:eastAsia="Times New Roman" w:hAnsi="Times New Roman"/>
          <w:sz w:val="22"/>
          <w:szCs w:val="22"/>
          <w:color w:val="auto"/>
        </w:rPr>
      </w:pPr>
    </w:p>
    <w:p>
      <w:pPr>
        <w:ind w:right="20" w:firstLine="8"/>
        <w:spacing w:after="0" w:line="220" w:lineRule="auto"/>
        <w:tabs>
          <w:tab w:leader="none" w:pos="6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determines that such Nominee’s nomination or election to the Board of Directors would result in the Corporation violating or failing to be in compliance with the Certificate of Incorporation, these Bylaws or any applicable law, rule or regulation to which the Corporation is subject, including any rules or regulations of any stock exchange on which the Corporation’s securities are traded;</w:t>
      </w:r>
    </w:p>
    <w:p>
      <w:pPr>
        <w:spacing w:after="0" w:line="152" w:lineRule="exact"/>
        <w:rPr>
          <w:rFonts w:ascii="Times New Roman" w:cs="Times New Roman" w:eastAsia="Times New Roman" w:hAnsi="Times New Roman"/>
          <w:sz w:val="22"/>
          <w:szCs w:val="22"/>
          <w:color w:val="auto"/>
        </w:rPr>
      </w:pPr>
    </w:p>
    <w:p>
      <w:pPr>
        <w:ind w:right="480" w:firstLine="8"/>
        <w:spacing w:after="0" w:line="236" w:lineRule="auto"/>
        <w:tabs>
          <w:tab w:leader="none" w:pos="63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Nominee was nominated for election to the Board of Directors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at one of the Corporation’s two preceding annual meetings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20" w:top="1395" w:right="379" w:bottom="1440" w:gutter="0" w:footer="0" w:header="0"/>
        </w:sectPr>
      </w:pPr>
    </w:p>
    <w:bookmarkStart w:id="231" w:name="page232"/>
    <w:bookmarkEnd w:id="231"/>
    <w:p>
      <w:pPr>
        <w:ind w:right="340"/>
        <w:spacing w:after="0" w:line="236" w:lineRule="auto"/>
        <w:rPr>
          <w:sz w:val="20"/>
          <w:szCs w:val="20"/>
          <w:color w:val="auto"/>
        </w:rPr>
      </w:pPr>
      <w:r>
        <w:rPr>
          <w:rFonts w:ascii="Times New Roman" w:cs="Times New Roman" w:eastAsia="Times New Roman" w:hAnsi="Times New Roman"/>
          <w:sz w:val="22"/>
          <w:szCs w:val="22"/>
          <w:color w:val="auto"/>
        </w:rPr>
        <w:t>and (i) its nomination was withdrawn, (ii) such Nominee became ineligible to serve as a Nominee or as a Director or (iii) such Nominee received a vote of less than 25% of the shares of common stock entitled to vote for such Nominee; or</w:t>
      </w:r>
    </w:p>
    <w:p>
      <w:pPr>
        <w:spacing w:after="0" w:line="150" w:lineRule="exact"/>
        <w:rPr>
          <w:sz w:val="20"/>
          <w:szCs w:val="20"/>
          <w:color w:val="auto"/>
        </w:rPr>
      </w:pPr>
    </w:p>
    <w:p>
      <w:pPr>
        <w:ind w:right="300" w:firstLine="8"/>
        <w:spacing w:after="0" w:line="217" w:lineRule="auto"/>
        <w:tabs>
          <w:tab w:leader="none" w:pos="6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Nominating Stockholder fails to continue to satisfy the eligibility requirements described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(ii) any of the representations and warranties made in the Proxy Access Notice cease to be true, complete and correct (or omits to state a material fact necessary to make the statements made therein not misleading), (iii) the Nominee becomes unwilling or unable to serve on the Board of Directors or (iv) the Nominating Stockholder or the Nominee materially violates or breaches any of its agreements, representations or warranties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p>
    <w:p>
      <w:pPr>
        <w:spacing w:after="0" w:line="152" w:lineRule="exact"/>
        <w:rPr>
          <w:sz w:val="20"/>
          <w:szCs w:val="20"/>
          <w:color w:val="auto"/>
        </w:rPr>
      </w:pPr>
    </w:p>
    <w:p>
      <w:pPr>
        <w:ind w:firstLine="8"/>
        <w:spacing w:after="0" w:line="211" w:lineRule="auto"/>
        <w:tabs>
          <w:tab w:leader="none" w:pos="64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Corporation may omit from its proxy materials, or may supplement or correct, any information, including all or any portion of the Supporting Statement included in the Proxy Access Notice, if: (A) such information is not true and correct in all material respects or omits a material statement necessary to make the statements therein not misleading; (B) such information directly or indirectly impugns the character, integrity or, without factual foundation, personal reputation of, or directly or indirectly makes charges concerning improper, illegal or immoral conduct or associations with respect to, any person; or (C) the inclusion of such information in the proxy materials would otherwise violate the Commission’s proxy rules or any other applicable law, rule or regulation. Once submitted with a Proxy Access Notice, a Supporting Statement may not be amended, supplemented or modified by the Nominee or Nominating Stockholder.</w:t>
      </w:r>
    </w:p>
    <w:p>
      <w:pPr>
        <w:spacing w:after="0" w:line="158" w:lineRule="exact"/>
        <w:rPr>
          <w:rFonts w:ascii="Times New Roman" w:cs="Times New Roman" w:eastAsia="Times New Roman" w:hAnsi="Times New Roman"/>
          <w:sz w:val="22"/>
          <w:szCs w:val="22"/>
          <w:color w:val="auto"/>
        </w:rPr>
      </w:pPr>
    </w:p>
    <w:p>
      <w:pPr>
        <w:ind w:right="500" w:firstLine="8"/>
        <w:spacing w:after="0" w:line="236" w:lineRule="auto"/>
        <w:tabs>
          <w:tab w:leader="none" w:pos="6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Corporation may solicit against, and include in the proxy materials its own statement relating to, any Nominee.</w:t>
      </w:r>
    </w:p>
    <w:p>
      <w:pPr>
        <w:spacing w:after="0" w:line="150" w:lineRule="exact"/>
        <w:rPr>
          <w:rFonts w:ascii="Times New Roman" w:cs="Times New Roman" w:eastAsia="Times New Roman" w:hAnsi="Times New Roman"/>
          <w:sz w:val="22"/>
          <w:szCs w:val="22"/>
          <w:color w:val="auto"/>
        </w:rPr>
      </w:pPr>
    </w:p>
    <w:p>
      <w:pPr>
        <w:ind w:right="320" w:firstLine="8"/>
        <w:spacing w:after="0" w:line="225" w:lineRule="auto"/>
        <w:tabs>
          <w:tab w:leader="none" w:pos="6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As provided in Article III, Section 2(e), Rule 14a-19 promulgated under the Exchange Act, and (B)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provides the exclusive method for a stockholder to include nominees for election to the Board of Directors in the Corporation’s proxy materials (including, without limitation, any proxy card or written ballot).</w:t>
      </w:r>
    </w:p>
    <w:p>
      <w:pPr>
        <w:spacing w:after="0" w:line="152" w:lineRule="exact"/>
        <w:rPr>
          <w:rFonts w:ascii="Times New Roman" w:cs="Times New Roman" w:eastAsia="Times New Roman" w:hAnsi="Times New Roman"/>
          <w:sz w:val="22"/>
          <w:szCs w:val="22"/>
          <w:color w:val="auto"/>
        </w:rPr>
      </w:pPr>
    </w:p>
    <w:p>
      <w:pPr>
        <w:ind w:right="400" w:firstLine="8"/>
        <w:spacing w:after="0" w:line="225" w:lineRule="auto"/>
        <w:tabs>
          <w:tab w:leader="none" w:pos="64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interpretation of, and compliance with, any provision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including the representations, warranties and covenants contained herein, shall be determined by the Board of Directors or, in the discretion of the Board of Directors, one or more of its designees, in each case acting in good faith.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Meetings of Directors</w:t>
      </w:r>
    </w:p>
    <w:p>
      <w:pPr>
        <w:spacing w:after="0" w:line="151"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Annual Meeting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After each annual election of Directors, the newly elected Board of Directors may meet for the purpose of organization, the election of Officers, and the transaction of other business, at such place and time as shall be fixed by the newly elected Board of Directors at the annual meeting, and, if a majority of the newly elected Board of Directors be present at such place and time, no prior notice of such meeting shall be required to be given to the newly elected Board of Directors. The place and time of such meeting may also be fixed by written consent of the newly elected Board of Directors.</w:t>
      </w:r>
    </w:p>
    <w:p>
      <w:pPr>
        <w:spacing w:after="0" w:line="147"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Regular Meetings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Meetings of the Board of Directors shall be held on such dates and at such times and places as may be determined by the Board of Directors from time to time. No notice need be given of any regular meeting.</w:t>
      </w:r>
    </w:p>
    <w:p>
      <w:pPr>
        <w:spacing w:after="0" w:line="146"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Special Meetings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Special meetings of the Directors may be called individually by the Chairman of the Board, the Chief Executive Officer or by the Chairman upon the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232" w:name="page233"/>
    <w:bookmarkEnd w:id="232"/>
    <w:p>
      <w:pPr>
        <w:ind w:right="320"/>
        <w:spacing w:after="0" w:line="231" w:lineRule="auto"/>
        <w:rPr>
          <w:sz w:val="20"/>
          <w:szCs w:val="20"/>
          <w:color w:val="auto"/>
        </w:rPr>
      </w:pPr>
      <w:r>
        <w:rPr>
          <w:rFonts w:ascii="Times New Roman" w:cs="Times New Roman" w:eastAsia="Times New Roman" w:hAnsi="Times New Roman"/>
          <w:sz w:val="21"/>
          <w:szCs w:val="21"/>
          <w:color w:val="auto"/>
        </w:rPr>
        <w:t>request of two or more Directors. Notice thereof stating the place, date and hour of the special meeting shall be given to each Director either by mail or overnight courier not less than 48 hours before the hour provided for the start of such meeting, by telephone or electronic means not less than 24 hours before the hour provided for the start of such meeting, or on such shorter notice as the person or persons calling such meeting may deem necessary or appropriate in the circumstances.</w:t>
      </w:r>
    </w:p>
    <w:p>
      <w:pPr>
        <w:spacing w:after="0" w:line="1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Location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Meetings of the Directors, both regular and special, may be held within or without the State of Delaware at such place as is indicated in the notice thereof.</w:t>
      </w:r>
    </w:p>
    <w:p>
      <w:pPr>
        <w:spacing w:after="0" w:line="146"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Quorum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Except as otherwise required by applicable law, the Certificate of Incorporation or these Bylaws, at all meetings of the Board of Directors, (i) a majority of the entire Board of Directors shall constitute a quorum for the transaction of business and (ii)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of the time and place of the adjourned meeting, until a quorum shall be present.</w:t>
      </w:r>
    </w:p>
    <w:p>
      <w:pPr>
        <w:spacing w:after="0" w:line="14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Organization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At each meeting of the Board of Directors, the Chairman of the Board, or, in his or her absence, the Lead Independent Director, shall act as chairman. The Secretary of the Corporation shall act as secretary at each meeting of the Board of Directors. In case the Secretary shall be absent from any meeting of the Board of Directors, the chairman of the meeting may appoint any person to act as secretary of the meeting.</w:t>
      </w:r>
    </w:p>
    <w:p>
      <w:pPr>
        <w:spacing w:after="0" w:line="148"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i w:val="1"/>
          <w:iCs w:val="1"/>
          <w:u w:val="single" w:color="auto"/>
          <w:color w:val="auto"/>
        </w:rPr>
        <w:t>Actions of the Board by Written Consent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Unless otherwise provided in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or by electronic transmission, and the writing or writings or electronic transmission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48"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u w:val="single" w:color="auto"/>
          <w:color w:val="auto"/>
        </w:rPr>
        <w:t>Meetings by Means of Conference Telephone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Unless otherwise provided in the Certificate of Incorporation or these Bylaws, members of the Board of Directors,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constitute presence in person at such meeting.</w:t>
      </w:r>
    </w:p>
    <w:p>
      <w:pPr>
        <w:spacing w:after="0" w:line="13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ind w:left="5080"/>
        <w:spacing w:after="0"/>
        <w:rPr>
          <w:sz w:val="20"/>
          <w:szCs w:val="20"/>
          <w:color w:val="auto"/>
        </w:rPr>
      </w:pPr>
      <w:r>
        <w:rPr>
          <w:rFonts w:ascii="Times New Roman" w:cs="Times New Roman" w:eastAsia="Times New Roman" w:hAnsi="Times New Roman"/>
          <w:sz w:val="22"/>
          <w:szCs w:val="22"/>
          <w:b w:val="1"/>
          <w:bCs w:val="1"/>
          <w:u w:val="single" w:color="auto"/>
          <w:color w:val="auto"/>
        </w:rPr>
        <w:t>Committees</w:t>
      </w:r>
    </w:p>
    <w:p>
      <w:pPr>
        <w:spacing w:after="0" w:line="151"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Creation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Board of Directors may, by resolution or resolutions passed by a majority of the Board of Directors then in office, designate one or more committees each to consist of one or more Directors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executive or other committee of general delegation may be designated by the Board of Directors unless the Chairman and the Chief Executive Officer are each a member thereof.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395" w:right="379" w:bottom="1440" w:gutter="0" w:footer="0" w:header="0"/>
        </w:sectPr>
      </w:pPr>
    </w:p>
    <w:bookmarkStart w:id="233" w:name="page234"/>
    <w:bookmarkEnd w:id="233"/>
    <w:p>
      <w:pPr>
        <w:ind w:right="100"/>
        <w:spacing w:after="0" w:line="213" w:lineRule="auto"/>
        <w:rPr>
          <w:sz w:val="20"/>
          <w:szCs w:val="20"/>
          <w:color w:val="auto"/>
        </w:rPr>
      </w:pPr>
      <w:r>
        <w:rPr>
          <w:rFonts w:ascii="Times New Roman" w:cs="Times New Roman" w:eastAsia="Times New Roman" w:hAnsi="Times New Roman"/>
          <w:sz w:val="22"/>
          <w:szCs w:val="22"/>
          <w:color w:val="auto"/>
        </w:rPr>
        <w:t>member or members constitute a quorum, may unanimously appoint another member of the Board of Directors to act at the meeting in the place of any absent or disqualified member. Each Committee, to the extent permitted by applicable law and provided in the resolution establishing the Committee shall have and may exercise such powers, duties and authority in the management of the business and affairs of the Corporation as shall be delegated to it by the Board of Directors except that no such Committee shall have power to (i) approve or adopt, or recommend to the stockholders, any action or matter (other than the election or removal of Directors) expressly required by law to be submitted to stockholders for approval, or (ii) adopt, amend or repeal any Bylaw of the Corporation.</w:t>
      </w:r>
    </w:p>
    <w:p>
      <w:pPr>
        <w:spacing w:after="0" w:line="152" w:lineRule="exact"/>
        <w:rPr>
          <w:sz w:val="20"/>
          <w:szCs w:val="20"/>
          <w:color w:val="auto"/>
        </w:rPr>
      </w:pPr>
    </w:p>
    <w:p>
      <w:pPr>
        <w:jc w:val="both"/>
        <w:ind w:right="40"/>
        <w:spacing w:after="0" w:line="22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Committee Procedure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such Committee established by the Board of Directors shall meet at stated times or on notice to all members by any member of such Committee. Each such Committee shall establish its own rules of procedure. Each such Committee shall keep regular minutes of its proceedings and report the same to the Board of Directors.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151" w:lineRule="exact"/>
        <w:rPr>
          <w:sz w:val="20"/>
          <w:szCs w:val="20"/>
          <w:color w:val="auto"/>
        </w:rPr>
      </w:pPr>
    </w:p>
    <w:p>
      <w:pPr>
        <w:ind w:right="40"/>
        <w:spacing w:after="0" w:line="20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Power to Indemnify in Actions, Suits or Proceedings other than Those by or in the Right of the Corporation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56"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Power to Indemnify in Actions, Suits or Proceedings by or in the Right of the Corporation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and reasonably entitled to indemnity for such expenses which the Court of Chancery or such other court shall deem proper.</w:t>
      </w:r>
    </w:p>
    <w:p>
      <w:pPr>
        <w:spacing w:after="0" w:line="175"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Authorization of Indemnification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Any indemnification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4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i w:val="1"/>
          <w:iCs w:val="1"/>
          <w:u w:val="single" w:color="auto"/>
          <w:color w:val="auto"/>
        </w:rPr>
        <w:t>Good Faith Defined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For purposes of any determination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officers of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not be deemed to be exclusive or to limit in any way the circumstances in which a person may be deemed to have met the applicable standard of conduct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as the case may be.</w:t>
      </w:r>
    </w:p>
    <w:p>
      <w:pPr>
        <w:spacing w:after="0" w:line="152"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u w:val="single" w:color="auto"/>
          <w:color w:val="auto"/>
        </w:rPr>
        <w:t>Indemnification by a Court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Notwithstanding any contrary determination in the specific case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The basis of such indemnification by a court shall be a determination by such court that indemnification of the Director or Officer is proper in the circumstances because such person has met the applicable standard of conduct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as the case may be. Neither a contrary determination in the specific case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nor the absence of any determination thereunder shall be a defense to such application or create a presumption that the Director or Officer seeking indemnification has not met any applicable standard of conduct. Notice of any application for indemnification pursuant to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46" w:lineRule="exact"/>
        <w:rPr>
          <w:sz w:val="20"/>
          <w:szCs w:val="20"/>
          <w:color w:val="auto"/>
        </w:rPr>
      </w:pPr>
    </w:p>
    <w:p>
      <w:pPr>
        <w:ind w:right="680"/>
        <w:spacing w:after="0" w:line="23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Expenses Payable in Advance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applicable law, expenses (including attorneys’ fees) incurred by a current or former Director or Officer of the Corporation,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235" w:name="page236"/>
    <w:bookmarkEnd w:id="235"/>
    <w:p>
      <w:pPr>
        <w:ind w:right="80"/>
        <w:spacing w:after="0" w:line="213" w:lineRule="auto"/>
        <w:rPr>
          <w:sz w:val="20"/>
          <w:szCs w:val="20"/>
          <w:color w:val="auto"/>
        </w:rPr>
      </w:pPr>
      <w:r>
        <w:rPr>
          <w:rFonts w:ascii="Times New Roman" w:cs="Times New Roman" w:eastAsia="Times New Roman" w:hAnsi="Times New Roman"/>
          <w:sz w:val="22"/>
          <w:szCs w:val="22"/>
          <w:color w:val="auto"/>
        </w:rPr>
        <w:t xml:space="preserve">current or former Director or Officer serving at the request of the Corporation as a director, officer, employee or agent of another corporation, partnership, joint venture, trust or other enterprise, in defending any civil, criminal, administrative or investigative action, suit or proceeding shall be paid by the Corporation in advance of the final disposition of such action, suit or proceeding upon receipt of an undertaking by or on behalf of such person to repay such amount if it shall ultimately be determined that such person is not entitled to be indemnified by the Corporation as authorized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Subject to applicable law, such expenses (including attorneys’ fees) incurred by other employees and agents may be so paid upon such terms and conditions, if any, as the Corporation deems appropriate.</w:t>
      </w:r>
    </w:p>
    <w:p>
      <w:pPr>
        <w:spacing w:after="0" w:line="152"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u w:val="single" w:color="auto"/>
          <w:color w:val="auto"/>
        </w:rPr>
        <w:t>Nonexclusivity of Indemnification and Advancement of Expenses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indemnification and advancement of expenses provided by, or granted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be made to the fullest extent permitted by law.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not be deemed to preclude the indemnification of any person who is not specified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but whom the Corporation has the power or obligation to indemnify under the provisions of the DGCL, or otherwise, including pursuant to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u w:val="single" w:color="auto"/>
          <w:color w:val="auto"/>
        </w:rPr>
        <w:t>Insurance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Corporation shall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i w:val="1"/>
          <w:iCs w:val="1"/>
          <w:u w:val="single" w:color="auto"/>
          <w:color w:val="auto"/>
        </w:rPr>
        <w:t>Certain Definitions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395" w:right="359" w:bottom="1440" w:gutter="0" w:footer="0" w:header="0"/>
        </w:sectPr>
      </w:pPr>
    </w:p>
    <w:bookmarkStart w:id="236" w:name="page237"/>
    <w:bookmarkEnd w:id="236"/>
    <w:p>
      <w:pPr>
        <w:ind w:right="100"/>
        <w:spacing w:after="0" w:line="22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u w:val="single" w:color="auto"/>
          <w:color w:val="auto"/>
        </w:rPr>
        <w:t>Survival of Indemnification and Advancement of Expenses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indemnification and advancement of expenses provided by, or granted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continue as to a person who has ceased to be a Director or Officer of the Corporation and shall inure to the benefit of the heirs, executors and administrators of such a person.</w:t>
      </w:r>
    </w:p>
    <w:p>
      <w:pPr>
        <w:spacing w:after="0" w:line="146"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u w:val="single" w:color="auto"/>
          <w:color w:val="auto"/>
        </w:rPr>
        <w:t>Limitation on Indemnification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anything contained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the contrary, except for proceedings to enforce rights to indemnification (which shall be governed by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 Corporation shall not be obligated to indemnify any current or former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47"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i w:val="1"/>
          <w:iCs w:val="1"/>
          <w:u w:val="single" w:color="auto"/>
          <w:color w:val="auto"/>
        </w:rPr>
        <w:t>Indemnification of Employees and Agents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Directors and Officers of the Corporation.</w:t>
      </w:r>
    </w:p>
    <w:p>
      <w:pPr>
        <w:spacing w:after="0" w:line="146"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i w:val="1"/>
          <w:iCs w:val="1"/>
          <w:u w:val="single" w:color="auto"/>
          <w:color w:val="auto"/>
        </w:rPr>
        <w:t>Amendment or Repeal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the Corporation intends to be legally bound to each such current or former Director or Officer of the Corporation. With respect to current and former Directors and Officers of the Corporation, the rights conferred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151"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General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Officers of the Corporation shall be chosen by the Board of Directors and shall be a Chairman of the Board, a Lead Independent Director, a Chief Executive Officer, a President, one or more Vice Presidents, a Secretary, a Treasurer and such other Officers as may from time to time be chosen by the Board of Directors. The Chief Executive Officer shall be empowered to appoint and remove from office, at his or her discretion, Assistant Vice Presidents and Assistant Secretaries. Any number of offices may be held by the same person, unless prohibited by applicable law, the Certificate of Incorporation or these Bylaws. The Officers of the Corporation need not be stockholders of the Corporation nor, except in the case of the Chairman of the Board and the Lead Independent Director, need such Officers be Directors of the Corporation.</w:t>
      </w:r>
    </w:p>
    <w:p>
      <w:pPr>
        <w:spacing w:after="0" w:line="14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i w:val="1"/>
          <w:iCs w:val="1"/>
          <w:u w:val="single" w:color="auto"/>
          <w:color w:val="auto"/>
        </w:rPr>
        <w:t>Election; Term; Vacancies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each Officer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1" w:right="339" w:bottom="1440" w:gutter="0" w:footer="0" w:header="0"/>
        </w:sectPr>
      </w:pPr>
    </w:p>
    <w:bookmarkStart w:id="237" w:name="page238"/>
    <w:bookmarkEnd w:id="237"/>
    <w:p>
      <w:pPr>
        <w:ind w:right="40"/>
        <w:spacing w:after="0" w:line="231" w:lineRule="auto"/>
        <w:rPr>
          <w:sz w:val="20"/>
          <w:szCs w:val="20"/>
          <w:color w:val="auto"/>
        </w:rPr>
      </w:pPr>
      <w:r>
        <w:rPr>
          <w:rFonts w:ascii="Times New Roman" w:cs="Times New Roman" w:eastAsia="Times New Roman" w:hAnsi="Times New Roman"/>
          <w:sz w:val="21"/>
          <w:szCs w:val="21"/>
          <w:color w:val="auto"/>
        </w:rPr>
        <w:t>shall hold office until such Officer’s successor is elected and qualified, or until such Officer’s earlier death, resignation or removal. Any Officer chosen or appointed by the Board of Directors may be removed either with or without cause at any time by the affirmative vote of a majority of the entire Board of Directors. If the office of any Officer other than an assistant Officer becomes vacant for any reason, the vacancy shall be filled by the affirmative vote of a majority of the entire Board of Directors.</w:t>
      </w:r>
    </w:p>
    <w:p>
      <w:pPr>
        <w:spacing w:after="0" w:line="14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Chairman of the Board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Chairman of the Board shall be chosen from among the Directors. The Chairman of the Board shall preside at all meetings of the stockholders and the Board of Directors at which he or she shall be present. The Chairman of the Board shall also perform such other duties and may exercise such other powers as may from time to time be assigned to such Director by these Bylaws or by the Board of Directors.</w:t>
      </w:r>
    </w:p>
    <w:p>
      <w:pPr>
        <w:spacing w:after="0" w:line="148"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Lead Independent Director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One of the Independent Directors shall be designated by the Independent Directors to serve as Lead Independent Director until replaced by the Independent Directors. The Lead Independent Director will, with the Chairman of the Board of Directors, establish the agenda for regular Board meetings and serve as chairman of Board of Directors meetings in the absence of the Chairman of the Board of Directors; establish the agenda for meetings of the Independent Directors; coordinate the activities of the other Independent Directors; and perform such other duties as may be established or delegated by the Board of Directors. An “Independent Director” means a person who satisfies the requirements for independence under the applicable provisions, as then in effect, of the principal stock exchange on which the Corporation’s common stock is listed for trading and such additional requirements as may be established by the Board of Directors.</w:t>
      </w:r>
    </w:p>
    <w:p>
      <w:pPr>
        <w:spacing w:after="0" w:line="148" w:lineRule="exact"/>
        <w:rPr>
          <w:sz w:val="20"/>
          <w:szCs w:val="20"/>
          <w:color w:val="auto"/>
        </w:rPr>
      </w:pPr>
    </w:p>
    <w:p>
      <w:pPr>
        <w:ind w:right="600"/>
        <w:spacing w:after="0" w:line="23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Vice Chairman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Board of Directors may designate one or more Vice Chairmen who shall, subject to the control of the Board of Directors, perform such duties as may be prescribed by the Board of Directors.</w:t>
      </w:r>
    </w:p>
    <w:p>
      <w:pPr>
        <w:spacing w:after="0" w:line="146"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i w:val="1"/>
          <w:iCs w:val="1"/>
          <w:u w:val="single" w:color="auto"/>
          <w:color w:val="auto"/>
        </w:rPr>
        <w:t>Chief Executive Officer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Chief Executive Officer shall, subject to the control of the Board of Directors, have responsibility for the general and active management of the business of the Corporation and shall have the general powers and duties of management usually vested in the Chief Executive Officer of a corporation. The Chief Executive Officer shall see that all orders and resolutions of the Board of Directors are carried into effect and shall implement the general directives, plans and policies formulated by the Board of Directors. The Chief Executive Officer may employ and discharge employees and agents of the Corporation, except such as shall be appointed by the Board of Directors, and he or she may delegate these powers. In the absence or disability of the Chairman of the Board, the Chief Executive Officer shall preside at all meetings of the stockholders. Except where by law the signature of the President is required, the Chief Executive Officer shall exercise all the powers and discharge all the duties of the President. The Chief Executive Officer shall also perform such other duties and may exercise such other powers as may from time to time be assigned to such Officer by these Bylaws or by the Board of Directors.</w:t>
      </w:r>
    </w:p>
    <w:p>
      <w:pPr>
        <w:spacing w:after="0" w:line="152"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u w:val="single" w:color="auto"/>
          <w:color w:val="auto"/>
        </w:rPr>
        <w:t>President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President shall have such responsibilities and authority as determined by these Bylaws or by the Board of Directors of the Corporation.</w:t>
      </w:r>
    </w:p>
    <w:p>
      <w:pPr>
        <w:spacing w:after="0" w:line="146"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u w:val="single" w:color="auto"/>
          <w:color w:val="auto"/>
        </w:rPr>
        <w:t>Chief Financial Officer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Chief Financial Officer shall, subject to the control of the Board of Directors, have responsibility for the financial management of the Corporation. The Chief Financial Officer shall have such powers and perform such duties as from time to time may be assigned to him or her by the Board of the Directors or by the Chief Executive Officer. The Chief Financial Officer shall keep and maintain, or cause to be kept and maintained, adequate and correct books and records of the Corporation, using appropriate accounting principles; have supervision over and be responsible for the financial affairs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00"/>
          </w:cols>
          <w:pgMar w:left="320" w:top="1395" w:right="379" w:bottom="1440" w:gutter="0" w:footer="0" w:header="0"/>
        </w:sectPr>
      </w:pPr>
    </w:p>
    <w:bookmarkStart w:id="238" w:name="page239"/>
    <w:bookmarkEnd w:id="238"/>
    <w:p>
      <w:pPr>
        <w:ind w:right="100"/>
        <w:spacing w:after="0" w:line="231" w:lineRule="auto"/>
        <w:rPr>
          <w:sz w:val="20"/>
          <w:szCs w:val="20"/>
          <w:color w:val="auto"/>
        </w:rPr>
      </w:pPr>
      <w:r>
        <w:rPr>
          <w:rFonts w:ascii="Times New Roman" w:cs="Times New Roman" w:eastAsia="Times New Roman" w:hAnsi="Times New Roman"/>
          <w:sz w:val="21"/>
          <w:szCs w:val="21"/>
          <w:color w:val="auto"/>
        </w:rPr>
        <w:t>cause to be kept at the principal executive office of the Corporation and preserved for review as required by law or regulation all financial records of the Corporation; be responsible for the establishment of adequate internal control over the transactions and books of account of the Corporation; and be responsible for rendering to the proper Officers and the Board of Directors upon request, and to the stockholders and other parties as required by law or regulation, financial statements of the Corporation.</w:t>
      </w:r>
    </w:p>
    <w:p>
      <w:pPr>
        <w:spacing w:after="0" w:line="146"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i w:val="1"/>
          <w:iCs w:val="1"/>
          <w:u w:val="single" w:color="auto"/>
          <w:color w:val="auto"/>
        </w:rPr>
        <w:t>Vice President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Vice President or Vice Presidents, in the order designated by the Board of Directors, shall be vested with all the powers and required to perform all the duties of the President in his or her absence or disability and shall perform such other duties as may be prescribed by the Board of Directors.</w:t>
      </w:r>
    </w:p>
    <w:p>
      <w:pPr>
        <w:spacing w:after="0" w:line="146"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u w:val="single" w:color="auto"/>
          <w:color w:val="auto"/>
        </w:rPr>
        <w:t>Secretary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Secretary shall perform all the duties commonly incident to his or her office, and keep accurate minutes of all meetings of the stockholders, the Board of Directors and the Committees of the Board of Directors, recording all the proceedings of such meetings in a book or books to be kept for that purpose. He or she shall give, or cause to be given, proper notice of meetings of stockholders and the Board of Directors. If the Secretary shall be unable or shall refuse to cause to be given notice of all meetings of the stockholders and meetings of the Board of Directors, then either the Board of Directors or the Chief Executive Officer may choose another Officer to cause such notice to be given. The Secretary shall have custody of the seal of the Corporation and the Secretary shall have authority to affix the same to any instrument requiring it and when so affixed, it may be attested by the signature of the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 and shall perform such other duties as the Board of Directors shall designate.</w:t>
      </w:r>
    </w:p>
    <w:p>
      <w:pPr>
        <w:spacing w:after="0" w:line="157"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u w:val="single" w:color="auto"/>
          <w:color w:val="auto"/>
        </w:rPr>
        <w:t>Treasurer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Treasurer may be the Chief Financial Officer of the Corporation. The Treasurer shall have custody of the funds and securities of the Corporation and shall keep full and accurate accounts of receipts and disbursements in books belonging to the Corporation and shall deposit all monies and other valuable effects in the name and to the credit of the Corporation in such depositories as may be designated by the Board of Directors. He or she shall disburse the funds of the Corporation as may be ordered by the Board of Directors, Chief Executive Officer or Chief Financial Officer, taking proper vouchers for such disbursements, and shall render to the Chief Executive Officer or Chief Financial Officer and the Board of Directors, at its regular meetings, or whenever the Board of Directors may require it, an account of all his or her transactions as Treasurer and of the financial condition of the Corporation. Until such time as a controller may be elected by the Board of Directors, the Treasurer shall also maintain adequate records of all assets, liabilities and transactions of the Corporation and shall see that adequate audits thereof are currently and regularly made. The Treasurer shall cause to be prepared, compiled and filed such reports, statements, statistics and other data as may be required by law or prescribed by the Chief Executive Officer or the Chief Financial Officer.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 The Treasurer shall also perform such other duties and may exercise such other powers as may from time to time be assigned to such Officer by these Bylaws or by the Board of Directors, the Chief Executive Officer or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20" w:top="1395" w:right="359" w:bottom="1440" w:gutter="0" w:footer="0" w:header="0"/>
        </w:sectPr>
      </w:pPr>
    </w:p>
    <w:bookmarkStart w:id="239" w:name="page240"/>
    <w:bookmarkEnd w:id="239"/>
    <w:p>
      <w:pPr>
        <w:ind w:right="80"/>
        <w:spacing w:after="0" w:line="238"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i w:val="1"/>
          <w:iCs w:val="1"/>
          <w:u w:val="single" w:color="auto"/>
          <w:color w:val="auto"/>
        </w:rPr>
        <w:t>Other Officers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46"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i w:val="1"/>
          <w:iCs w:val="1"/>
          <w:u w:val="single" w:color="auto"/>
          <w:color w:val="auto"/>
        </w:rPr>
        <w:t>Voting Securities Owned by the Corporation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Powers of attorney, proxies, waivers of notice of meeting, consents and other instruments relating to securities owned by the Corporation may be executed in the name of and on behalf of the Corporation by the Chairman of the Board, Chief Executive Officer, President, Chief Financial Officer,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Stock</w:t>
      </w:r>
    </w:p>
    <w:p>
      <w:pPr>
        <w:spacing w:after="0" w:line="15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i w:val="1"/>
          <w:iCs w:val="1"/>
          <w:u w:val="single" w:color="auto"/>
          <w:color w:val="auto"/>
        </w:rPr>
        <w:t>Certificates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Board of Directors of the Corporation may provide by resolution or resolutions that some or all of any or all classes or series of its capital stock shall be uncertificated shares. Any such resolution shall not apply to shares represented by a certificate until such certificate is surrendered to the Corporation. To the extent certificates are issued, every holder of certificated shares of stock in the Corporation shall be entitled to have a stock certificate signed by, or in the name of, the Corporation (i) by the Chairman of the Board, the President or a Vice President and (ii) by the Treasurer or an Assistant Treasurer, or the Secretary or an Assistant Secretary of the Corporation, certifying the number of shares owned by such stockholder in the Corporation. Any or all of the signatures on a stock certificate may be a facsimile, either engraved or printed. The Board of Directors may from time to time appoint and maintain one or more transfer agents and registrars of transfers, which may be the same agency or agencies, and may require all certificates to bear the signatures of one (1) of such transfer agents and one (1) of such registrars of transfers, or as the Board of Directors may otherwise direct. The stock certificates of the Corporation, if any, shall bear the seal of the Corporation or shall bear a facsimile of such seal engraved or printed.</w:t>
      </w:r>
    </w:p>
    <w:p>
      <w:pPr>
        <w:spacing w:after="0" w:line="150"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2"/>
          <w:szCs w:val="22"/>
          <w:color w:val="auto"/>
        </w:rPr>
        <w:t>In case any Officer, transfer agent or registrar who has signed, or whose facsimile signature or signatures have been used on, any certificate or certificates of stock, shall have ceased to be an Officer, transfer agent or registrar, whether because of death, resignation or otherwise, before such certificate or certificates is issued and delivered by the Corporation, such certificate or certificates may nevertheless be issued and delivered by the Corporation with the same effect as if such person were such Officer, transfer agent or registrar at the date of issue.</w:t>
      </w:r>
    </w:p>
    <w:p>
      <w:pPr>
        <w:spacing w:after="0" w:line="148"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Lost Certificates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 certificate of stock is lost, stolen or destroyed, the Board of Directors may, at its discretion, direct a new certificate or uncertificated shares to be issued by the Corporation in its stead upon the making of an affidavit of that fact by the person claiming the certificate of stock to be lost, stolen or destroyed and the giving of a satisfactory bond of indemnity, in an amount sufficient to indemnify the Corporation against any claim that may be made against the Corporation on account of the alleged loss, theft or destruction of such certificate or the issuance of such new certificate or uncertificated shares. A certificate or uncertificated shares may be issued without requiring bond when, in the judgment of the Board of Directors, it is proper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1" w:right="339" w:bottom="1440" w:gutter="0" w:footer="0" w:header="0"/>
        </w:sectPr>
      </w:pPr>
    </w:p>
    <w:bookmarkStart w:id="240" w:name="page241"/>
    <w:bookmarkEnd w:id="240"/>
    <w:p>
      <w:pPr>
        <w:ind w:right="80"/>
        <w:spacing w:after="0" w:line="222"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u w:val="single" w:color="auto"/>
          <w:color w:val="auto"/>
        </w:rPr>
        <w:t>Transfers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Stock of the Corporation shall be transferable in the manner prescribed by applicable law and in these Bylaws. Transfers of stock shall be made on the books of the Corporation only by the person named in the stock records of the Corporation or by such person’s attorney lawfully constituted in writing and upon the surrender of any certificate therefor, properly endorsed for transfer (or by delivery of duly executed instructions with respect to uncertificated shares) and payment of all necessary transfer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surrender and endorsement or payment of taxes shall not be required in any case in which the Officers of the Corporation shall determine to waive such requirement. Every certificate exchanged, returned or surrendered to the Corporation shall be marked “Cancelled,” with the date of cancellation, by the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50"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Dividend Record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49"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Stockholders of Record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Notices</w:t>
      </w:r>
    </w:p>
    <w:p>
      <w:pPr>
        <w:spacing w:after="0" w:line="15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i w:val="1"/>
          <w:iCs w:val="1"/>
          <w:u w:val="single" w:color="auto"/>
          <w:color w:val="auto"/>
        </w:rPr>
        <w:t>Notices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Whenever written notice is required by law, the Certificate of Incorporation or these Bylaws, to be given to any stockholder, such notice may be given by mail, addressed to such stockholder, at such person’s address as it appears on the records of the Corporation, with postage thereon prepaid, and such notice shall be deemed to be given at the time when the same shall be deposited in the United States mail. Without limiting the manner by which notice otherwise may be given effectively to stockholders, any notice to stockholders given by the Corporation under applicable law, the Certificate of Incorporation or these Bylaws shall be effective if given by a form of electronic transmission if consented to by the stockholder to whom the notice is given. Any such consent shall be revocable by the stockholder by written notice to the Corporation. Any such consent shall be deemed to be revoked if (i) the Corporation is unable to deliver by electronic transmission two consecutive notices by the Corporation in accordance with such consent, and (ii) such inability becomes known to the Secretary of the Corporation or to the transfer agent, or other person responsible for the giving of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inadvertent failure to treat such inability as a revocation shall not invalidate any meeting or other action. Notice given by electronic transmission, as described above,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391" w:right="359" w:bottom="1440" w:gutter="0" w:footer="0" w:header="0"/>
        </w:sectPr>
      </w:pPr>
    </w:p>
    <w:bookmarkStart w:id="241" w:name="page242"/>
    <w:bookmarkEnd w:id="241"/>
    <w:p>
      <w:pPr>
        <w:ind w:right="120"/>
        <w:spacing w:after="0" w:line="236" w:lineRule="auto"/>
        <w:rPr>
          <w:sz w:val="20"/>
          <w:szCs w:val="20"/>
          <w:color w:val="auto"/>
        </w:rPr>
      </w:pPr>
      <w:r>
        <w:rPr>
          <w:rFonts w:ascii="Times New Roman" w:cs="Times New Roman" w:eastAsia="Times New Roman" w:hAnsi="Times New Roman"/>
          <w:sz w:val="22"/>
          <w:szCs w:val="22"/>
          <w:color w:val="auto"/>
        </w:rPr>
        <w:t>Directors or Committee members may be given personally, by mail as described above, or by telegram, telex, cable or by means of electronic transmission.</w:t>
      </w:r>
    </w:p>
    <w:p>
      <w:pPr>
        <w:spacing w:after="0" w:line="146" w:lineRule="exact"/>
        <w:rPr>
          <w:sz w:val="20"/>
          <w:szCs w:val="20"/>
          <w:color w:val="auto"/>
        </w:rPr>
      </w:pPr>
    </w:p>
    <w:p>
      <w:pPr>
        <w:ind w:right="80"/>
        <w:spacing w:after="0" w:line="21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Waivers of Notice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X</w:t>
      </w: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151"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Fiscal Year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fiscal year of the Corporation shall begin the first day of January and end on the 31st day of December of each year.</w:t>
      </w:r>
    </w:p>
    <w:p>
      <w:pPr>
        <w:spacing w:after="0" w:line="146"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Dividends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hereof) and may be paid in cash, in property or in shares of the Corporation’s capital stock. Before payment of any dividend, the Directors may set apart out of any of the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 or reserves.</w:t>
      </w:r>
    </w:p>
    <w:p>
      <w:pPr>
        <w:spacing w:after="0" w:line="14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Disbursements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checks, drafts, demands or orders for the payment of money and notes of the Corporation shall be signed by the Chief Financial Officer, Treasurer or by such other Officer, Officers, person or persons as the Board of Directors may from time to time designate.</w:t>
      </w:r>
    </w:p>
    <w:p>
      <w:pPr>
        <w:spacing w:after="0" w:line="146"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Corporate Seal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corporate seal shall be in such form as determined from time to time by resolution of the Board of Directors. The seal may be used by causing it or a facsimile thereof to be impressed or affixed or reproduced or otherwise.</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XI</w:t>
      </w: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to Bylaws</w:t>
      </w:r>
    </w:p>
    <w:p>
      <w:pPr>
        <w:spacing w:after="0" w:line="155" w:lineRule="exact"/>
        <w:rPr>
          <w:sz w:val="20"/>
          <w:szCs w:val="20"/>
          <w:color w:val="auto"/>
        </w:rPr>
      </w:pPr>
    </w:p>
    <w:p>
      <w:pPr>
        <w:jc w:val="both"/>
        <w:ind w:right="200"/>
        <w:spacing w:after="0" w:line="217" w:lineRule="auto"/>
        <w:rPr>
          <w:sz w:val="20"/>
          <w:szCs w:val="20"/>
          <w:color w:val="auto"/>
        </w:rPr>
      </w:pPr>
      <w:r>
        <w:rPr>
          <w:rFonts w:ascii="Times New Roman" w:cs="Times New Roman" w:eastAsia="Times New Roman" w:hAnsi="Times New Roman"/>
          <w:sz w:val="22"/>
          <w:szCs w:val="22"/>
          <w:color w:val="auto"/>
        </w:rPr>
        <w:t xml:space="preserve">Subject to the provisions of the Certificate of Incorporation, these Bylaws may be altered, amended or repealed, in whole or in part, or new Bylaws may be adopted by the stockholders or by the Board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notice of such alteration, amendment, repeal or adoption of new Bylaws be contained in the notice of such meeting of the stockholders or the Board of Directors, as the case may be. All such amendments must be approved by a majority of the Board of Directors then in office or by the affirmative vote of the holders of at least 80%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00"/>
          </w:cols>
          <w:pgMar w:left="320" w:top="1395" w:right="3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the voting power of the outstanding shares of capital stock entitled to vote for the election of Directors.</w:t>
      </w:r>
    </w:p>
    <w:p>
      <w:pPr>
        <w:spacing w:after="0" w:line="16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XII</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Certificate of Incorporation to Govern</w:t>
      </w:r>
    </w:p>
    <w:p>
      <w:pPr>
        <w:spacing w:after="0" w:line="15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Notwithstanding anything to the contrary herein, in the event any provision contained herein is inconsistent with or conflicts with a provision of the Certificate of Incorporation, such provision herein shall be superseded by the inconsistent provision in the Certificate of Incorporation, to the extent necessary to give effect to such provision in the Certificate of Incorporation.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XIII</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Limitations of Ownership by Non-Citizens</w:t>
      </w:r>
    </w:p>
    <w:p>
      <w:pPr>
        <w:spacing w:after="0" w:line="151"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Equity Securities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(a) capital stock of, or other equity interests in, the Corporation, (b) securities convertible into or exchangeable for shares of capital stock, voting securities or other equity interests in the Corporation, or (c) options, warrants or other rights to acquire the securities described in clauses (a) and (b), whether fixed or contingent, matured or unmatured, contractual, legal, equitable or otherwise (collectively, “</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xml:space="preserve">”) shall be subject to limitations set forth in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i w:val="1"/>
          <w:iCs w:val="1"/>
          <w:u w:val="single" w:color="auto"/>
          <w:color w:val="auto"/>
        </w:rPr>
        <w:t>Non-Citizen Voting and Ownership Limitations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It is the policy of the Corporation that, consistent with the requirements of Subtitle VII of Title 49 of the United States Code, as amended, or as the same may be from time to time amended (the “</w:t>
      </w:r>
      <w:r>
        <w:rPr>
          <w:rFonts w:ascii="Times New Roman" w:cs="Times New Roman" w:eastAsia="Times New Roman" w:hAnsi="Times New Roman"/>
          <w:sz w:val="21"/>
          <w:szCs w:val="21"/>
          <w:u w:val="single" w:color="auto"/>
          <w:color w:val="auto"/>
        </w:rPr>
        <w:t>Aviation Act</w:t>
      </w:r>
      <w:r>
        <w:rPr>
          <w:rFonts w:ascii="Times New Roman" w:cs="Times New Roman" w:eastAsia="Times New Roman" w:hAnsi="Times New Roman"/>
          <w:sz w:val="21"/>
          <w:szCs w:val="21"/>
          <w:color w:val="auto"/>
        </w:rPr>
        <w:t>”), that persons or entities who are not a “citizen of the United States” (as defined in Section 40102(a)(15) of the Aviation Act, in any similar legislation of the United States enacted in substitution or replacement thereof, and as interpreted by the Department of Transportation, its predecessors and successors, from time to time), including any agent, trustee or representative of such persons or entities (each, a “</w:t>
      </w:r>
      <w:r>
        <w:rPr>
          <w:rFonts w:ascii="Times New Roman" w:cs="Times New Roman" w:eastAsia="Times New Roman" w:hAnsi="Times New Roman"/>
          <w:sz w:val="21"/>
          <w:szCs w:val="21"/>
          <w:u w:val="single" w:color="auto"/>
          <w:color w:val="auto"/>
        </w:rPr>
        <w:t>Non-Citizen</w:t>
      </w:r>
      <w:r>
        <w:rPr>
          <w:rFonts w:ascii="Times New Roman" w:cs="Times New Roman" w:eastAsia="Times New Roman" w:hAnsi="Times New Roman"/>
          <w:sz w:val="21"/>
          <w:szCs w:val="21"/>
          <w:color w:val="auto"/>
        </w:rPr>
        <w:t>”), shall not be entitled to own (beneficially or of record) and/or control more than (a) 24.9% of the aggregate votes of all outstanding Equity Securities of the Corporation (the “</w:t>
      </w:r>
      <w:r>
        <w:rPr>
          <w:rFonts w:ascii="Times New Roman" w:cs="Times New Roman" w:eastAsia="Times New Roman" w:hAnsi="Times New Roman"/>
          <w:sz w:val="21"/>
          <w:szCs w:val="21"/>
          <w:u w:val="single" w:color="auto"/>
          <w:color w:val="auto"/>
        </w:rPr>
        <w:t>Voting Cap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or (b) 49.0% of the aggregate number of outstanding shares of Equity Securities of the Corporation (the “</w:t>
      </w:r>
      <w:r>
        <w:rPr>
          <w:rFonts w:ascii="Times New Roman" w:cs="Times New Roman" w:eastAsia="Times New Roman" w:hAnsi="Times New Roman"/>
          <w:sz w:val="21"/>
          <w:szCs w:val="21"/>
          <w:u w:val="single" w:color="auto"/>
          <w:color w:val="auto"/>
        </w:rPr>
        <w:t>Control Cap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in no event shall Non-Citizens who are resident of a country that is not party to an “open-skies” agreement with the United States (the “</w:t>
      </w:r>
      <w:r>
        <w:rPr>
          <w:rFonts w:ascii="Times New Roman" w:cs="Times New Roman" w:eastAsia="Times New Roman" w:hAnsi="Times New Roman"/>
          <w:sz w:val="21"/>
          <w:szCs w:val="21"/>
          <w:u w:val="single" w:color="auto"/>
          <w:color w:val="auto"/>
        </w:rPr>
        <w:t>NOS Non-Citizens</w:t>
      </w:r>
      <w:r>
        <w:rPr>
          <w:rFonts w:ascii="Times New Roman" w:cs="Times New Roman" w:eastAsia="Times New Roman" w:hAnsi="Times New Roman"/>
          <w:sz w:val="21"/>
          <w:szCs w:val="21"/>
          <w:color w:val="auto"/>
        </w:rPr>
        <w:t xml:space="preserve"> ”) be entitled to own (beneficially or of record) and/or control more than 24.9% of the aggregate number of outstanding shares of Equity Securities of the Corporation (the “</w:t>
      </w:r>
      <w:r>
        <w:rPr>
          <w:rFonts w:ascii="Times New Roman" w:cs="Times New Roman" w:eastAsia="Times New Roman" w:hAnsi="Times New Roman"/>
          <w:sz w:val="21"/>
          <w:szCs w:val="21"/>
          <w:u w:val="single" w:color="auto"/>
          <w:color w:val="auto"/>
        </w:rPr>
        <w:t>NOS Cap Amount</w:t>
      </w:r>
      <w:r>
        <w:rPr>
          <w:rFonts w:ascii="Times New Roman" w:cs="Times New Roman" w:eastAsia="Times New Roman" w:hAnsi="Times New Roman"/>
          <w:sz w:val="21"/>
          <w:szCs w:val="21"/>
          <w:color w:val="auto"/>
        </w:rPr>
        <w:t>” and, together with the Control Cap Amount, the “</w:t>
      </w:r>
      <w:r>
        <w:rPr>
          <w:rFonts w:ascii="Times New Roman" w:cs="Times New Roman" w:eastAsia="Times New Roman" w:hAnsi="Times New Roman"/>
          <w:sz w:val="21"/>
          <w:szCs w:val="21"/>
          <w:u w:val="single" w:color="auto"/>
          <w:color w:val="auto"/>
        </w:rPr>
        <w:t>Absolute Cap Amount</w:t>
      </w:r>
      <w:r>
        <w:rPr>
          <w:rFonts w:ascii="Times New Roman" w:cs="Times New Roman" w:eastAsia="Times New Roman" w:hAnsi="Times New Roman"/>
          <w:sz w:val="21"/>
          <w:szCs w:val="21"/>
          <w:color w:val="auto"/>
        </w:rPr>
        <w:t xml:space="preserve">”). If Non-Citizens nonetheless at any time own and/or control more than the Voting Cap Amount, the voting rights of the Equity Securities in excess of the Voting Cap Amount shall be automatically suspended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below. Further, if at any time a transfer or issuance (other than an issuance of Emergence Securities (as defined below)) of Equity Securities to a Non-Citizen would result in Non-Citizens owning more than the Absolute Cap Amount, such transfer or issuance shall be void and of no effect,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below.</w:t>
      </w:r>
    </w:p>
    <w:p>
      <w:pPr>
        <w:spacing w:after="0" w:line="146"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u w:val="single" w:color="auto"/>
          <w:color w:val="auto"/>
        </w:rPr>
        <w:t>Foreign Stock Record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 The Corporation or any transfer agent shall maintain a separate stock record, designated the “</w:t>
      </w:r>
      <w:r>
        <w:rPr>
          <w:rFonts w:ascii="Times New Roman" w:cs="Times New Roman" w:eastAsia="Times New Roman" w:hAnsi="Times New Roman"/>
          <w:sz w:val="21"/>
          <w:szCs w:val="21"/>
          <w:u w:val="single" w:color="auto"/>
          <w:color w:val="auto"/>
        </w:rPr>
        <w:t>Foreign Stock Record</w:t>
      </w:r>
      <w:r>
        <w:rPr>
          <w:rFonts w:ascii="Times New Roman" w:cs="Times New Roman" w:eastAsia="Times New Roman" w:hAnsi="Times New Roman"/>
          <w:sz w:val="21"/>
          <w:szCs w:val="21"/>
          <w:color w:val="auto"/>
        </w:rPr>
        <w:t>,” for the registration of Equity Securities held by Non-Citizens. It is the duty of each stockholder who is a Non-Citizen to register his, her or its Equity Securities on the Foreign Stock Record. The beneficial ownership of Equity Securities by Non-Citizens shall be determined in conformity with regulations prescribed by the Board of Directors. Only Equity Securities that have been issued and are outstanding may be registered in the Foreign Stock Record. The Foreign Stock Record shall include (i) the name and nationality of each Non-Citizen owning Equity Securities, (ii) the number of Equity Securities owned by each such Non-Citizen and (iii) the date of registration of such Equity Securities in the Foreign Stock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243" w:name="page244"/>
    <w:bookmarkEnd w:id="243"/>
    <w:p>
      <w:pPr>
        <w:ind w:firstLine="8"/>
        <w:spacing w:after="0" w:line="213" w:lineRule="auto"/>
        <w:tabs>
          <w:tab w:leader="none" w:pos="46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shall Equity Securities owned (beneficially or of record) by Non-Citizens representing more than the Voting Cap Amount be voted. In the event that Non-Citizens shall own (beneficially or of record) or have voting control over any Equity Securities, the voting rights of such persons shall be subject to automatic suspension to the extent required to ensure that the Corporation is in compliance with applicable provisions of law and regulations relating to ownership or control of a United States air carrier. Voting rights of Equity Securities owned (beneficially or of record) by Non-Citizens shall be suspended in reverse chronological order based upon the date of registration in the Foreign Stock Record (except as otherwise provided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right="100" w:firstLine="8"/>
        <w:spacing w:after="0" w:line="209" w:lineRule="auto"/>
        <w:tabs>
          <w:tab w:leader="none" w:pos="45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transfer or issuance (other than an issuance of Emergence Securities) of Equity Securities to a Non-Citizen would result in Non-Citizens owning (beneficially or of record) more than the Absolute Cap Amount, such transfer or issuance shall be void and of no effect and shall not be recorded in the Foreign Stock Record or the stock records of the Corporation. In the event that the Corporation shall determine that the Equity Securities registered on the Foreign Stock Record or otherwise registered on the stock records of the Corporation and owned (beneficially or of record) by Non-Citizens, taken together (without duplication), exceed the Absolute Cap Amount, such number of shares shall be removed from the Foreign Stock Record and the stock records of the Corporation, as applicable, in reverse chronological order based on the date of registration in the Foreign Stock Record and the stock records of the Corporation, as applicable (except as otherwise provided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and any transfer or issuance (other than an issuance of Emergence Securities) that resulted in such event shall be deemed void and of no effect, such that the Foreign Stock Record and the stock records of the Corporation, as applicable, reflect the ownership of shares without giving effect to any transfer or issuance that caused the Corporation to exceed the Absolute Cap Amount until the aggregate number of shares registered in the Foreign Stock Record or otherwise registered to Non-Citizens is equal to the Control Cap Amount or NOS Cap Amount, as applicable.</w:t>
      </w:r>
    </w:p>
    <w:p>
      <w:pPr>
        <w:spacing w:after="0" w:line="156"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Registration of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Registry of the ownership of Equity Securities by Non-Citizens shall be effected by written notice to, and in the form specified from time to time by, the Secretary of the Corporation. Subject to the limitations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the exceptions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the order in which such shares shall be registered on the Foreign Stock Record shall be chronological, based on the date the Corporation received notice to so register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Non-Citizen who purchases or otherwise acquires shares that are registered on the Foreign Stock Record and who registers such shares in its own name within 30 days of such acquisition will assume the position of the seller of such shares in the chronological order of shares registered on the Foreign Stock Record.</w:t>
      </w:r>
    </w:p>
    <w:p>
      <w:pPr>
        <w:spacing w:after="0" w:line="149"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u w:val="single" w:color="auto"/>
          <w:color w:val="auto"/>
        </w:rPr>
        <w:t>Certification of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 The Corporation may by notice in writing (which may be included in the form of proxy or ballot distributed to stockholders in connection with the annual meeting or any special meeting of the stockholders of the Corporation, or otherwise) require a person that is a holder of record of shares or that the Corporation knows to have, or has reasonable cause to believe has beneficial ownership of shares to certify in such manner as the Corporation shall deem appropriate (including by way of execution of any form of proxy or ballot of such person) that, to the knowledge of such person:</w:t>
      </w:r>
    </w:p>
    <w:p>
      <w:pPr>
        <w:spacing w:after="0" w:line="153" w:lineRule="exact"/>
        <w:rPr>
          <w:sz w:val="20"/>
          <w:szCs w:val="20"/>
          <w:color w:val="auto"/>
        </w:rPr>
      </w:pPr>
    </w:p>
    <w:p>
      <w:pPr>
        <w:ind w:right="720" w:firstLine="8"/>
        <w:spacing w:after="0" w:line="236" w:lineRule="auto"/>
        <w:tabs>
          <w:tab w:leader="none" w:pos="64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as to which such person has record ownership or beneficial ownership are owned and controlled only by citizens of the United States; or</w:t>
      </w:r>
    </w:p>
    <w:p>
      <w:pPr>
        <w:spacing w:after="0" w:line="150" w:lineRule="exact"/>
        <w:rPr>
          <w:rFonts w:ascii="Times New Roman" w:cs="Times New Roman" w:eastAsia="Times New Roman" w:hAnsi="Times New Roman"/>
          <w:sz w:val="22"/>
          <w:szCs w:val="22"/>
          <w:color w:val="auto"/>
        </w:rPr>
      </w:pPr>
    </w:p>
    <w:p>
      <w:pPr>
        <w:ind w:right="120" w:firstLine="8"/>
        <w:spacing w:after="0" w:line="236" w:lineRule="auto"/>
        <w:tabs>
          <w:tab w:leader="none" w:pos="64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record or beneficially owned by such person that are owned and/or controlled by Non-Citizens is as set forth in such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244" w:name="page245"/>
    <w:bookmarkEnd w:id="244"/>
    <w:p>
      <w:pPr>
        <w:ind w:right="60" w:firstLine="8"/>
        <w:spacing w:after="0" w:line="255" w:lineRule="auto"/>
        <w:tabs>
          <w:tab w:leader="none" w:pos="46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shares identified in response to clause (a)(2) above, the Corporation may require such person to provide such further information as the Corporation may reasonably require in order to implement the provisions of this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right="460" w:firstLine="8"/>
        <w:spacing w:after="0" w:line="225" w:lineRule="auto"/>
        <w:tabs>
          <w:tab w:leader="none" w:pos="4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applying the provisions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with respect to any shares, in the event of the failure of any person to provide the certificate or other information to which the Corporation is entitled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Corporation shall presume that the shares in question are owned and/or controlled by Non-Citizens.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Special Rules Applicable to Equity Securities Issued Upon Effectiveness of the Plan and Consummation of the</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auto"/>
        </w:rPr>
        <w:t>Merger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All Equity Securities that are (i) initially issued under the Debtors’ Joint Plan of Reorganization filed in connection</w:t>
      </w:r>
    </w:p>
    <w:p>
      <w:pPr>
        <w:spacing w:after="0" w:line="215" w:lineRule="auto"/>
        <w:rPr>
          <w:sz w:val="20"/>
          <w:szCs w:val="20"/>
          <w:color w:val="auto"/>
        </w:rPr>
      </w:pPr>
      <w:r>
        <w:rPr>
          <w:rFonts w:ascii="Times New Roman" w:cs="Times New Roman" w:eastAsia="Times New Roman" w:hAnsi="Times New Roman"/>
          <w:sz w:val="21"/>
          <w:szCs w:val="21"/>
          <w:color w:val="auto"/>
        </w:rPr>
        <w:t>with the Corporation’s chapter 11 cases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or pursuant to the transactions contemplated by the Merger Agreement (all</w:t>
      </w:r>
    </w:p>
    <w:p>
      <w:pPr>
        <w:spacing w:after="0" w:line="205" w:lineRule="auto"/>
        <w:rPr>
          <w:sz w:val="20"/>
          <w:szCs w:val="20"/>
          <w:color w:val="auto"/>
        </w:rPr>
      </w:pPr>
      <w:r>
        <w:rPr>
          <w:rFonts w:ascii="Times New Roman" w:cs="Times New Roman" w:eastAsia="Times New Roman" w:hAnsi="Times New Roman"/>
          <w:sz w:val="22"/>
          <w:szCs w:val="22"/>
          <w:color w:val="auto"/>
        </w:rPr>
        <w:t>such Equity Securities, including all Equity Securities issued pursuant to the conversions of any such Equity Securities, the</w:t>
      </w:r>
    </w:p>
    <w:p>
      <w:pPr>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Emergence Securities</w:t>
      </w:r>
      <w:r>
        <w:rPr>
          <w:rFonts w:ascii="Times New Roman" w:cs="Times New Roman" w:eastAsia="Times New Roman" w:hAnsi="Times New Roman"/>
          <w:sz w:val="21"/>
          <w:szCs w:val="21"/>
          <w:color w:val="auto"/>
        </w:rPr>
        <w:t>”) and (ii) registered on the Foreign Stock Record by the Non-Citizen initially receiving such Emergence</w:t>
      </w:r>
    </w:p>
    <w:p>
      <w:pPr>
        <w:spacing w:after="0" w:line="205" w:lineRule="auto"/>
        <w:rPr>
          <w:sz w:val="20"/>
          <w:szCs w:val="20"/>
          <w:color w:val="auto"/>
        </w:rPr>
      </w:pPr>
      <w:r>
        <w:rPr>
          <w:rFonts w:ascii="Times New Roman" w:cs="Times New Roman" w:eastAsia="Times New Roman" w:hAnsi="Times New Roman"/>
          <w:sz w:val="22"/>
          <w:szCs w:val="22"/>
          <w:color w:val="auto"/>
        </w:rPr>
        <w:t>Securities on or prior to the date that is 15 business days following the issuance of such Emergence Securities (all such</w:t>
      </w:r>
    </w:p>
    <w:p>
      <w:pPr>
        <w:spacing w:after="0" w:line="205" w:lineRule="auto"/>
        <w:rPr>
          <w:sz w:val="20"/>
          <w:szCs w:val="20"/>
          <w:color w:val="auto"/>
        </w:rPr>
      </w:pPr>
      <w:r>
        <w:rPr>
          <w:rFonts w:ascii="Times New Roman" w:cs="Times New Roman" w:eastAsia="Times New Roman" w:hAnsi="Times New Roman"/>
          <w:sz w:val="22"/>
          <w:szCs w:val="22"/>
          <w:color w:val="auto"/>
        </w:rPr>
        <w:t>Emergence Securities, the “</w:t>
      </w:r>
      <w:r>
        <w:rPr>
          <w:rFonts w:ascii="Times New Roman" w:cs="Times New Roman" w:eastAsia="Times New Roman" w:hAnsi="Times New Roman"/>
          <w:sz w:val="22"/>
          <w:szCs w:val="22"/>
          <w:u w:val="single" w:color="auto"/>
          <w:color w:val="auto"/>
        </w:rPr>
        <w:t>Registered Emergence Securities</w:t>
      </w:r>
      <w:r>
        <w:rPr>
          <w:rFonts w:ascii="Times New Roman" w:cs="Times New Roman" w:eastAsia="Times New Roman" w:hAnsi="Times New Roman"/>
          <w:sz w:val="22"/>
          <w:szCs w:val="22"/>
          <w:color w:val="auto"/>
        </w:rPr>
        <w:t>”), shall be deemed to have been registered on the Foreign Stock</w:t>
      </w:r>
    </w:p>
    <w:p>
      <w:pPr>
        <w:spacing w:after="0" w:line="204" w:lineRule="auto"/>
        <w:rPr>
          <w:sz w:val="20"/>
          <w:szCs w:val="20"/>
          <w:color w:val="auto"/>
        </w:rPr>
      </w:pPr>
      <w:r>
        <w:rPr>
          <w:rFonts w:ascii="Times New Roman" w:cs="Times New Roman" w:eastAsia="Times New Roman" w:hAnsi="Times New Roman"/>
          <w:sz w:val="22"/>
          <w:szCs w:val="22"/>
          <w:color w:val="auto"/>
        </w:rPr>
        <w:t>Record as of the Closing Date simultaneously with all other Registered Emergence Securities, and, for purposes of the last</w:t>
      </w:r>
    </w:p>
    <w:p>
      <w:pPr>
        <w:spacing w:after="0" w:line="205" w:lineRule="auto"/>
        <w:rPr>
          <w:sz w:val="20"/>
          <w:szCs w:val="20"/>
          <w:color w:val="auto"/>
        </w:rPr>
      </w:pPr>
      <w:r>
        <w:rPr>
          <w:rFonts w:ascii="Times New Roman" w:cs="Times New Roman" w:eastAsia="Times New Roman" w:hAnsi="Times New Roman"/>
          <w:sz w:val="22"/>
          <w:szCs w:val="22"/>
          <w:color w:val="auto"/>
        </w:rPr>
        <w:t xml:space="preserve">sentence of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shall be deemed to have been registered on the Foreign Stock Record prior to any</w:t>
      </w:r>
    </w:p>
    <w:p>
      <w:pPr>
        <w:spacing w:after="0" w:line="215" w:lineRule="auto"/>
        <w:rPr>
          <w:sz w:val="20"/>
          <w:szCs w:val="20"/>
          <w:color w:val="auto"/>
        </w:rPr>
      </w:pPr>
      <w:r>
        <w:rPr>
          <w:rFonts w:ascii="Times New Roman" w:cs="Times New Roman" w:eastAsia="Times New Roman" w:hAnsi="Times New Roman"/>
          <w:sz w:val="21"/>
          <w:szCs w:val="21"/>
          <w:color w:val="auto"/>
        </w:rPr>
        <w:t>Equity Securities other than Registered Emergence Securities. For the avoidance of doubt, all Equity Securities issued pursuant to</w:t>
      </w:r>
    </w:p>
    <w:p>
      <w:pPr>
        <w:spacing w:after="0" w:line="215" w:lineRule="auto"/>
        <w:rPr>
          <w:sz w:val="20"/>
          <w:szCs w:val="20"/>
          <w:color w:val="auto"/>
        </w:rPr>
      </w:pPr>
      <w:r>
        <w:rPr>
          <w:rFonts w:ascii="Times New Roman" w:cs="Times New Roman" w:eastAsia="Times New Roman" w:hAnsi="Times New Roman"/>
          <w:sz w:val="21"/>
          <w:szCs w:val="21"/>
          <w:color w:val="auto"/>
        </w:rPr>
        <w:t>the conversion of any Registered Emergence Securities shall be deemed to have been registered on the Foreign Stock Record as</w:t>
      </w:r>
    </w:p>
    <w:p>
      <w:pPr>
        <w:spacing w:after="0" w:line="205" w:lineRule="auto"/>
        <w:rPr>
          <w:sz w:val="20"/>
          <w:szCs w:val="20"/>
          <w:color w:val="auto"/>
        </w:rPr>
      </w:pPr>
      <w:r>
        <w:rPr>
          <w:rFonts w:ascii="Times New Roman" w:cs="Times New Roman" w:eastAsia="Times New Roman" w:hAnsi="Times New Roman"/>
          <w:sz w:val="22"/>
          <w:szCs w:val="22"/>
          <w:color w:val="auto"/>
        </w:rPr>
        <w:t>of the Closing Date simultaneously with all other Registered Emergence Securities. Equity Securities shall only constitute</w:t>
      </w:r>
    </w:p>
    <w:p>
      <w:pPr>
        <w:spacing w:after="0" w:line="205" w:lineRule="auto"/>
        <w:rPr>
          <w:sz w:val="20"/>
          <w:szCs w:val="20"/>
          <w:color w:val="auto"/>
        </w:rPr>
      </w:pPr>
      <w:r>
        <w:rPr>
          <w:rFonts w:ascii="Times New Roman" w:cs="Times New Roman" w:eastAsia="Times New Roman" w:hAnsi="Times New Roman"/>
          <w:sz w:val="22"/>
          <w:szCs w:val="22"/>
          <w:color w:val="auto"/>
        </w:rPr>
        <w:t>Registered Emergence Securities for so long as they (i) remain on the Foreign Stock Record and (ii) continue to be owned</w:t>
      </w:r>
    </w:p>
    <w:p>
      <w:pPr>
        <w:spacing w:after="0" w:line="214" w:lineRule="auto"/>
        <w:rPr>
          <w:sz w:val="20"/>
          <w:szCs w:val="20"/>
          <w:color w:val="auto"/>
        </w:rPr>
      </w:pPr>
      <w:r>
        <w:rPr>
          <w:rFonts w:ascii="Times New Roman" w:cs="Times New Roman" w:eastAsia="Times New Roman" w:hAnsi="Times New Roman"/>
          <w:sz w:val="21"/>
          <w:szCs w:val="21"/>
          <w:color w:val="auto"/>
        </w:rPr>
        <w:t>(beneficially or of record) by the Non-Citizen initially receiving such Registered Emergence Securities under the Plan or pursuant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Merger Agreement.</w:t>
      </w:r>
    </w:p>
    <w:p>
      <w:pPr>
        <w:spacing w:after="0" w:line="155" w:lineRule="exact"/>
        <w:rPr>
          <w:sz w:val="20"/>
          <w:szCs w:val="20"/>
          <w:color w:val="auto"/>
        </w:rPr>
      </w:pPr>
    </w:p>
    <w:p>
      <w:pPr>
        <w:ind w:right="40" w:firstLine="8"/>
        <w:spacing w:after="0" w:line="213" w:lineRule="auto"/>
        <w:tabs>
          <w:tab w:leader="none" w:pos="46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last sentence of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if the voting rights of all of the Registered Emergence Securities, taken together (and without duplication), exceed the Voting Cap Amount, the voting rights of the owners (whether beneficial or of record) of the Registered Emergence Securities shall be suspended, for the purpose of each vote by the stockholders of the Corporation, on a pro rata basis among all such owners (and not in reverse chronological order) so that the aggregate voting rights afforded to all of the Registered Emergence Securities, taken together (without duplication), are equal to the Voting Cap Amount, until such time as, absent such pro rata suspension, the voting rights of all of the Registered Emergence Securities, taken together (without duplication), would not exceed the Voting Cap Amount.</w:t>
      </w:r>
    </w:p>
    <w:p>
      <w:pPr>
        <w:spacing w:after="0" w:line="143"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in the event the number of Emergence Securities that are owned</w:t>
      </w:r>
    </w:p>
    <w:p>
      <w:pPr>
        <w:ind w:right="40"/>
        <w:spacing w:after="0" w:line="2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or of record) by Non-Citizens exceeds the Absolute Cap Amount, the Corporation shall be permitted to compel holders of Emergence Securities that are Non-Citizens and own more than 0.1% of the number of outstanding Emergence Securities (such status to be determined 120 days after the Closing Date, each, a “</w:t>
      </w:r>
      <w:r>
        <w:rPr>
          <w:rFonts w:ascii="Times New Roman" w:cs="Times New Roman" w:eastAsia="Times New Roman" w:hAnsi="Times New Roman"/>
          <w:sz w:val="22"/>
          <w:szCs w:val="22"/>
          <w:u w:val="single" w:color="auto"/>
          <w:color w:val="auto"/>
        </w:rPr>
        <w:t>Substantial Holder</w:t>
      </w:r>
      <w:r>
        <w:rPr>
          <w:rFonts w:ascii="Times New Roman" w:cs="Times New Roman" w:eastAsia="Times New Roman" w:hAnsi="Times New Roman"/>
          <w:sz w:val="22"/>
          <w:szCs w:val="22"/>
          <w:color w:val="auto"/>
        </w:rPr>
        <w:t>”), on, subject to the proviso set forth below, a pro rata basis among all Substantial Holders (and not in reverse chronological order), to sell or otherwise transfer to persons or entities who are a “citizen of the United States” a number of Emergence Securities held by such Substantial Holders such that the aggregate number of Emergence Securities held by Non-Citizens, taken together (without duplication), is equal to or lesser than the Absolute Cap Amount, or, if any such Substantial Holder fails to promptly (and in any event within 30 days of receipt of written notice of such obligation to sell or otherwise transfer) sell or otherwise transfer such number of Emergence Securities (or a portion thereof), to cause such number of Emergence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395" w:right="359" w:bottom="1440" w:gutter="0" w:footer="0" w:header="0"/>
        </w:sectPr>
      </w:pPr>
    </w:p>
    <w:bookmarkStart w:id="245" w:name="page246"/>
    <w:bookmarkEnd w:id="245"/>
    <w:p>
      <w:pPr>
        <w:spacing w:after="0" w:line="211" w:lineRule="auto"/>
        <w:rPr>
          <w:sz w:val="20"/>
          <w:szCs w:val="20"/>
          <w:color w:val="auto"/>
        </w:rPr>
      </w:pPr>
      <w:r>
        <w:rPr>
          <w:rFonts w:ascii="Times New Roman" w:cs="Times New Roman" w:eastAsia="Times New Roman" w:hAnsi="Times New Roman"/>
          <w:sz w:val="22"/>
          <w:szCs w:val="22"/>
          <w:color w:val="auto"/>
        </w:rPr>
        <w:t xml:space="preserve">such Substantial Holder (or such portion thereof) to be sold or otherwise transferred, with the Corporation acting as agent for, and on behalf of, such Substantial Holder, with proceeds thereof, less any costs of administering such sale or transfer, delivered to such Substantial Holder promptly (and in any event within 30 days of such sale or transfer);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in the event the NOS Cap Amount is exceeded but the Control Cap Amount is not, the Corporation shall only compel Substantial Holders who are NOS Non-Citizens (“</w:t>
      </w:r>
      <w:r>
        <w:rPr>
          <w:rFonts w:ascii="Times New Roman" w:cs="Times New Roman" w:eastAsia="Times New Roman" w:hAnsi="Times New Roman"/>
          <w:sz w:val="22"/>
          <w:szCs w:val="22"/>
          <w:u w:val="single" w:color="auto"/>
          <w:color w:val="auto"/>
        </w:rPr>
        <w:t>NOS Substantial Holders</w:t>
      </w:r>
      <w:r>
        <w:rPr>
          <w:rFonts w:ascii="Times New Roman" w:cs="Times New Roman" w:eastAsia="Times New Roman" w:hAnsi="Times New Roman"/>
          <w:sz w:val="22"/>
          <w:szCs w:val="22"/>
          <w:color w:val="auto"/>
        </w:rPr>
        <w:t xml:space="preserve">”), on a pro rata basis among all NOS Substantial Holders (and not in reverse chronological order), to sell or otherwise transfer to persons or entities who are a “citizen of the United States”, a number of Emergence Securities held by such NOS Substantial Holders such that the aggregate number of Emergence Securities held by NOS Non-Citizens, taken together (without duplication), is equal to or lesser than the NOS Cap Amount (or the Corporation shall otherwise take the actions set forth in this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20"/>
          </w:cols>
          <w:pgMar w:left="320" w:top="1395" w:right="359" w:bottom="1440" w:gutter="0" w:footer="0" w:header="0"/>
        </w:sectPr>
      </w:pPr>
    </w:p>
    <w:bookmarkStart w:id="246" w:name="page247"/>
    <w:bookmarkEnd w:id="246"/>
    <w:p>
      <w:pPr>
        <w:ind w:left="10040"/>
        <w:spacing w:after="0"/>
        <w:rPr>
          <w:sz w:val="20"/>
          <w:szCs w:val="20"/>
          <w:color w:val="auto"/>
        </w:rPr>
      </w:pPr>
      <w:r>
        <w:rPr>
          <w:rFonts w:ascii="Arial" w:cs="Arial" w:eastAsia="Arial" w:hAnsi="Arial"/>
          <w:sz w:val="17"/>
          <w:szCs w:val="17"/>
          <w:b w:val="1"/>
          <w:bCs w:val="1"/>
          <w:color w:val="auto"/>
        </w:rPr>
        <w:t>Exhibit 10.101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0575" cy="283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562">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92"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SUPPLEMENTAL AGREEMENT NO. 27</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8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This SUPPLEMENTAL AGREEMENT No. 27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27</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October _</w:t>
      </w:r>
      <w:r>
        <w:rPr>
          <w:rFonts w:ascii="Arial" w:cs="Arial" w:eastAsia="Arial" w:hAnsi="Arial"/>
          <w:sz w:val="22"/>
          <w:szCs w:val="22"/>
          <w:u w:val="single" w:color="auto"/>
          <w:color w:val="auto"/>
        </w:rPr>
        <w:t>3</w:t>
      </w:r>
      <w:r>
        <w:rPr>
          <w:rFonts w:ascii="Arial" w:cs="Arial" w:eastAsia="Arial" w:hAnsi="Arial"/>
          <w:sz w:val="22"/>
          <w:szCs w:val="22"/>
          <w:color w:val="auto"/>
        </w:rPr>
        <w:t>_, 2022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3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76" w:lineRule="exact"/>
        <w:rPr>
          <w:sz w:val="20"/>
          <w:szCs w:val="20"/>
          <w:color w:val="auto"/>
        </w:rPr>
      </w:pPr>
    </w:p>
    <w:p>
      <w:pPr>
        <w:jc w:val="both"/>
        <w:ind w:firstLine="264"/>
        <w:spacing w:after="0" w:line="220" w:lineRule="auto"/>
        <w:rPr>
          <w:sz w:val="20"/>
          <w:szCs w:val="20"/>
          <w:color w:val="auto"/>
        </w:rPr>
      </w:pPr>
      <w:r>
        <w:rPr>
          <w:rFonts w:ascii="Arial" w:cs="Arial" w:eastAsia="Arial" w:hAnsi="Arial"/>
          <w:sz w:val="22"/>
          <w:szCs w:val="22"/>
          <w:color w:val="auto"/>
        </w:rPr>
        <w:t>WHEREAS, in [****] to the [****] Aircraft that Customer had previously [****] as set forth in Table 1R12, 1-2, 1-3R6, and 1-4R5 to the Purchase Agreement, Customer [****] with the execution of this SA-27, [****] in Attachment A(R9) to Letter Agreement No. AAL-PA-03735-LA-1106651R9 entitled “</w:t>
      </w:r>
      <w:r>
        <w:rPr>
          <w:rFonts w:ascii="Arial" w:cs="Arial" w:eastAsia="Arial" w:hAnsi="Arial"/>
          <w:sz w:val="22"/>
          <w:szCs w:val="22"/>
          <w:u w:val="single" w:color="auto"/>
          <w:color w:val="auto"/>
        </w:rPr>
        <w:t>[****]” (</w:t>
      </w:r>
      <w:r>
        <w:rPr>
          <w:rFonts w:ascii="Arial" w:cs="Arial" w:eastAsia="Arial" w:hAnsi="Arial"/>
          <w:sz w:val="22"/>
          <w:szCs w:val="22"/>
          <w:b w:val="1"/>
          <w:bCs w:val="1"/>
          <w:color w:val="auto"/>
        </w:rPr>
        <w:t>[****] Letter Agreement</w:t>
      </w:r>
      <w:r>
        <w:rPr>
          <w:rFonts w:ascii="Arial" w:cs="Arial" w:eastAsia="Arial" w:hAnsi="Arial"/>
          <w:sz w:val="22"/>
          <w:szCs w:val="22"/>
          <w:color w:val="auto"/>
        </w:rPr>
        <w:t>) with [****], pursuant to the terms and conditions of the [****] Letter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94"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SA-26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SA-27 in the footer to reflect changes made to the Purchase Agreement by this SA-27. Such new Table of Contents is hereby incorporated into the Purchase Agreement in replacement of its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SA-27,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2" w:right="339" w:bottom="1440" w:gutter="0" w:footer="0" w:header="0"/>
        </w:sectPr>
      </w:pPr>
    </w:p>
    <w:bookmarkStart w:id="247" w:name="page248"/>
    <w:bookmarkEnd w:id="247"/>
    <w:p>
      <w:pPr>
        <w:spacing w:after="0" w:line="91" w:lineRule="exact"/>
        <w:rPr>
          <w:sz w:val="20"/>
          <w:szCs w:val="20"/>
          <w:color w:val="auto"/>
        </w:rPr>
      </w:pPr>
    </w:p>
    <w:p>
      <w:pPr>
        <w:ind w:left="713" w:hanging="632"/>
        <w:spacing w:after="0"/>
        <w:tabs>
          <w:tab w:leader="none" w:pos="713"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17" w:lineRule="auto"/>
        <w:rPr>
          <w:sz w:val="20"/>
          <w:szCs w:val="20"/>
          <w:color w:val="auto"/>
        </w:rPr>
      </w:pPr>
      <w:r>
        <w:rPr>
          <w:rFonts w:ascii="Arial" w:cs="Arial" w:eastAsia="Arial" w:hAnsi="Arial"/>
          <w:sz w:val="22"/>
          <w:szCs w:val="22"/>
          <w:u w:val="single" w:color="auto"/>
          <w:color w:val="auto"/>
        </w:rPr>
        <w:t>Table 1-4R5</w:t>
      </w:r>
      <w:r>
        <w:rPr>
          <w:rFonts w:ascii="Arial" w:cs="Arial" w:eastAsia="Arial" w:hAnsi="Arial"/>
          <w:sz w:val="22"/>
          <w:szCs w:val="22"/>
          <w:color w:val="auto"/>
        </w:rPr>
        <w:t>. Table 1-4R5 entitled “</w:t>
      </w:r>
      <w:r>
        <w:rPr>
          <w:rFonts w:ascii="Arial" w:cs="Arial" w:eastAsia="Arial" w:hAnsi="Arial"/>
          <w:sz w:val="22"/>
          <w:szCs w:val="22"/>
          <w:u w:val="single" w:color="auto"/>
          <w:color w:val="auto"/>
        </w:rPr>
        <w:t>737-8 [****] Aircraft Delivery, Description, Price and Advance Payments</w:t>
      </w:r>
      <w:r>
        <w:rPr>
          <w:rFonts w:ascii="Arial" w:cs="Arial" w:eastAsia="Arial" w:hAnsi="Arial"/>
          <w:sz w:val="22"/>
          <w:szCs w:val="22"/>
          <w:color w:val="auto"/>
        </w:rPr>
        <w:t>” is hereby deleted in its entirety and replaced with Table 1-4R6 entitled “</w:t>
      </w:r>
      <w:r>
        <w:rPr>
          <w:rFonts w:ascii="Arial" w:cs="Arial" w:eastAsia="Arial" w:hAnsi="Arial"/>
          <w:sz w:val="22"/>
          <w:szCs w:val="22"/>
          <w:u w:val="single" w:color="auto"/>
          <w:color w:val="auto"/>
        </w:rPr>
        <w:t>737-8 [****] Aircraft Delivery, Description, Price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Advance Payments</w:t>
      </w:r>
      <w:r>
        <w:rPr>
          <w:rFonts w:ascii="Arial" w:cs="Arial" w:eastAsia="Arial" w:hAnsi="Arial"/>
          <w:sz w:val="22"/>
          <w:szCs w:val="22"/>
          <w:color w:val="auto"/>
        </w:rPr>
        <w:t>” (attached hereto) referencing SA-27 in the footer is hereby incorporated into the Purchase Agreement in replacement of Table 1-4R5. For avoidance of doubt, the only difference between Table 1-4R5 and Table 1-4R6 is the [****] in the Purchase Agreement, resulting in Table 1-4R6.</w:t>
      </w:r>
    </w:p>
    <w:p>
      <w:pPr>
        <w:spacing w:after="0" w:line="152" w:lineRule="exact"/>
        <w:rPr>
          <w:sz w:val="20"/>
          <w:szCs w:val="20"/>
          <w:color w:val="auto"/>
        </w:rPr>
      </w:pPr>
    </w:p>
    <w:p>
      <w:pPr>
        <w:ind w:left="773" w:hanging="692"/>
        <w:spacing w:after="0"/>
        <w:tabs>
          <w:tab w:leader="none" w:pos="773"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0" w:lineRule="auto"/>
        <w:rPr>
          <w:sz w:val="20"/>
          <w:szCs w:val="20"/>
          <w:color w:val="auto"/>
        </w:rPr>
      </w:pPr>
      <w:r>
        <w:rPr>
          <w:rFonts w:ascii="Arial" w:cs="Arial" w:eastAsia="Arial" w:hAnsi="Arial"/>
          <w:sz w:val="22"/>
          <w:szCs w:val="22"/>
          <w:color w:val="auto"/>
        </w:rPr>
        <w:t xml:space="preserve">3.1 Letter Agreement No. AAL-PA-03735-LA-1106651R9 (including Attachment A(R9)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is hereby deleted in its entirety and replaced with Letter Agreement No. AAL-PA-03735-LA-1106651R10 (including Attachment A(R10) (attached hereto)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referencing SA-27 in the footer. The [****] is hereby incorporated into the Purchase Agreement.</w:t>
      </w:r>
    </w:p>
    <w:p>
      <w:pPr>
        <w:spacing w:after="0" w:line="17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 xml:space="preserve">3.2 In addition to the [****], the parties agree [****] to Letter Agreement No. AAL-PA-03735-LA-1106652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will be [****], or such [****], to [****].</w:t>
      </w:r>
    </w:p>
    <w:p>
      <w:pPr>
        <w:spacing w:after="0" w:line="286" w:lineRule="exact"/>
        <w:rPr>
          <w:sz w:val="20"/>
          <w:szCs w:val="20"/>
          <w:color w:val="auto"/>
        </w:rPr>
      </w:pPr>
    </w:p>
    <w:p>
      <w:pPr>
        <w:ind w:left="713" w:hanging="713"/>
        <w:spacing w:after="0"/>
        <w:tabs>
          <w:tab w:leader="none" w:pos="713"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9" w:lineRule="exact"/>
        <w:rPr>
          <w:sz w:val="20"/>
          <w:szCs w:val="20"/>
          <w:color w:val="auto"/>
        </w:rPr>
      </w:pPr>
    </w:p>
    <w:p>
      <w:pPr>
        <w:ind w:left="73" w:firstLine="648"/>
        <w:spacing w:after="0" w:line="236" w:lineRule="auto"/>
        <w:rPr>
          <w:sz w:val="20"/>
          <w:szCs w:val="20"/>
          <w:color w:val="auto"/>
        </w:rPr>
      </w:pPr>
      <w:r>
        <w:rPr>
          <w:rFonts w:ascii="Arial" w:cs="Arial" w:eastAsia="Arial" w:hAnsi="Arial"/>
          <w:sz w:val="22"/>
          <w:szCs w:val="22"/>
          <w:color w:val="auto"/>
        </w:rPr>
        <w:t>4.1 [****] for the [****], [****] ([****]) ([****] specified in Table 1-4R6 to the Purchase Agreement for the [****]) are [****] per [****] of the [****] and as specified in the [****] upon execution of this SA-27.</w:t>
      </w:r>
    </w:p>
    <w:p>
      <w:pPr>
        <w:spacing w:after="0" w:line="178" w:lineRule="exact"/>
        <w:rPr>
          <w:sz w:val="20"/>
          <w:szCs w:val="20"/>
          <w:color w:val="auto"/>
        </w:rPr>
      </w:pPr>
    </w:p>
    <w:p>
      <w:pPr>
        <w:ind w:left="713" w:hanging="713"/>
        <w:spacing w:after="0"/>
        <w:tabs>
          <w:tab w:leader="none" w:pos="713"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6"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Table 1-4R6, and the [****]. All other terms and conditions of the Purchase Agreement remain unchanged and are in full force and effect.</w:t>
      </w:r>
    </w:p>
    <w:p>
      <w:pPr>
        <w:spacing w:after="0" w:line="14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5.2 The following references in the Purchase Agreement and any supplemental agreements and associated letter agreements are deemed to refer to “Table 1R12, Table 1-2, Table 1-3R6, and Table 1-4R6”:</w:t>
      </w:r>
    </w:p>
    <w:p>
      <w:pPr>
        <w:spacing w:after="0" w:line="133" w:lineRule="exact"/>
        <w:rPr>
          <w:sz w:val="20"/>
          <w:szCs w:val="20"/>
          <w:color w:val="auto"/>
        </w:rPr>
      </w:pPr>
    </w:p>
    <w:p>
      <w:pPr>
        <w:ind w:left="1373" w:hanging="320"/>
        <w:spacing w:after="0"/>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 or “Table 1R2” or “Table 1R3”, or “Table1R4 and Table 1-2”,</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1R5 and Table 1-2”,</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1R6, Table 1-2, and Table 1-3”,</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1R7, Table 1-2, and Table 1-3R1”,</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1R8, Table 1-2, and Table 1-3R2”,</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1R9, Table 1-2, and Table 1-3R3”,</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1R10, Table 1-2, and Table 1-3R4”,</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1R11, Table 1-2, and Table 1-3R5”,</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and Table 1-3R6”,</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1-4R1”</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1-4R2”</w:t>
      </w:r>
    </w:p>
    <w:p>
      <w:pPr>
        <w:ind w:left="1373" w:hanging="320"/>
        <w:spacing w:after="0" w:line="204" w:lineRule="auto"/>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1-4R3”.</w:t>
      </w:r>
    </w:p>
    <w:p>
      <w:pPr>
        <w:ind w:left="1373" w:hanging="320"/>
        <w:spacing w:after="0"/>
        <w:tabs>
          <w:tab w:leader="none" w:pos="1373" w:val="left"/>
        </w:tabs>
        <w:numPr>
          <w:ilvl w:val="0"/>
          <w:numId w:val="145"/>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SA-27, Page 2</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440" w:right="339" w:bottom="1440" w:gutter="0" w:footer="0" w:header="0"/>
        </w:sectPr>
      </w:pPr>
    </w:p>
    <w:bookmarkStart w:id="248" w:name="page249"/>
    <w:bookmarkEnd w:id="248"/>
    <w:p>
      <w:pPr>
        <w:ind w:left="1300" w:hanging="320"/>
        <w:spacing w:after="0"/>
        <w:tabs>
          <w:tab w:leader="none" w:pos="1300" w:val="left"/>
        </w:tabs>
        <w:numPr>
          <w:ilvl w:val="0"/>
          <w:numId w:val="146"/>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1-4R5”</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spacing w:after="0" w:line="207" w:lineRule="auto"/>
        <w:rPr>
          <w:sz w:val="20"/>
          <w:szCs w:val="20"/>
          <w:color w:val="auto"/>
        </w:rPr>
      </w:pPr>
      <w:r>
        <w:rPr>
          <w:rFonts w:ascii="Arial" w:cs="Arial" w:eastAsia="Arial" w:hAnsi="Arial"/>
          <w:sz w:val="21"/>
          <w:szCs w:val="21"/>
          <w:color w:val="auto"/>
        </w:rPr>
        <w:t>“Table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in the Purchase Agreement to Table 1R5 in Letter Agreement AAL-PA-LA-1106650R4 entitled “[****]” is deemed to only refer to Table 1R12 and the references to</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Table 1R5 in the Slide Letter Agreement remain references to Table 1R5.</w:t>
      </w:r>
    </w:p>
    <w:p>
      <w:pPr>
        <w:spacing w:after="0" w:line="18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1R6”, “Table 1R7”, “Table 1R8”, “Table 1R9”, “Table 1R10” or “Table 1R11” (where no corresponding reference to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either Table 1-2 or Table 1-3 is made) are deemed to refer to only “Table 1R12”.</w:t>
      </w:r>
    </w:p>
    <w:p>
      <w:pPr>
        <w:spacing w:after="0" w:line="15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Additionally, for the avoidance of doubt, references in the Purchase Agreement and any supplemental agreements and associated letter agreements to “Table 1-2” (where no corresponding reference to Table 1R4 or Table 1R5 is made)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remain references to “Table 1-2”.</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264"/>
        </w:trPr>
        <w:tc>
          <w:tcPr>
            <w:tcW w:w="2200" w:type="dxa"/>
            <w:vAlign w:val="bottom"/>
            <w:tcBorders>
              <w:lef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290"/>
        </w:trPr>
        <w:tc>
          <w:tcPr>
            <w:tcW w:w="40" w:type="dxa"/>
            <w:vAlign w:val="bottom"/>
            <w:tcBorders>
              <w:left w:val="single" w:sz="8" w:color="auto"/>
              <w:bottom w:val="single" w:sz="8" w:color="auto"/>
            </w:tcBorders>
          </w:tcPr>
          <w:p>
            <w:pPr>
              <w:spacing w:after="0"/>
              <w:rPr>
                <w:sz w:val="24"/>
                <w:szCs w:val="24"/>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1106651R9</w:t>
            </w:r>
          </w:p>
        </w:tc>
        <w:tc>
          <w:tcPr>
            <w:tcW w:w="27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1106651R10</w:t>
            </w:r>
          </w:p>
        </w:tc>
      </w:tr>
      <w:tr>
        <w:trPr>
          <w:trHeight w:val="58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40" w:type="dxa"/>
            <w:vAlign w:val="bottom"/>
            <w:gridSpan w:val="4"/>
          </w:tcPr>
          <w:p>
            <w:pPr>
              <w:ind w:left="2340"/>
              <w:spacing w:after="0"/>
              <w:rPr>
                <w:sz w:val="20"/>
                <w:szCs w:val="20"/>
                <w:color w:val="auto"/>
              </w:rPr>
            </w:pPr>
            <w:r>
              <w:rPr>
                <w:rFonts w:ascii="Arial" w:cs="Arial" w:eastAsia="Arial" w:hAnsi="Arial"/>
                <w:sz w:val="22"/>
                <w:szCs w:val="22"/>
                <w:color w:val="auto"/>
              </w:rPr>
              <w:t>Intentionally Left Blank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SA-27, Page 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315" w:right="339" w:bottom="1440" w:gutter="0" w:footer="0" w:header="0"/>
        </w:sectPr>
      </w:pPr>
    </w:p>
    <w:bookmarkStart w:id="249" w:name="page250"/>
    <w:bookmarkEnd w:id="249"/>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56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56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56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56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56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56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56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204" w:lineRule="auto"/>
        <w:rPr>
          <w:sz w:val="20"/>
          <w:szCs w:val="20"/>
          <w:color w:val="auto"/>
        </w:rPr>
      </w:pPr>
      <w:r>
        <w:rPr>
          <w:rFonts w:ascii="Arial" w:cs="Arial" w:eastAsia="Arial" w:hAnsi="Arial"/>
          <w:sz w:val="22"/>
          <w:szCs w:val="22"/>
          <w:color w:val="auto"/>
        </w:rPr>
        <w:t>SA-27</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250" w:name="page251"/>
    <w:bookmarkEnd w:id="250"/>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60" w:type="dxa"/>
            <w:vAlign w:val="bottom"/>
          </w:tcPr>
          <w:p>
            <w:pPr>
              <w:ind w:left="2400"/>
              <w:spacing w:after="0"/>
              <w:rPr>
                <w:sz w:val="20"/>
                <w:szCs w:val="20"/>
                <w:color w:val="auto"/>
              </w:rPr>
            </w:pPr>
            <w:r>
              <w:rPr>
                <w:rFonts w:ascii="Arial" w:cs="Arial" w:eastAsia="Arial" w:hAnsi="Arial"/>
                <w:sz w:val="22"/>
                <w:szCs w:val="22"/>
                <w:b w:val="1"/>
                <w:bCs w:val="1"/>
                <w:color w:val="auto"/>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6"/>
              </w:rPr>
              <w:t>ARTICLES</w:t>
            </w:r>
          </w:p>
        </w:tc>
        <w:tc>
          <w:tcPr>
            <w:tcW w:w="900" w:type="dxa"/>
            <w:vAlign w:val="bottom"/>
            <w:vMerge w:val="restart"/>
          </w:tcPr>
          <w:p>
            <w:pPr>
              <w:spacing w:after="0"/>
              <w:rPr>
                <w:sz w:val="24"/>
                <w:szCs w:val="24"/>
                <w:color w:val="auto"/>
              </w:rPr>
            </w:pPr>
          </w:p>
        </w:tc>
        <w:tc>
          <w:tcPr>
            <w:tcW w:w="796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9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359"/>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1.</w:t>
            </w:r>
          </w:p>
        </w:tc>
        <w:tc>
          <w:tcPr>
            <w:tcW w:w="7960" w:type="dxa"/>
            <w:vAlign w:val="bottom"/>
            <w:vMerge w:val="restart"/>
          </w:tcPr>
          <w:p>
            <w:pPr>
              <w:ind w:left="420"/>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2.</w:t>
            </w:r>
          </w:p>
        </w:tc>
        <w:tc>
          <w:tcPr>
            <w:tcW w:w="7960" w:type="dxa"/>
            <w:vAlign w:val="bottom"/>
            <w:vMerge w:val="restart"/>
          </w:tcPr>
          <w:p>
            <w:pPr>
              <w:ind w:left="420"/>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3.</w:t>
            </w:r>
          </w:p>
        </w:tc>
        <w:tc>
          <w:tcPr>
            <w:tcW w:w="7960" w:type="dxa"/>
            <w:vAlign w:val="bottom"/>
            <w:vMerge w:val="restart"/>
          </w:tcPr>
          <w:p>
            <w:pPr>
              <w:ind w:left="420"/>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4.</w:t>
            </w:r>
          </w:p>
        </w:tc>
        <w:tc>
          <w:tcPr>
            <w:tcW w:w="7960" w:type="dxa"/>
            <w:vAlign w:val="bottom"/>
            <w:vMerge w:val="restart"/>
          </w:tcPr>
          <w:p>
            <w:pPr>
              <w:ind w:left="420"/>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5.</w:t>
            </w:r>
          </w:p>
        </w:tc>
        <w:tc>
          <w:tcPr>
            <w:tcW w:w="7960" w:type="dxa"/>
            <w:vAlign w:val="bottom"/>
          </w:tcPr>
          <w:p>
            <w:pPr>
              <w:ind w:left="420"/>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6.</w:t>
            </w:r>
          </w:p>
        </w:tc>
        <w:tc>
          <w:tcPr>
            <w:tcW w:w="7960" w:type="dxa"/>
            <w:vAlign w:val="bottom"/>
          </w:tcPr>
          <w:p>
            <w:pPr>
              <w:ind w:left="42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TABLE</w:t>
            </w:r>
          </w:p>
        </w:tc>
        <w:tc>
          <w:tcPr>
            <w:tcW w:w="7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Borders>
              <w:top w:val="single" w:sz="8" w:color="auto"/>
            </w:tcBorders>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22"/>
                <w:szCs w:val="22"/>
                <w:color w:val="auto"/>
                <w:w w:val="95"/>
              </w:rPr>
              <w:t>1R12</w:t>
            </w:r>
          </w:p>
        </w:tc>
        <w:tc>
          <w:tcPr>
            <w:tcW w:w="7960" w:type="dxa"/>
            <w:vAlign w:val="bottom"/>
          </w:tcPr>
          <w:p>
            <w:pPr>
              <w:ind w:left="420"/>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19</w:t>
            </w:r>
          </w:p>
        </w:tc>
        <w:tc>
          <w:tcPr>
            <w:tcW w:w="0" w:type="dxa"/>
            <w:vAlign w:val="bottom"/>
          </w:tcPr>
          <w:p>
            <w:pPr>
              <w:spacing w:after="0"/>
              <w:rPr>
                <w:sz w:val="1"/>
                <w:szCs w:val="1"/>
                <w:color w:val="auto"/>
              </w:rPr>
            </w:pPr>
          </w:p>
        </w:tc>
      </w:tr>
      <w:tr>
        <w:trPr>
          <w:trHeight w:val="216"/>
        </w:trPr>
        <w:tc>
          <w:tcPr>
            <w:tcW w:w="1980" w:type="dxa"/>
            <w:vAlign w:val="bottom"/>
            <w:gridSpan w:val="4"/>
          </w:tcPr>
          <w:p>
            <w:pPr>
              <w:jc w:val="center"/>
              <w:ind w:left="172"/>
              <w:spacing w:after="0" w:line="216" w:lineRule="exact"/>
              <w:rPr>
                <w:sz w:val="20"/>
                <w:szCs w:val="20"/>
                <w:color w:val="auto"/>
              </w:rPr>
            </w:pPr>
            <w:r>
              <w:rPr>
                <w:rFonts w:ascii="Arial" w:cs="Arial" w:eastAsia="Arial" w:hAnsi="Arial"/>
                <w:sz w:val="22"/>
                <w:szCs w:val="22"/>
                <w:color w:val="auto"/>
                <w:w w:val="94"/>
              </w:rPr>
              <w:t>1-2</w:t>
            </w:r>
          </w:p>
        </w:tc>
        <w:tc>
          <w:tcPr>
            <w:tcW w:w="7960" w:type="dxa"/>
            <w:vAlign w:val="bottom"/>
          </w:tcPr>
          <w:p>
            <w:pPr>
              <w:ind w:left="420"/>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280" w:type="dxa"/>
            <w:vAlign w:val="bottom"/>
            <w:gridSpan w:val="3"/>
          </w:tcPr>
          <w:p>
            <w:pPr>
              <w:jc w:val="center"/>
              <w:ind w:right="420"/>
              <w:spacing w:after="0" w:line="216" w:lineRule="exact"/>
              <w:rPr>
                <w:sz w:val="20"/>
                <w:szCs w:val="20"/>
                <w:color w:val="auto"/>
              </w:rPr>
            </w:pPr>
            <w:r>
              <w:rPr>
                <w:rFonts w:ascii="Arial" w:cs="Arial" w:eastAsia="Arial" w:hAnsi="Arial"/>
                <w:sz w:val="22"/>
                <w:szCs w:val="22"/>
                <w:color w:val="auto"/>
                <w:w w:val="96"/>
              </w:rPr>
              <w:t>1-3R6</w:t>
            </w:r>
          </w:p>
        </w:tc>
        <w:tc>
          <w:tcPr>
            <w:tcW w:w="7960" w:type="dxa"/>
            <w:vAlign w:val="bottom"/>
          </w:tcPr>
          <w:p>
            <w:pPr>
              <w:ind w:left="420"/>
              <w:spacing w:after="0" w:line="216" w:lineRule="exact"/>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Delivery, Description, Price, and Advance Payments</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19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60" w:type="dxa"/>
            <w:vAlign w:val="bottom"/>
          </w:tcPr>
          <w:p>
            <w:pPr>
              <w:ind w:left="420"/>
              <w:spacing w:after="0" w:line="216" w:lineRule="exact"/>
              <w:rPr>
                <w:sz w:val="20"/>
                <w:szCs w:val="20"/>
                <w:color w:val="auto"/>
              </w:rPr>
            </w:pPr>
            <w:r>
              <w:rPr>
                <w:rFonts w:ascii="Arial" w:cs="Arial" w:eastAsia="Arial" w:hAnsi="Arial"/>
                <w:sz w:val="22"/>
                <w:szCs w:val="22"/>
                <w:b w:val="1"/>
                <w:bCs w:val="1"/>
                <w:color w:val="auto"/>
              </w:rPr>
              <w:t xml:space="preserve">737-8 </w:t>
            </w:r>
            <w:r>
              <w:rPr>
                <w:rFonts w:ascii="Arial" w:cs="Arial" w:eastAsia="Arial" w:hAnsi="Arial"/>
                <w:sz w:val="18"/>
                <w:szCs w:val="18"/>
                <w:b w:val="1"/>
                <w:bCs w:val="1"/>
                <w:color w:val="auto"/>
              </w:rPr>
              <w:t>[****]</w:t>
            </w:r>
            <w:r>
              <w:rPr>
                <w:rFonts w:ascii="Arial" w:cs="Arial" w:eastAsia="Arial" w:hAnsi="Arial"/>
                <w:sz w:val="22"/>
                <w:szCs w:val="22"/>
                <w:b w:val="1"/>
                <w:bCs w:val="1"/>
                <w:color w:val="auto"/>
              </w:rPr>
              <w:t xml:space="preserve"> Aircraft Delivery, Description, Price, and Advance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22"/>
                <w:szCs w:val="22"/>
                <w:b w:val="1"/>
                <w:bCs w:val="1"/>
                <w:color w:val="auto"/>
                <w:w w:val="96"/>
              </w:rPr>
              <w:t>1-4R6</w:t>
            </w:r>
          </w:p>
        </w:tc>
        <w:tc>
          <w:tcPr>
            <w:tcW w:w="7960" w:type="dxa"/>
            <w:vAlign w:val="bottom"/>
          </w:tcPr>
          <w:p>
            <w:pPr>
              <w:ind w:left="420"/>
              <w:spacing w:after="0"/>
              <w:rPr>
                <w:sz w:val="20"/>
                <w:szCs w:val="20"/>
                <w:color w:val="auto"/>
              </w:rPr>
            </w:pPr>
            <w:r>
              <w:rPr>
                <w:rFonts w:ascii="Arial" w:cs="Arial" w:eastAsia="Arial" w:hAnsi="Arial"/>
                <w:sz w:val="22"/>
                <w:szCs w:val="22"/>
                <w:b w:val="1"/>
                <w:bCs w:val="1"/>
                <w:color w:val="auto"/>
              </w:rPr>
              <w:t>Payments</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27</w:t>
            </w:r>
          </w:p>
        </w:tc>
        <w:tc>
          <w:tcPr>
            <w:tcW w:w="0" w:type="dxa"/>
            <w:vAlign w:val="bottom"/>
          </w:tcPr>
          <w:p>
            <w:pPr>
              <w:spacing w:after="0"/>
              <w:rPr>
                <w:sz w:val="1"/>
                <w:szCs w:val="1"/>
                <w:color w:val="auto"/>
              </w:rPr>
            </w:pPr>
          </w:p>
        </w:tc>
      </w:tr>
      <w:tr>
        <w:trPr>
          <w:trHeight w:val="285"/>
        </w:trPr>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EXHIBITS</w:t>
            </w:r>
          </w:p>
        </w:tc>
        <w:tc>
          <w:tcPr>
            <w:tcW w:w="7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22"/>
                <w:szCs w:val="22"/>
                <w:color w:val="auto"/>
                <w:w w:val="98"/>
              </w:rPr>
              <w:t>AR1</w:t>
            </w:r>
          </w:p>
        </w:tc>
        <w:tc>
          <w:tcPr>
            <w:tcW w:w="7960" w:type="dxa"/>
            <w:vAlign w:val="bottom"/>
          </w:tcPr>
          <w:p>
            <w:pPr>
              <w:ind w:left="420"/>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83"/>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center"/>
              <w:ind w:right="700"/>
              <w:spacing w:after="0"/>
              <w:rPr>
                <w:sz w:val="20"/>
                <w:szCs w:val="20"/>
                <w:color w:val="auto"/>
              </w:rPr>
            </w:pPr>
            <w:r>
              <w:rPr>
                <w:rFonts w:ascii="Arial" w:cs="Arial" w:eastAsia="Arial" w:hAnsi="Arial"/>
                <w:sz w:val="22"/>
                <w:szCs w:val="22"/>
                <w:color w:val="auto"/>
                <w:w w:val="96"/>
              </w:rPr>
              <w:t>A2</w:t>
            </w:r>
          </w:p>
        </w:tc>
        <w:tc>
          <w:tcPr>
            <w:tcW w:w="7960" w:type="dxa"/>
            <w:vAlign w:val="bottom"/>
          </w:tcPr>
          <w:p>
            <w:pPr>
              <w:ind w:left="420"/>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bl>
    <w:p>
      <w:pPr>
        <w:ind w:left="2400" w:hanging="1373"/>
        <w:spacing w:after="0"/>
        <w:tabs>
          <w:tab w:leader="none" w:pos="24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Aircraft Delivery Requirements and Responsibilities</w:t>
      </w:r>
    </w:p>
    <w:p>
      <w:pPr>
        <w:spacing w:after="0" w:line="17" w:lineRule="exact"/>
        <w:rPr>
          <w:rFonts w:ascii="Arial" w:cs="Arial" w:eastAsia="Arial" w:hAnsi="Arial"/>
          <w:sz w:val="22"/>
          <w:szCs w:val="22"/>
          <w:color w:val="auto"/>
        </w:rPr>
      </w:pPr>
    </w:p>
    <w:p>
      <w:pPr>
        <w:ind w:left="2400" w:hanging="1379"/>
        <w:spacing w:after="0"/>
        <w:tabs>
          <w:tab w:leader="none" w:pos="24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80" w:type="dxa"/>
            <w:vAlign w:val="bottom"/>
          </w:tcPr>
          <w:p>
            <w:pPr>
              <w:jc w:val="center"/>
              <w:ind w:left="172"/>
              <w:spacing w:after="0"/>
              <w:rPr>
                <w:sz w:val="20"/>
                <w:szCs w:val="20"/>
                <w:color w:val="auto"/>
              </w:rPr>
            </w:pPr>
            <w:r>
              <w:rPr>
                <w:rFonts w:ascii="Arial" w:cs="Arial" w:eastAsia="Arial" w:hAnsi="Arial"/>
                <w:sz w:val="22"/>
                <w:szCs w:val="22"/>
                <w:color w:val="auto"/>
                <w:w w:val="96"/>
              </w:rPr>
              <w:t>AE1.</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3"/>
                <w:szCs w:val="23"/>
                <w:color w:val="auto"/>
              </w:rPr>
            </w:pPr>
          </w:p>
        </w:tc>
      </w:tr>
      <w:tr>
        <w:trPr>
          <w:trHeight w:val="270"/>
        </w:trPr>
        <w:tc>
          <w:tcPr>
            <w:tcW w:w="1980" w:type="dxa"/>
            <w:vAlign w:val="bottom"/>
          </w:tcPr>
          <w:p>
            <w:pPr>
              <w:jc w:val="center"/>
              <w:ind w:left="152"/>
              <w:spacing w:after="0"/>
              <w:rPr>
                <w:sz w:val="20"/>
                <w:szCs w:val="20"/>
                <w:color w:val="auto"/>
              </w:rPr>
            </w:pPr>
            <w:r>
              <w:rPr>
                <w:rFonts w:ascii="Arial" w:cs="Arial" w:eastAsia="Arial" w:hAnsi="Arial"/>
                <w:sz w:val="22"/>
                <w:szCs w:val="22"/>
                <w:color w:val="auto"/>
                <w:w w:val="98"/>
              </w:rPr>
              <w:t>BFE1.</w:t>
            </w:r>
          </w:p>
        </w:tc>
        <w:tc>
          <w:tcPr>
            <w:tcW w:w="5900" w:type="dxa"/>
            <w:vAlign w:val="bottom"/>
            <w:gridSpan w:val="2"/>
          </w:tcPr>
          <w:p>
            <w:pPr>
              <w:ind w:left="420"/>
              <w:spacing w:after="0"/>
              <w:rPr>
                <w:sz w:val="20"/>
                <w:szCs w:val="20"/>
                <w:color w:val="auto"/>
              </w:rPr>
            </w:pPr>
            <w:r>
              <w:rPr>
                <w:rFonts w:ascii="Arial" w:cs="Arial" w:eastAsia="Arial" w:hAnsi="Arial"/>
                <w:sz w:val="22"/>
                <w:szCs w:val="22"/>
                <w:color w:val="auto"/>
              </w:rPr>
              <w:t>BFE Variables</w:t>
            </w:r>
          </w:p>
        </w:tc>
        <w:tc>
          <w:tcPr>
            <w:tcW w:w="2660" w:type="dxa"/>
            <w:vAlign w:val="bottom"/>
          </w:tcPr>
          <w:p>
            <w:pPr>
              <w:spacing w:after="0"/>
              <w:rPr>
                <w:sz w:val="23"/>
                <w:szCs w:val="23"/>
                <w:color w:val="auto"/>
              </w:rPr>
            </w:pPr>
          </w:p>
        </w:tc>
      </w:tr>
      <w:tr>
        <w:trPr>
          <w:trHeight w:val="270"/>
        </w:trPr>
        <w:tc>
          <w:tcPr>
            <w:tcW w:w="1980" w:type="dxa"/>
            <w:vAlign w:val="bottom"/>
          </w:tcPr>
          <w:p>
            <w:pPr>
              <w:jc w:val="center"/>
              <w:ind w:left="172"/>
              <w:spacing w:after="0"/>
              <w:rPr>
                <w:sz w:val="20"/>
                <w:szCs w:val="20"/>
                <w:color w:val="auto"/>
              </w:rPr>
            </w:pPr>
            <w:r>
              <w:rPr>
                <w:rFonts w:ascii="Arial" w:cs="Arial" w:eastAsia="Arial" w:hAnsi="Arial"/>
                <w:sz w:val="22"/>
                <w:szCs w:val="22"/>
                <w:color w:val="auto"/>
                <w:w w:val="96"/>
              </w:rPr>
              <w:t>CS1R1.</w:t>
            </w:r>
          </w:p>
        </w:tc>
        <w:tc>
          <w:tcPr>
            <w:tcW w:w="5900" w:type="dxa"/>
            <w:vAlign w:val="bottom"/>
            <w:gridSpan w:val="2"/>
          </w:tcPr>
          <w:p>
            <w:pPr>
              <w:ind w:left="420"/>
              <w:spacing w:after="0"/>
              <w:rPr>
                <w:sz w:val="20"/>
                <w:szCs w:val="20"/>
                <w:color w:val="auto"/>
              </w:rPr>
            </w:pPr>
            <w:r>
              <w:rPr>
                <w:rFonts w:ascii="Arial" w:cs="Arial" w:eastAsia="Arial" w:hAnsi="Arial"/>
                <w:sz w:val="22"/>
                <w:szCs w:val="22"/>
                <w:color w:val="auto"/>
              </w:rPr>
              <w:t>Customer Support Variables</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4</w:t>
            </w:r>
          </w:p>
        </w:tc>
      </w:tr>
      <w:tr>
        <w:trPr>
          <w:trHeight w:val="270"/>
        </w:trPr>
        <w:tc>
          <w:tcPr>
            <w:tcW w:w="1980" w:type="dxa"/>
            <w:vAlign w:val="bottom"/>
          </w:tcPr>
          <w:p>
            <w:pPr>
              <w:jc w:val="center"/>
              <w:ind w:left="172"/>
              <w:spacing w:after="0"/>
              <w:rPr>
                <w:sz w:val="20"/>
                <w:szCs w:val="20"/>
                <w:color w:val="auto"/>
              </w:rPr>
            </w:pPr>
            <w:r>
              <w:rPr>
                <w:rFonts w:ascii="Arial" w:cs="Arial" w:eastAsia="Arial" w:hAnsi="Arial"/>
                <w:sz w:val="22"/>
                <w:szCs w:val="22"/>
                <w:color w:val="auto"/>
                <w:w w:val="96"/>
              </w:rPr>
              <w:t>EE1.</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3"/>
                <w:szCs w:val="23"/>
                <w:color w:val="auto"/>
              </w:rPr>
            </w:pPr>
          </w:p>
        </w:tc>
      </w:tr>
      <w:tr>
        <w:trPr>
          <w:trHeight w:val="283"/>
        </w:trPr>
        <w:tc>
          <w:tcPr>
            <w:tcW w:w="1980" w:type="dxa"/>
            <w:vAlign w:val="bottom"/>
          </w:tcPr>
          <w:p>
            <w:pPr>
              <w:jc w:val="center"/>
              <w:ind w:left="172"/>
              <w:spacing w:after="0"/>
              <w:rPr>
                <w:sz w:val="20"/>
                <w:szCs w:val="20"/>
                <w:color w:val="auto"/>
              </w:rPr>
            </w:pPr>
            <w:r>
              <w:rPr>
                <w:rFonts w:ascii="Arial" w:cs="Arial" w:eastAsia="Arial" w:hAnsi="Arial"/>
                <w:sz w:val="22"/>
                <w:szCs w:val="22"/>
                <w:color w:val="auto"/>
                <w:w w:val="96"/>
              </w:rPr>
              <w:t>SLP1.</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4"/>
                <w:szCs w:val="24"/>
                <w:color w:val="auto"/>
              </w:rPr>
            </w:pPr>
          </w:p>
        </w:tc>
      </w:tr>
      <w:tr>
        <w:trPr>
          <w:trHeight w:val="297"/>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LETTER AGREEMENTS</w:t>
            </w:r>
          </w:p>
        </w:tc>
        <w:tc>
          <w:tcPr>
            <w:tcW w:w="54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72"/>
        </w:trPr>
        <w:tc>
          <w:tcPr>
            <w:tcW w:w="1980" w:type="dxa"/>
            <w:vAlign w:val="bottom"/>
          </w:tcPr>
          <w:p>
            <w:pPr>
              <w:spacing w:after="0"/>
              <w:rPr>
                <w:sz w:val="20"/>
                <w:szCs w:val="20"/>
                <w:color w:val="auto"/>
              </w:rPr>
            </w:pPr>
            <w:r>
              <w:rPr>
                <w:rFonts w:ascii="Arial" w:cs="Arial" w:eastAsia="Arial" w:hAnsi="Arial"/>
                <w:sz w:val="22"/>
                <w:szCs w:val="22"/>
                <w:color w:val="auto"/>
              </w:rPr>
              <w:t>LA-1106648R1</w:t>
            </w:r>
          </w:p>
        </w:tc>
        <w:tc>
          <w:tcPr>
            <w:tcW w:w="5900" w:type="dxa"/>
            <w:vAlign w:val="bottom"/>
            <w:gridSpan w:val="2"/>
          </w:tcPr>
          <w:p>
            <w:pPr>
              <w:ind w:left="420"/>
              <w:spacing w:after="0"/>
              <w:rPr>
                <w:sz w:val="20"/>
                <w:szCs w:val="20"/>
                <w:color w:val="auto"/>
              </w:rPr>
            </w:pPr>
            <w:r>
              <w:rPr>
                <w:rFonts w:ascii="Arial" w:cs="Arial" w:eastAsia="Arial" w:hAnsi="Arial"/>
                <w:sz w:val="22"/>
                <w:szCs w:val="22"/>
                <w:color w:val="auto"/>
              </w:rPr>
              <w:t>Special Matters</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6</w:t>
            </w:r>
          </w:p>
        </w:tc>
      </w:tr>
      <w:tr>
        <w:trPr>
          <w:trHeight w:val="270"/>
        </w:trPr>
        <w:tc>
          <w:tcPr>
            <w:tcW w:w="1980" w:type="dxa"/>
            <w:vAlign w:val="bottom"/>
          </w:tcPr>
          <w:p>
            <w:pPr>
              <w:spacing w:after="0"/>
              <w:rPr>
                <w:sz w:val="20"/>
                <w:szCs w:val="20"/>
                <w:color w:val="auto"/>
              </w:rPr>
            </w:pPr>
            <w:r>
              <w:rPr>
                <w:rFonts w:ascii="Arial" w:cs="Arial" w:eastAsia="Arial" w:hAnsi="Arial"/>
                <w:sz w:val="22"/>
                <w:szCs w:val="22"/>
                <w:color w:val="auto"/>
              </w:rPr>
              <w:t>LA-1106649</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3"/>
                <w:szCs w:val="23"/>
                <w:color w:val="auto"/>
              </w:rPr>
            </w:pPr>
          </w:p>
        </w:tc>
      </w:tr>
      <w:tr>
        <w:trPr>
          <w:trHeight w:val="268"/>
        </w:trPr>
        <w:tc>
          <w:tcPr>
            <w:tcW w:w="1980" w:type="dxa"/>
            <w:vAlign w:val="bottom"/>
          </w:tcPr>
          <w:p>
            <w:pPr>
              <w:spacing w:after="0"/>
              <w:rPr>
                <w:sz w:val="20"/>
                <w:szCs w:val="20"/>
                <w:color w:val="auto"/>
              </w:rPr>
            </w:pPr>
            <w:r>
              <w:rPr>
                <w:rFonts w:ascii="Arial" w:cs="Arial" w:eastAsia="Arial" w:hAnsi="Arial"/>
                <w:sz w:val="22"/>
                <w:szCs w:val="22"/>
                <w:color w:val="auto"/>
              </w:rPr>
              <w:t>LA-1106650R6</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22</w:t>
            </w:r>
          </w:p>
        </w:tc>
      </w:tr>
      <w:tr>
        <w:trPr>
          <w:trHeight w:val="272"/>
        </w:trPr>
        <w:tc>
          <w:tcPr>
            <w:tcW w:w="1980" w:type="dxa"/>
            <w:vAlign w:val="bottom"/>
          </w:tcPr>
          <w:p>
            <w:pPr>
              <w:spacing w:after="0"/>
              <w:rPr>
                <w:sz w:val="20"/>
                <w:szCs w:val="20"/>
                <w:color w:val="auto"/>
              </w:rPr>
            </w:pPr>
            <w:r>
              <w:rPr>
                <w:rFonts w:ascii="Arial" w:cs="Arial" w:eastAsia="Arial" w:hAnsi="Arial"/>
                <w:sz w:val="22"/>
                <w:szCs w:val="22"/>
                <w:b w:val="1"/>
                <w:bCs w:val="1"/>
                <w:color w:val="auto"/>
              </w:rPr>
              <w:t>LA-1106651R10</w:t>
            </w:r>
          </w:p>
        </w:tc>
        <w:tc>
          <w:tcPr>
            <w:tcW w:w="5900" w:type="dxa"/>
            <w:vAlign w:val="bottom"/>
            <w:gridSpan w:val="2"/>
          </w:tcPr>
          <w:p>
            <w:pPr>
              <w:ind w:left="420"/>
              <w:spacing w:after="0"/>
              <w:rPr>
                <w:sz w:val="20"/>
                <w:szCs w:val="20"/>
                <w:color w:val="auto"/>
              </w:rPr>
            </w:pPr>
            <w:r>
              <w:rPr>
                <w:rFonts w:ascii="Arial" w:cs="Arial" w:eastAsia="Arial" w:hAnsi="Arial"/>
                <w:sz w:val="19"/>
                <w:szCs w:val="19"/>
                <w:b w:val="1"/>
                <w:bCs w:val="1"/>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b w:val="1"/>
                <w:bCs w:val="1"/>
                <w:color w:val="auto"/>
                <w:w w:val="97"/>
              </w:rPr>
              <w:t>27</w:t>
            </w:r>
          </w:p>
        </w:tc>
      </w:tr>
      <w:tr>
        <w:trPr>
          <w:trHeight w:val="270"/>
        </w:trPr>
        <w:tc>
          <w:tcPr>
            <w:tcW w:w="1980" w:type="dxa"/>
            <w:vAlign w:val="bottom"/>
          </w:tcPr>
          <w:p>
            <w:pPr>
              <w:spacing w:after="0"/>
              <w:rPr>
                <w:sz w:val="20"/>
                <w:szCs w:val="20"/>
                <w:color w:val="auto"/>
              </w:rPr>
            </w:pPr>
            <w:r>
              <w:rPr>
                <w:rFonts w:ascii="Arial" w:cs="Arial" w:eastAsia="Arial" w:hAnsi="Arial"/>
                <w:sz w:val="22"/>
                <w:szCs w:val="22"/>
                <w:color w:val="auto"/>
              </w:rPr>
              <w:t>LA-1106652R1</w:t>
            </w:r>
          </w:p>
        </w:tc>
        <w:tc>
          <w:tcPr>
            <w:tcW w:w="5900" w:type="dxa"/>
            <w:vAlign w:val="bottom"/>
            <w:gridSpan w:val="2"/>
          </w:tcPr>
          <w:p>
            <w:pPr>
              <w:ind w:left="420"/>
              <w:spacing w:after="0"/>
              <w:rPr>
                <w:sz w:val="20"/>
                <w:szCs w:val="20"/>
                <w:color w:val="auto"/>
              </w:rPr>
            </w:pPr>
            <w:r>
              <w:rPr>
                <w:rFonts w:ascii="Arial" w:cs="Arial" w:eastAsia="Arial" w:hAnsi="Arial"/>
                <w:sz w:val="22"/>
                <w:szCs w:val="22"/>
                <w:color w:val="auto"/>
              </w:rPr>
              <w:t>Aircraft Model Substitution</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22</w:t>
            </w:r>
          </w:p>
        </w:tc>
      </w:tr>
      <w:tr>
        <w:trPr>
          <w:trHeight w:val="283"/>
        </w:trPr>
        <w:tc>
          <w:tcPr>
            <w:tcW w:w="1980" w:type="dxa"/>
            <w:vAlign w:val="bottom"/>
          </w:tcPr>
          <w:p>
            <w:pPr>
              <w:spacing w:after="0"/>
              <w:rPr>
                <w:sz w:val="20"/>
                <w:szCs w:val="20"/>
                <w:color w:val="auto"/>
              </w:rPr>
            </w:pPr>
            <w:r>
              <w:rPr>
                <w:rFonts w:ascii="Arial" w:cs="Arial" w:eastAsia="Arial" w:hAnsi="Arial"/>
                <w:sz w:val="22"/>
                <w:szCs w:val="22"/>
                <w:color w:val="auto"/>
              </w:rPr>
              <w:t>LA-1106654</w:t>
            </w:r>
          </w:p>
        </w:tc>
        <w:tc>
          <w:tcPr>
            <w:tcW w:w="5900" w:type="dxa"/>
            <w:vAlign w:val="bottom"/>
            <w:gridSpan w:val="2"/>
          </w:tcPr>
          <w:p>
            <w:pPr>
              <w:ind w:left="420"/>
              <w:spacing w:after="0"/>
              <w:rPr>
                <w:sz w:val="20"/>
                <w:szCs w:val="20"/>
                <w:color w:val="auto"/>
              </w:rPr>
            </w:pPr>
            <w:r>
              <w:rPr>
                <w:rFonts w:ascii="Arial" w:cs="Arial" w:eastAsia="Arial" w:hAnsi="Arial"/>
                <w:sz w:val="22"/>
                <w:szCs w:val="22"/>
                <w:color w:val="auto"/>
              </w:rPr>
              <w:t>AGTA Terms Revisions for MAX</w:t>
            </w:r>
          </w:p>
        </w:tc>
        <w:tc>
          <w:tcPr>
            <w:tcW w:w="2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SA-27</w:t>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00"/>
          </w:cols>
          <w:pgMar w:left="400" w:top="1440" w:right="599" w:bottom="1440" w:gutter="0" w:footer="0" w:header="0"/>
        </w:sectPr>
      </w:pPr>
    </w:p>
    <w:bookmarkStart w:id="251" w:name="page252"/>
    <w:bookmarkEnd w:id="251"/>
    <w:p>
      <w:pPr>
        <w:jc w:val="center"/>
        <w:ind w:right="-231"/>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72" w:type="dxa"/>
        <w:tblCellMar>
          <w:top w:w="0" w:type="dxa"/>
          <w:left w:w="0" w:type="dxa"/>
          <w:bottom w:w="0" w:type="dxa"/>
          <w:right w:w="0" w:type="dxa"/>
        </w:tblCellMar>
      </w:tblPr>
      <w:tr>
        <w:trPr>
          <w:trHeight w:val="20"/>
        </w:trPr>
        <w:tc>
          <w:tcPr>
            <w:tcW w:w="1960" w:type="dxa"/>
            <w:vAlign w:val="bottom"/>
            <w:vMerge w:val="restart"/>
          </w:tcPr>
          <w:p>
            <w:pPr>
              <w:spacing w:after="0"/>
              <w:rPr>
                <w:sz w:val="20"/>
                <w:szCs w:val="20"/>
                <w:color w:val="auto"/>
              </w:rPr>
            </w:pPr>
            <w:r>
              <w:rPr>
                <w:rFonts w:ascii="Arial" w:cs="Arial" w:eastAsia="Arial" w:hAnsi="Arial"/>
                <w:sz w:val="22"/>
                <w:szCs w:val="22"/>
                <w:color w:val="auto"/>
                <w:strike w:val="1"/>
              </w:rPr>
              <w:t>LA-1106655</w:t>
            </w:r>
          </w:p>
        </w:tc>
        <w:tc>
          <w:tcPr>
            <w:tcW w:w="2880" w:type="dxa"/>
            <w:vAlign w:val="bottom"/>
            <w:gridSpan w:val="2"/>
            <w:vMerge w:val="restart"/>
          </w:tcPr>
          <w:p>
            <w:pPr>
              <w:ind w:left="440"/>
              <w:spacing w:after="0"/>
              <w:rPr>
                <w:sz w:val="20"/>
                <w:szCs w:val="20"/>
                <w:color w:val="auto"/>
              </w:rPr>
            </w:pPr>
            <w:r>
              <w:rPr>
                <w:rFonts w:ascii="Arial" w:cs="Arial" w:eastAsia="Arial" w:hAnsi="Arial"/>
                <w:sz w:val="22"/>
                <w:szCs w:val="22"/>
                <w:color w:val="auto"/>
                <w:strike w:val="1"/>
                <w:w w:val="97"/>
              </w:rPr>
              <w:t>Open Matters – 737 MAX</w:t>
            </w:r>
          </w:p>
        </w:tc>
        <w:tc>
          <w:tcPr>
            <w:tcW w:w="5100" w:type="dxa"/>
            <w:vAlign w:val="bottom"/>
            <w:vMerge w:val="restart"/>
          </w:tcPr>
          <w:p>
            <w:pPr>
              <w:ind w:left="60"/>
              <w:spacing w:after="0"/>
              <w:rPr>
                <w:sz w:val="20"/>
                <w:szCs w:val="20"/>
                <w:color w:val="auto"/>
              </w:rPr>
            </w:pPr>
            <w:r>
              <w:rPr>
                <w:rFonts w:ascii="Arial" w:cs="Arial" w:eastAsia="Arial" w:hAnsi="Arial"/>
                <w:sz w:val="22"/>
                <w:szCs w:val="22"/>
                <w:color w:val="auto"/>
              </w:rPr>
              <w:t>Withdrawn</w:t>
            </w:r>
          </w:p>
        </w:tc>
        <w:tc>
          <w:tcPr>
            <w:tcW w:w="960" w:type="dxa"/>
            <w:vAlign w:val="bottom"/>
            <w:vMerge w:val="restart"/>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line="20" w:lineRule="exact"/>
              <w:rPr>
                <w:sz w:val="1"/>
                <w:szCs w:val="1"/>
                <w:color w:val="auto"/>
              </w:rPr>
            </w:pPr>
          </w:p>
        </w:tc>
      </w:tr>
      <w:tr>
        <w:trPr>
          <w:trHeight w:val="250"/>
        </w:trPr>
        <w:tc>
          <w:tcPr>
            <w:tcW w:w="1960" w:type="dxa"/>
            <w:vAlign w:val="bottom"/>
            <w:vMerge w:val="continue"/>
          </w:tcPr>
          <w:p>
            <w:pPr>
              <w:spacing w:after="0"/>
              <w:rPr>
                <w:sz w:val="21"/>
                <w:szCs w:val="21"/>
                <w:color w:val="auto"/>
              </w:rPr>
            </w:pPr>
          </w:p>
        </w:tc>
        <w:tc>
          <w:tcPr>
            <w:tcW w:w="2880" w:type="dxa"/>
            <w:vAlign w:val="bottom"/>
            <w:gridSpan w:val="2"/>
            <w:vMerge w:val="continue"/>
          </w:tcPr>
          <w:p>
            <w:pPr>
              <w:spacing w:after="0"/>
              <w:rPr>
                <w:sz w:val="21"/>
                <w:szCs w:val="21"/>
                <w:color w:val="auto"/>
              </w:rPr>
            </w:pPr>
          </w:p>
        </w:tc>
        <w:tc>
          <w:tcPr>
            <w:tcW w:w="51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LA-1106656R1</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Most Favored Customer – 737 MAX</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LA-1106657R1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LA-1106663 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LA-1106664 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LA-1106658</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LA-1106659R3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283"/>
        </w:trPr>
        <w:tc>
          <w:tcPr>
            <w:tcW w:w="1960" w:type="dxa"/>
            <w:vAlign w:val="bottom"/>
          </w:tcPr>
          <w:p>
            <w:pPr>
              <w:spacing w:after="0"/>
              <w:rPr>
                <w:sz w:val="20"/>
                <w:szCs w:val="20"/>
                <w:color w:val="auto"/>
              </w:rPr>
            </w:pPr>
            <w:r>
              <w:rPr>
                <w:rFonts w:ascii="Arial" w:cs="Arial" w:eastAsia="Arial" w:hAnsi="Arial"/>
                <w:sz w:val="22"/>
                <w:szCs w:val="22"/>
                <w:color w:val="auto"/>
              </w:rPr>
              <w:t>LA-1106660</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Spare Parts Initial Provisioning</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94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148"/>
        </w:trPr>
        <w:tc>
          <w:tcPr>
            <w:tcW w:w="9940" w:type="dxa"/>
            <w:vAlign w:val="bottom"/>
            <w:gridSpan w:val="4"/>
            <w:vMerge w:val="continue"/>
          </w:tcPr>
          <w:p>
            <w:pPr>
              <w:spacing w:after="0"/>
              <w:rPr>
                <w:sz w:val="12"/>
                <w:szCs w:val="12"/>
                <w:color w:val="auto"/>
              </w:rPr>
            </w:pPr>
          </w:p>
        </w:tc>
        <w:tc>
          <w:tcPr>
            <w:tcW w:w="960" w:type="dxa"/>
            <w:vAlign w:val="bottom"/>
            <w:vMerge w:val="restart"/>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66"/>
        </w:trPr>
        <w:tc>
          <w:tcPr>
            <w:tcW w:w="1960" w:type="dxa"/>
            <w:vAlign w:val="bottom"/>
            <w:tcBorders>
              <w:top w:val="single" w:sz="8" w:color="auto"/>
            </w:tcBorders>
          </w:tcPr>
          <w:p>
            <w:pPr>
              <w:spacing w:after="0"/>
              <w:rPr>
                <w:sz w:val="5"/>
                <w:szCs w:val="5"/>
                <w:color w:val="auto"/>
              </w:rPr>
            </w:pPr>
          </w:p>
        </w:tc>
        <w:tc>
          <w:tcPr>
            <w:tcW w:w="1600" w:type="dxa"/>
            <w:vAlign w:val="bottom"/>
            <w:tcBorders>
              <w:top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5100" w:type="dxa"/>
            <w:vAlign w:val="bottom"/>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960" w:type="dxa"/>
            <w:vAlign w:val="bottom"/>
          </w:tcPr>
          <w:p>
            <w:pPr>
              <w:spacing w:after="0"/>
              <w:rPr>
                <w:sz w:val="20"/>
                <w:szCs w:val="20"/>
                <w:color w:val="auto"/>
              </w:rPr>
            </w:pPr>
            <w:r>
              <w:rPr>
                <w:rFonts w:ascii="Arial" w:cs="Arial" w:eastAsia="Arial" w:hAnsi="Arial"/>
                <w:sz w:val="22"/>
                <w:szCs w:val="22"/>
                <w:color w:val="auto"/>
              </w:rPr>
              <w:t>LA-1106661R2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LA-1106667</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LA-1106668R1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LA-1106669</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LA-1106670</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LA-1106671R1</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Miscellaneous Commitments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LA-1106672</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Extended Warranty Option</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LA-1106673R1*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LA-1106677</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Optional Features Comfort Letter</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LA-1600073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LA-1600852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LA-1603773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LA-1605402R1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LA-1700919</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LA-1801206</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LA-2002704</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LA-2002743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LA-2003342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83"/>
        </w:trPr>
        <w:tc>
          <w:tcPr>
            <w:tcW w:w="1960" w:type="dxa"/>
            <w:vAlign w:val="bottom"/>
          </w:tcPr>
          <w:p>
            <w:pPr>
              <w:spacing w:after="0"/>
              <w:rPr>
                <w:sz w:val="20"/>
                <w:szCs w:val="20"/>
                <w:color w:val="auto"/>
              </w:rPr>
            </w:pPr>
            <w:r>
              <w:rPr>
                <w:rFonts w:ascii="Arial" w:cs="Arial" w:eastAsia="Arial" w:hAnsi="Arial"/>
                <w:sz w:val="22"/>
                <w:szCs w:val="22"/>
                <w:color w:val="auto"/>
              </w:rPr>
              <w:t>LA-2003486</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14</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8" w:firstLine="8"/>
        <w:spacing w:after="0" w:line="236" w:lineRule="auto"/>
        <w:tabs>
          <w:tab w:leader="none" w:pos="13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1012"/>
          </w:cols>
          <w:pgMar w:left="328" w:top="96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1"/>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SA-27</w:t>
      </w:r>
    </w:p>
    <w:p>
      <w:pPr>
        <w:jc w:val="center"/>
        <w:ind w:right="-211"/>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12"/>
          </w:cols>
          <w:pgMar w:left="328" w:top="962" w:right="559" w:bottom="1440" w:gutter="0" w:footer="0" w:header="0"/>
          <w:type w:val="continuous"/>
        </w:sectPr>
      </w:pPr>
    </w:p>
    <w:bookmarkStart w:id="252" w:name="page253"/>
    <w:bookmarkEnd w:id="25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1-4R6 To</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PA-03735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737-8 [****] Aircraft Delivery, Description, Price and Advance Payments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737-8</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Detail Specification:</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CFMLEAP-</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Engine Model/Thrust: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1B25</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Engine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1020" w:type="dxa"/>
            <w:vAlign w:val="bottom"/>
            <w:tcBorders>
              <w:bottom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Airframe Escalation Data:</w:t>
            </w:r>
          </w:p>
        </w:tc>
        <w:tc>
          <w:tcPr>
            <w:tcW w:w="28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140" w:type="dxa"/>
            <w:vAlign w:val="bottom"/>
            <w:gridSpan w:val="3"/>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102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40" w:type="dxa"/>
            <w:vAlign w:val="bottom"/>
            <w:gridSpan w:val="3"/>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3"/>
            <w:vMerge w:val="continue"/>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80" w:type="dxa"/>
            <w:vAlign w:val="bottom"/>
          </w:tcPr>
          <w:p>
            <w:pPr>
              <w:spacing w:after="0"/>
              <w:rPr>
                <w:sz w:val="24"/>
                <w:szCs w:val="24"/>
                <w:color w:val="auto"/>
              </w:rPr>
            </w:pPr>
          </w:p>
        </w:tc>
        <w:tc>
          <w:tcPr>
            <w:tcW w:w="4280" w:type="dxa"/>
            <w:vAlign w:val="bottom"/>
            <w:tcBorders>
              <w:right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Advance Payment Per Aircraft (Amts. Due/Mos. Prior</w:t>
            </w:r>
          </w:p>
        </w:tc>
        <w:tc>
          <w:tcPr>
            <w:tcW w:w="0" w:type="dxa"/>
            <w:vAlign w:val="bottom"/>
          </w:tcPr>
          <w:p>
            <w:pPr>
              <w:spacing w:after="0"/>
              <w:rPr>
                <w:sz w:val="1"/>
                <w:szCs w:val="1"/>
                <w:color w:val="auto"/>
              </w:rPr>
            </w:pPr>
          </w:p>
        </w:tc>
      </w:tr>
      <w:tr>
        <w:trPr>
          <w:trHeight w:val="31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020" w:type="dxa"/>
            <w:vAlign w:val="bottom"/>
            <w:tcBorders>
              <w:bottom w:val="single" w:sz="8" w:color="C0C0C0"/>
              <w:right w:val="single" w:sz="8" w:color="auto"/>
            </w:tcBorders>
            <w:shd w:val="clear" w:color="auto" w:fill="C0C0C0"/>
          </w:tcPr>
          <w:p>
            <w:pPr>
              <w:spacing w:after="0"/>
              <w:rPr>
                <w:sz w:val="5"/>
                <w:szCs w:val="5"/>
                <w:color w:val="auto"/>
              </w:rPr>
            </w:pPr>
          </w:p>
        </w:tc>
        <w:tc>
          <w:tcPr>
            <w:tcW w:w="122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4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8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 Payment Base</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65"/>
        </w:trPr>
        <w:tc>
          <w:tcPr>
            <w:tcW w:w="104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2160" w:val="left"/>
        </w:tabs>
        <w:rPr>
          <w:sz w:val="20"/>
          <w:szCs w:val="20"/>
          <w:color w:val="auto"/>
        </w:rPr>
      </w:pPr>
      <w:r>
        <w:rPr>
          <w:rFonts w:ascii="Arial" w:cs="Arial" w:eastAsia="Arial" w:hAnsi="Arial"/>
          <w:sz w:val="15"/>
          <w:szCs w:val="15"/>
          <w:color w:val="auto"/>
        </w:rPr>
        <w:t>AAL-PA-03735 118070-1F.txt</w:t>
        <w:tab/>
        <w:t>SA-27</w:t>
      </w:r>
    </w:p>
    <w:p>
      <w:pPr>
        <w:ind w:left="180"/>
        <w:spacing w:after="0" w:line="206" w:lineRule="auto"/>
        <w:rPr>
          <w:sz w:val="20"/>
          <w:szCs w:val="20"/>
          <w:color w:val="auto"/>
        </w:rPr>
      </w:pPr>
      <w:r>
        <w:rPr>
          <w:rFonts w:ascii="Arial" w:cs="Arial" w:eastAsia="Arial" w:hAnsi="Arial"/>
          <w:sz w:val="15"/>
          <w:szCs w:val="15"/>
          <w:color w:val="auto"/>
        </w:rPr>
        <w:t>Page 1</w:t>
      </w:r>
    </w:p>
    <w:p>
      <w:pPr>
        <w:jc w:val="center"/>
        <w:ind w:right="20"/>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60"/>
          </w:cols>
          <w:pgMar w:left="320" w:top="1112" w:right="319" w:bottom="656" w:gutter="0" w:footer="0" w:header="0"/>
        </w:sectPr>
      </w:pPr>
    </w:p>
    <w:bookmarkStart w:id="253" w:name="page254"/>
    <w:bookmarkEnd w:id="253"/>
    <w:tbl>
      <w:tblPr>
        <w:tblLayout w:type="fixed"/>
        <w:tblInd w:w="10" w:type="dxa"/>
        <w:tblCellMar>
          <w:top w:w="0" w:type="dxa"/>
          <w:left w:w="0" w:type="dxa"/>
          <w:bottom w:w="0" w:type="dxa"/>
          <w:right w:w="0" w:type="dxa"/>
        </w:tblCellMar>
      </w:tblPr>
      <w:tr>
        <w:trPr>
          <w:trHeight w:val="297"/>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38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Advance Payment Per Aircraft (Amts. Due/Mos. Prior</w:t>
            </w:r>
          </w:p>
        </w:tc>
        <w:tc>
          <w:tcPr>
            <w:tcW w:w="0" w:type="dxa"/>
            <w:vAlign w:val="bottom"/>
          </w:tcPr>
          <w:p>
            <w:pPr>
              <w:spacing w:after="0"/>
              <w:rPr>
                <w:sz w:val="1"/>
                <w:szCs w:val="1"/>
                <w:color w:val="auto"/>
              </w:rPr>
            </w:pPr>
          </w:p>
        </w:tc>
      </w:tr>
      <w:tr>
        <w:trPr>
          <w:trHeight w:val="31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Estimate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to Delivery):</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5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At</w:t>
            </w:r>
          </w:p>
        </w:tc>
        <w:tc>
          <w:tcPr>
            <w:tcW w:w="8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Adv Payment Base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A/P</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2</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2040" w:type="dxa"/>
            <w:vAlign w:val="bottom"/>
            <w:gridSpan w:val="3"/>
          </w:tcPr>
          <w:p>
            <w:pPr>
              <w:spacing w:after="0"/>
              <w:rPr>
                <w:sz w:val="20"/>
                <w:szCs w:val="20"/>
                <w:color w:val="auto"/>
              </w:rPr>
            </w:pPr>
            <w:r>
              <w:rPr>
                <w:rFonts w:ascii="Arial" w:cs="Arial" w:eastAsia="Arial" w:hAnsi="Arial"/>
                <w:sz w:val="15"/>
                <w:szCs w:val="15"/>
                <w:color w:val="auto"/>
              </w:rPr>
              <w:t>AAL-PA-03735 118070-1F.txt</w:t>
            </w:r>
          </w:p>
        </w:tc>
        <w:tc>
          <w:tcPr>
            <w:tcW w:w="1100" w:type="dxa"/>
            <w:vAlign w:val="bottom"/>
          </w:tcPr>
          <w:p>
            <w:pPr>
              <w:ind w:left="140"/>
              <w:spacing w:after="0"/>
              <w:rPr>
                <w:sz w:val="20"/>
                <w:szCs w:val="20"/>
                <w:color w:val="auto"/>
              </w:rPr>
            </w:pPr>
            <w:r>
              <w:rPr>
                <w:rFonts w:ascii="Arial" w:cs="Arial" w:eastAsia="Arial" w:hAnsi="Arial"/>
                <w:sz w:val="15"/>
                <w:szCs w:val="15"/>
                <w:color w:val="auto"/>
              </w:rPr>
              <w:t>SA-27</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40" w:type="dxa"/>
            <w:vAlign w:val="bottom"/>
          </w:tcPr>
          <w:p>
            <w:pPr>
              <w:ind w:left="180"/>
              <w:spacing w:after="0"/>
              <w:rPr>
                <w:sz w:val="20"/>
                <w:szCs w:val="20"/>
                <w:color w:val="auto"/>
              </w:rPr>
            </w:pPr>
            <w:r>
              <w:rPr>
                <w:rFonts w:ascii="Arial" w:cs="Arial" w:eastAsia="Arial" w:hAnsi="Arial"/>
                <w:sz w:val="15"/>
                <w:szCs w:val="15"/>
                <w:color w:val="auto"/>
              </w:rPr>
              <w:t>Page 2</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40" w:type="dxa"/>
            <w:vAlign w:val="bottom"/>
            <w:gridSpan w:val="2"/>
            <w:vMerge w:val="restart"/>
          </w:tcPr>
          <w:p>
            <w:pPr>
              <w:ind w:left="620"/>
              <w:spacing w:after="0"/>
              <w:rPr>
                <w:sz w:val="20"/>
                <w:szCs w:val="20"/>
                <w:color w:val="auto"/>
              </w:rPr>
            </w:pPr>
            <w:r>
              <w:rPr>
                <w:rFonts w:ascii="Arial" w:cs="Arial" w:eastAsia="Arial" w:hAnsi="Arial"/>
                <w:sz w:val="15"/>
                <w:szCs w:val="15"/>
                <w:b w:val="1"/>
                <w:bCs w:val="1"/>
                <w:color w:val="auto"/>
              </w:rPr>
              <w:t>BOEING PROPRIETARY</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93" w:right="319" w:bottom="1440" w:gutter="0" w:footer="0" w:header="0"/>
        </w:sectPr>
      </w:pPr>
    </w:p>
    <w:bookmarkStart w:id="254" w:name="page255"/>
    <w:bookmarkEnd w:id="254"/>
    <w:p>
      <w:pPr>
        <w:ind w:left="286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200660</wp:posOffset>
            </wp:positionV>
            <wp:extent cx="1491615" cy="3429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860"/>
        <w:spacing w:after="0" w:line="216" w:lineRule="auto"/>
        <w:rPr>
          <w:sz w:val="20"/>
          <w:szCs w:val="20"/>
          <w:color w:val="auto"/>
        </w:rPr>
      </w:pPr>
      <w:r>
        <w:rPr>
          <w:rFonts w:ascii="Arial" w:cs="Arial" w:eastAsia="Arial" w:hAnsi="Arial"/>
          <w:sz w:val="13"/>
          <w:szCs w:val="13"/>
          <w:color w:val="808080"/>
        </w:rPr>
        <w:t>P.O. Box 3707</w:t>
      </w:r>
    </w:p>
    <w:p>
      <w:pPr>
        <w:ind w:left="286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R10</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79" w:lineRule="exact"/>
        <w:rPr>
          <w:sz w:val="20"/>
          <w:szCs w:val="20"/>
          <w:color w:val="auto"/>
        </w:rPr>
      </w:pPr>
    </w:p>
    <w:p>
      <w:pPr>
        <w:ind w:left="1340" w:hanging="1538"/>
        <w:spacing w:after="0" w:line="245"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left="1040" w:hanging="384"/>
        <w:spacing w:after="0"/>
        <w:tabs>
          <w:tab w:leader="none" w:pos="1040"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Table 1R12, Table 1-2, Table 1-3R6, and Table 1-4R6 to the Purchase Agreement as of the date of execution of this Letter Agreement, [****]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37" w:lineRule="exact"/>
        <w:rPr>
          <w:sz w:val="20"/>
          <w:szCs w:val="20"/>
          <w:color w:val="auto"/>
        </w:rPr>
      </w:pPr>
    </w:p>
    <w:p>
      <w:pPr>
        <w:ind w:left="1040" w:hanging="384"/>
        <w:spacing w:after="0"/>
        <w:tabs>
          <w:tab w:leader="none" w:pos="104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Reserved.</w:t>
      </w:r>
    </w:p>
    <w:p>
      <w:pPr>
        <w:spacing w:after="0" w:line="71"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tab/>
        <w:t>[****]. The [****] with [****] ([****]</w:t>
      </w:r>
      <w:r>
        <w:rPr>
          <w:rFonts w:ascii="Arial" w:cs="Arial" w:eastAsia="Arial" w:hAnsi="Arial"/>
          <w:sz w:val="22"/>
          <w:szCs w:val="22"/>
          <w:i w:val="1"/>
          <w:iCs w:val="1"/>
          <w:color w:val="auto"/>
        </w:rPr>
        <w:t>)</w:t>
      </w:r>
      <w:r>
        <w:rPr>
          <w:rFonts w:ascii="Arial" w:cs="Arial" w:eastAsia="Arial" w:hAnsi="Arial"/>
          <w:sz w:val="22"/>
          <w:szCs w:val="22"/>
          <w:color w:val="auto"/>
        </w:rPr>
        <w:t xml:space="preserve"> in [****] for each [****] are listed in Attachment A(R10) to this Letter Agreement. No later than [****] to the [****] in each of calendar years [****], Boeing will provide written notice setting forth [****] with a [****] in such calendar year. Such notice will constitute an amendment to Attachment A(R10) to this Letter Agreement.</w:t>
      </w:r>
    </w:p>
    <w:p>
      <w:pPr>
        <w:spacing w:after="0" w:line="152" w:lineRule="exact"/>
        <w:rPr>
          <w:sz w:val="20"/>
          <w:szCs w:val="20"/>
          <w:color w:val="auto"/>
        </w:rPr>
      </w:pPr>
    </w:p>
    <w:p>
      <w:pPr>
        <w:ind w:left="1040" w:hanging="384"/>
        <w:spacing w:after="0"/>
        <w:tabs>
          <w:tab w:leader="none" w:pos="104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49" w:lineRule="exact"/>
        <w:rPr>
          <w:sz w:val="20"/>
          <w:szCs w:val="20"/>
          <w:color w:val="auto"/>
        </w:rPr>
      </w:pPr>
    </w:p>
    <w:p>
      <w:pPr>
        <w:ind w:left="1560" w:hanging="904"/>
        <w:spacing w:after="0"/>
        <w:tabs>
          <w:tab w:leader="none" w:pos="15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sz w:val="20"/>
          <w:szCs w:val="20"/>
          <w:color w:val="auto"/>
        </w:rPr>
      </w:pPr>
    </w:p>
    <w:p>
      <w:pPr>
        <w:ind w:left="1900" w:hanging="596"/>
        <w:spacing w:after="0"/>
        <w:tabs>
          <w:tab w:leader="none" w:pos="19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R10</w:t>
      </w:r>
      <w:r>
        <w:rPr>
          <w:sz w:val="20"/>
          <w:szCs w:val="20"/>
          <w:color w:val="auto"/>
        </w:rPr>
        <w:tab/>
      </w:r>
      <w:r>
        <w:rPr>
          <w:rFonts w:ascii="Arial" w:cs="Arial" w:eastAsia="Arial" w:hAnsi="Arial"/>
          <w:sz w:val="21"/>
          <w:szCs w:val="21"/>
          <w:color w:val="auto"/>
        </w:rPr>
        <w:t>SA-27</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394" w:right="339" w:bottom="1440" w:gutter="0" w:footer="0" w:header="0"/>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571">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77" w:lineRule="exact"/>
        <w:rPr>
          <w:sz w:val="20"/>
          <w:szCs w:val="20"/>
          <w:color w:val="auto"/>
        </w:rPr>
      </w:pPr>
    </w:p>
    <w:p>
      <w:pPr>
        <w:ind w:left="1040" w:hanging="384"/>
        <w:spacing w:after="0"/>
        <w:tabs>
          <w:tab w:leader="none" w:pos="104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4.1</w:t>
        <w:tab/>
        <w:t>The [****] Aircraft Basic Price for each of the [****] are identified in Attachment A(R10) to this Letter Agreement.</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51" w:lineRule="exact"/>
        <w:rPr>
          <w:sz w:val="20"/>
          <w:szCs w:val="20"/>
          <w:color w:val="auto"/>
        </w:rPr>
      </w:pPr>
    </w:p>
    <w:p>
      <w:pPr>
        <w:ind w:left="1040" w:hanging="384"/>
        <w:spacing w:after="0"/>
        <w:tabs>
          <w:tab w:leader="none" w:pos="104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040" w:hanging="384"/>
        <w:spacing w:after="0"/>
        <w:tabs>
          <w:tab w:leader="none" w:pos="104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jc w:val="right"/>
        <w:ind w:left="660" w:right="9620" w:hanging="4"/>
        <w:spacing w:after="0" w:line="307" w:lineRule="auto"/>
        <w:tabs>
          <w:tab w:leader="none" w:pos="1043"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 xml:space="preserve">[****]. </w:t>
      </w:r>
      <w:r>
        <w:rPr>
          <w:rFonts w:ascii="Arial" w:cs="Arial" w:eastAsia="Arial" w:hAnsi="Arial"/>
          <w:sz w:val="22"/>
          <w:szCs w:val="22"/>
          <w:color w:val="auto"/>
        </w:rPr>
        <w:t>8.1  [****]</w:t>
      </w: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9" w:lineRule="exact"/>
        <w:rPr>
          <w:sz w:val="20"/>
          <w:szCs w:val="20"/>
          <w:color w:val="auto"/>
        </w:rPr>
      </w:pPr>
    </w:p>
    <w:p>
      <w:pPr>
        <w:ind w:left="1040" w:hanging="384"/>
        <w:spacing w:after="0"/>
        <w:tabs>
          <w:tab w:leader="none" w:pos="1040"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R10</w:t>
      </w:r>
      <w:r>
        <w:rPr>
          <w:sz w:val="20"/>
          <w:szCs w:val="20"/>
          <w:color w:val="auto"/>
        </w:rPr>
        <w:tab/>
      </w:r>
      <w:r>
        <w:rPr>
          <w:rFonts w:ascii="Arial" w:cs="Arial" w:eastAsia="Arial" w:hAnsi="Arial"/>
          <w:sz w:val="21"/>
          <w:szCs w:val="21"/>
          <w:color w:val="auto"/>
        </w:rPr>
        <w:t>SA-27</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R10</w:t>
      </w:r>
      <w:r>
        <w:rPr>
          <w:sz w:val="20"/>
          <w:szCs w:val="20"/>
          <w:color w:val="auto"/>
        </w:rPr>
        <w:tab/>
      </w:r>
      <w:r>
        <w:rPr>
          <w:rFonts w:ascii="Arial" w:cs="Arial" w:eastAsia="Arial" w:hAnsi="Arial"/>
          <w:sz w:val="21"/>
          <w:szCs w:val="21"/>
          <w:color w:val="auto"/>
        </w:rPr>
        <w:t>SA-27</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5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57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57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36"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70485</wp:posOffset>
            </wp:positionV>
            <wp:extent cx="25888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57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57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7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R10</w:t>
      </w:r>
      <w:r>
        <w:rPr>
          <w:sz w:val="20"/>
          <w:szCs w:val="20"/>
          <w:color w:val="auto"/>
        </w:rPr>
        <w:tab/>
      </w:r>
      <w:r>
        <w:rPr>
          <w:rFonts w:ascii="Arial" w:cs="Arial" w:eastAsia="Arial" w:hAnsi="Arial"/>
          <w:sz w:val="21"/>
          <w:szCs w:val="21"/>
          <w:color w:val="auto"/>
        </w:rPr>
        <w:t>SA-27</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258" w:name="page259"/>
    <w:bookmarkEnd w:id="258"/>
    <w:p>
      <w:pPr>
        <w:jc w:val="center"/>
        <w:ind w:right="20"/>
        <w:spacing w:after="0"/>
        <w:rPr>
          <w:sz w:val="20"/>
          <w:szCs w:val="20"/>
          <w:color w:val="auto"/>
        </w:rPr>
      </w:pPr>
      <w:r>
        <w:rPr>
          <w:rFonts w:ascii="Arial" w:cs="Arial" w:eastAsia="Arial" w:hAnsi="Arial"/>
          <w:sz w:val="22"/>
          <w:szCs w:val="22"/>
          <w:color w:val="auto"/>
        </w:rPr>
        <w:t>Attachment A(R10) To</w:t>
      </w:r>
    </w:p>
    <w:p>
      <w:pPr>
        <w:jc w:val="center"/>
        <w:ind w:right="20"/>
        <w:spacing w:after="0" w:line="204" w:lineRule="auto"/>
        <w:rPr>
          <w:sz w:val="20"/>
          <w:szCs w:val="20"/>
          <w:color w:val="auto"/>
        </w:rPr>
      </w:pPr>
      <w:r>
        <w:rPr>
          <w:rFonts w:ascii="Arial" w:cs="Arial" w:eastAsia="Arial" w:hAnsi="Arial"/>
          <w:sz w:val="22"/>
          <w:szCs w:val="22"/>
          <w:color w:val="auto"/>
        </w:rPr>
        <w:t>Letter Agreement No. AAL-PA-03735-LA-1106651R8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Model/MTOW:</w:t>
            </w: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737-8</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 pounds</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Detail Specification:</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CFMLEAP-</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Model/Thrust: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1B25</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 pounds</w:t>
            </w:r>
          </w:p>
        </w:tc>
        <w:tc>
          <w:tcPr>
            <w:tcW w:w="34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Airframe Price Base Year/Escalation Formula:</w:t>
            </w:r>
          </w:p>
        </w:tc>
        <w:tc>
          <w:tcPr>
            <w:tcW w:w="118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11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Airframe Price:</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28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Engine Price Base Year/Escalation Formula:</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Optional Features:</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Sub-Total of Airframe and Features:</w:t>
            </w: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28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Airframe Escalation Data:</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680" w:type="dxa"/>
            <w:vAlign w:val="bottom"/>
            <w:gridSpan w:val="3"/>
            <w:vMerge w:val="continue"/>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7"/>
                <w:szCs w:val="17"/>
                <w:color w:val="auto"/>
              </w:rPr>
            </w:pPr>
          </w:p>
        </w:tc>
        <w:tc>
          <w:tcPr>
            <w:tcW w:w="284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Price (Per</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Base Year Index (ECI):</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Aircraft Basic Price (Excluding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BFE/SPE):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Base Year Index (CPI):</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Buyer Furnished Equipment (BFE)</w:t>
            </w: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8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Seller Purchased Equipment (SPE)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LIFT Seats Provided by Boeing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Deposit per Aircraft:</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gridSpan w:val="3"/>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60" w:type="dxa"/>
            <w:vAlign w:val="bottom"/>
            <w:tcBorders>
              <w:right w:val="single" w:sz="8" w:color="auto"/>
            </w:tcBorders>
            <w:shd w:val="clear" w:color="auto" w:fill="C0C0C0"/>
          </w:tcPr>
          <w:p>
            <w:pPr>
              <w:spacing w:after="0"/>
              <w:rPr>
                <w:sz w:val="19"/>
                <w:szCs w:val="19"/>
                <w:color w:val="auto"/>
              </w:rPr>
            </w:pP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200" w:type="dxa"/>
            <w:vAlign w:val="bottom"/>
          </w:tcPr>
          <w:p>
            <w:pPr>
              <w:spacing w:after="0"/>
              <w:rPr>
                <w:sz w:val="19"/>
                <w:szCs w:val="19"/>
                <w:color w:val="auto"/>
              </w:rPr>
            </w:pPr>
          </w:p>
        </w:tc>
        <w:tc>
          <w:tcPr>
            <w:tcW w:w="4720" w:type="dxa"/>
            <w:vAlign w:val="bottom"/>
            <w:tcBorders>
              <w:right w:val="single" w:sz="8" w:color="auto"/>
            </w:tcBorders>
            <w:gridSpan w:val="8"/>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78"/>
        </w:trPr>
        <w:tc>
          <w:tcPr>
            <w:tcW w:w="820" w:type="dxa"/>
            <w:vAlign w:val="bottom"/>
            <w:tcBorders>
              <w:left w:val="single" w:sz="8" w:color="auto"/>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920" w:type="dxa"/>
            <w:vAlign w:val="bottom"/>
            <w:tcBorders>
              <w:bottom w:val="single" w:sz="8" w:color="C0C0C0"/>
              <w:right w:val="single" w:sz="8" w:color="auto"/>
            </w:tcBorders>
            <w:shd w:val="clear" w:color="auto" w:fill="C0C0C0"/>
          </w:tcPr>
          <w:p>
            <w:pPr>
              <w:spacing w:after="0"/>
              <w:rPr>
                <w:sz w:val="6"/>
                <w:szCs w:val="6"/>
                <w:color w:val="auto"/>
              </w:rPr>
            </w:pPr>
          </w:p>
        </w:tc>
        <w:tc>
          <w:tcPr>
            <w:tcW w:w="1160" w:type="dxa"/>
            <w:vAlign w:val="bottom"/>
            <w:tcBorders>
              <w:bottom w:val="single" w:sz="8" w:color="C0C0C0"/>
              <w:right w:val="single" w:sz="8" w:color="auto"/>
            </w:tcBorders>
            <w:shd w:val="clear" w:color="auto" w:fill="C0C0C0"/>
          </w:tcPr>
          <w:p>
            <w:pPr>
              <w:spacing w:after="0"/>
              <w:rPr>
                <w:sz w:val="6"/>
                <w:szCs w:val="6"/>
                <w:color w:val="auto"/>
              </w:rPr>
            </w:pPr>
          </w:p>
        </w:tc>
        <w:tc>
          <w:tcPr>
            <w:tcW w:w="1360" w:type="dxa"/>
            <w:vAlign w:val="bottom"/>
            <w:tcBorders>
              <w:right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2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340" w:type="dxa"/>
            <w:vAlign w:val="bottom"/>
          </w:tcPr>
          <w:p>
            <w:pPr>
              <w:spacing w:after="0"/>
              <w:rPr>
                <w:sz w:val="19"/>
                <w:szCs w:val="19"/>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auto"/>
            </w:tcBorders>
          </w:tcPr>
          <w:p>
            <w:pPr>
              <w:spacing w:after="0"/>
              <w:rPr>
                <w:sz w:val="19"/>
                <w:szCs w:val="19"/>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1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00" w:type="dxa"/>
            <w:vAlign w:val="bottom"/>
          </w:tcPr>
          <w:p>
            <w:pPr>
              <w:spacing w:after="0"/>
              <w:rPr>
                <w:sz w:val="24"/>
                <w:szCs w:val="24"/>
                <w:color w:val="auto"/>
              </w:rPr>
            </w:pP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6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SA-27</w:t>
      </w:r>
    </w:p>
    <w:p>
      <w:pPr>
        <w:ind w:left="480"/>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260"/>
          </w:cols>
          <w:pgMar w:left="320" w:top="731" w:right="319" w:bottom="1440" w:gutter="0" w:footer="0" w:header="0"/>
        </w:sectPr>
      </w:pPr>
    </w:p>
    <w:bookmarkStart w:id="259" w:name="page260"/>
    <w:bookmarkEnd w:id="259"/>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SA-27</w:t>
      </w:r>
    </w:p>
    <w:p>
      <w:pPr>
        <w:ind w:left="48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60"/>
          </w:cols>
          <w:pgMar w:left="320" w:top="815" w:right="319" w:bottom="1440" w:gutter="0" w:footer="0" w:header="0"/>
        </w:sectPr>
      </w:pPr>
    </w:p>
    <w:bookmarkStart w:id="260" w:name="page261"/>
    <w:bookmarkEnd w:id="260"/>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SA-27</w:t>
      </w:r>
    </w:p>
    <w:p>
      <w:pPr>
        <w:ind w:left="48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60"/>
          </w:cols>
          <w:pgMar w:left="320" w:top="815" w:right="319" w:bottom="1440" w:gutter="0" w:footer="0" w:header="0"/>
        </w:sectPr>
      </w:pPr>
    </w:p>
    <w:bookmarkStart w:id="261" w:name="page262"/>
    <w:bookmarkEnd w:id="261"/>
    <w:tbl>
      <w:tblPr>
        <w:tblLayout w:type="fixed"/>
        <w:tblInd w:w="10" w:type="dxa"/>
        <w:tblCellMar>
          <w:top w:w="0" w:type="dxa"/>
          <w:left w:w="0" w:type="dxa"/>
          <w:bottom w:w="0" w:type="dxa"/>
          <w:right w:w="0" w:type="dxa"/>
        </w:tblCellMar>
      </w:tblPr>
      <w:tr>
        <w:trPr>
          <w:trHeight w:val="368"/>
        </w:trPr>
        <w:tc>
          <w:tcPr>
            <w:tcW w:w="82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SA-27</w:t>
      </w:r>
    </w:p>
    <w:p>
      <w:pPr>
        <w:ind w:left="48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60"/>
          </w:cols>
          <w:pgMar w:left="320" w:top="815" w:right="319" w:bottom="1440" w:gutter="0" w:footer="0" w:header="0"/>
        </w:sectPr>
      </w:pPr>
    </w:p>
    <w:bookmarkStart w:id="262" w:name="page263"/>
    <w:bookmarkEnd w:id="262"/>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0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0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0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00" w:type="dxa"/>
            <w:vAlign w:val="bottom"/>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0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SA-27</w:t>
      </w:r>
    </w:p>
    <w:p>
      <w:pPr>
        <w:ind w:left="480"/>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60"/>
          </w:cols>
          <w:pgMar w:left="320" w:top="815" w:right="319" w:bottom="1440" w:gutter="0" w:footer="0" w:header="0"/>
        </w:sectPr>
      </w:pPr>
    </w:p>
    <w:bookmarkStart w:id="263" w:name="page264"/>
    <w:bookmarkEnd w:id="263"/>
    <w:p>
      <w:pPr>
        <w:ind w:left="10040"/>
        <w:spacing w:after="0"/>
        <w:rPr>
          <w:sz w:val="20"/>
          <w:szCs w:val="20"/>
          <w:color w:val="auto"/>
        </w:rPr>
      </w:pPr>
      <w:r>
        <w:rPr>
          <w:rFonts w:ascii="Arial" w:cs="Arial" w:eastAsia="Arial" w:hAnsi="Arial"/>
          <w:sz w:val="17"/>
          <w:szCs w:val="17"/>
          <w:b w:val="1"/>
          <w:bCs w:val="1"/>
          <w:color w:val="auto"/>
        </w:rPr>
        <w:t>Exhibit 10.102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0575" cy="283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579">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92"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28</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This SUPPLEMENTAL AGREEMENT No. 28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28</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November _</w:t>
      </w:r>
      <w:r>
        <w:rPr>
          <w:rFonts w:ascii="Arial" w:cs="Arial" w:eastAsia="Arial" w:hAnsi="Arial"/>
          <w:sz w:val="22"/>
          <w:szCs w:val="22"/>
          <w:u w:val="single" w:color="auto"/>
          <w:color w:val="auto"/>
        </w:rPr>
        <w:t>4</w:t>
      </w:r>
      <w:r>
        <w:rPr>
          <w:rFonts w:ascii="Arial" w:cs="Arial" w:eastAsia="Arial" w:hAnsi="Arial"/>
          <w:sz w:val="22"/>
          <w:szCs w:val="22"/>
          <w:color w:val="auto"/>
        </w:rPr>
        <w:t>__, 2022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3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76"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2"/>
          <w:szCs w:val="22"/>
          <w:color w:val="auto"/>
        </w:rPr>
        <w:t>WHEREAS, Boeing and Customer agree that Customer may substitute the purchase of Boeing model 737-10 aircraft in place of any Firm Aircraft.</w:t>
      </w:r>
    </w:p>
    <w:p>
      <w:pPr>
        <w:spacing w:after="0" w:line="178"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WHEREAS, Boeing and Customer agree to revise Letter Agreement No. AAL-PA-03735-LA-1106652R1 entitled “[</w:t>
      </w:r>
      <w:r>
        <w:rPr>
          <w:rFonts w:ascii="Arial" w:cs="Arial" w:eastAsia="Arial" w:hAnsi="Arial"/>
          <w:sz w:val="22"/>
          <w:szCs w:val="22"/>
          <w:u w:val="single" w:color="auto"/>
          <w:color w:val="auto"/>
        </w:rPr>
        <w:t>****]</w:t>
      </w:r>
      <w:r>
        <w:rPr>
          <w:rFonts w:ascii="Arial" w:cs="Arial" w:eastAsia="Arial" w:hAnsi="Arial"/>
          <w:sz w:val="22"/>
          <w:szCs w:val="22"/>
          <w:color w:val="auto"/>
        </w:rPr>
        <w:t>”, including Attachments A(R1) and B(R1) to reflect [****].</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PA 03735 SA-28</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2" w:right="339" w:bottom="1440" w:gutter="0" w:footer="0" w:header="0"/>
        </w:sectPr>
      </w:pPr>
    </w:p>
    <w:bookmarkStart w:id="264" w:name="page265"/>
    <w:bookmarkEnd w:id="264"/>
    <w:p>
      <w:pPr>
        <w:ind w:left="640" w:hanging="632"/>
        <w:spacing w:after="0"/>
        <w:tabs>
          <w:tab w:leader="none" w:pos="64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SA-27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SA-28 in the footer to reflect changes made to the Purchase Agreement by this SA-28. Such new Table of Contents is hereby incorporated into the Purchase Agreement in replacement of its predecessor.</w:t>
      </w:r>
    </w:p>
    <w:p>
      <w:pPr>
        <w:spacing w:after="0" w:line="152" w:lineRule="exact"/>
        <w:rPr>
          <w:sz w:val="20"/>
          <w:szCs w:val="20"/>
          <w:color w:val="auto"/>
        </w:rPr>
      </w:pPr>
    </w:p>
    <w:p>
      <w:pPr>
        <w:ind w:left="700" w:hanging="692"/>
        <w:spacing w:after="0"/>
        <w:tabs>
          <w:tab w:leader="none" w:pos="70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2.1 New Letter Agreement No. AAL-PA-3735-LA-2204032, (attached hereto) entitled “[****]” inclusive of Attachment A ([****]</w:t>
      </w:r>
      <w:r>
        <w:rPr>
          <w:rFonts w:ascii="Arial" w:cs="Arial" w:eastAsia="Arial" w:hAnsi="Arial"/>
          <w:sz w:val="22"/>
          <w:szCs w:val="22"/>
          <w:b w:val="1"/>
          <w:bCs w:val="1"/>
          <w:color w:val="auto"/>
        </w:rPr>
        <w:t>)</w:t>
      </w:r>
      <w:r>
        <w:rPr>
          <w:rFonts w:ascii="Arial" w:cs="Arial" w:eastAsia="Arial" w:hAnsi="Arial"/>
          <w:sz w:val="22"/>
          <w:szCs w:val="22"/>
          <w:color w:val="auto"/>
        </w:rPr>
        <w:t xml:space="preserve"> and referencing SA-28 in the footer is hereby incorporated into the Purchase Agreement.</w:t>
      </w:r>
    </w:p>
    <w:p>
      <w:pPr>
        <w:spacing w:after="0" w:line="13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2.2 Letter Agreement No. AAL-PA-0375-LA-1106652R1 (including Attachment A(R1) and Attachment B(R1)) entitled “[****]” is hereby deleted in its entirety and replaced with Letter Agreement No. AAL-PA-0375-LA-1106652R2 (including Attachment A(R2) and Attachment B(R2) (attached hereto) entitled “[****]” ([****]) referencing SA-28 in the footer. The [****] is hereby incorporated into the Purchase Agreement.</w:t>
      </w:r>
    </w:p>
    <w:p>
      <w:pPr>
        <w:spacing w:after="0" w:line="179" w:lineRule="exact"/>
        <w:rPr>
          <w:sz w:val="20"/>
          <w:szCs w:val="20"/>
          <w:color w:val="auto"/>
        </w:rPr>
      </w:pPr>
    </w:p>
    <w:p>
      <w:pPr>
        <w:ind w:left="640" w:hanging="632"/>
        <w:spacing w:after="0"/>
        <w:tabs>
          <w:tab w:leader="none" w:pos="64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3.1 The Purchase Agreement is amended and supplemented as set forth above by the revised Table Of Contents, [****], and the [****]. All other terms and conditions of the Purchase Agreement remain unchanged and are in full force and effect.</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3.2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20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264"/>
        </w:trPr>
        <w:tc>
          <w:tcPr>
            <w:tcW w:w="2200" w:type="dxa"/>
            <w:vAlign w:val="bottom"/>
            <w:tcBorders>
              <w:lef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290"/>
        </w:trPr>
        <w:tc>
          <w:tcPr>
            <w:tcW w:w="40" w:type="dxa"/>
            <w:vAlign w:val="bottom"/>
            <w:tcBorders>
              <w:left w:val="single" w:sz="8" w:color="auto"/>
              <w:bottom w:val="single" w:sz="8" w:color="auto"/>
            </w:tcBorders>
          </w:tcPr>
          <w:p>
            <w:pPr>
              <w:spacing w:after="0"/>
              <w:rPr>
                <w:sz w:val="24"/>
                <w:szCs w:val="24"/>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1106652R1</w:t>
            </w:r>
          </w:p>
        </w:tc>
        <w:tc>
          <w:tcPr>
            <w:tcW w:w="27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1106652R2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23" w:right="339" w:bottom="1440" w:gutter="0" w:footer="0" w:header="0"/>
        </w:sectPr>
      </w:pPr>
    </w:p>
    <w:bookmarkStart w:id="265" w:name="page266"/>
    <w:bookmarkEnd w:id="265"/>
    <w:p>
      <w:pPr>
        <w:spacing w:after="0" w:line="10"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8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58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8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58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58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58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58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SA-28</w:t>
      </w:r>
    </w:p>
    <w:p>
      <w:pPr>
        <w:spacing w:after="0" w:line="395" w:lineRule="exact"/>
        <w:rPr>
          <w:sz w:val="20"/>
          <w:szCs w:val="20"/>
          <w:color w:val="auto"/>
        </w:rPr>
      </w:pPr>
    </w:p>
    <w:p>
      <w:pPr>
        <w:jc w:val="right"/>
        <w:ind w:right="329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0139"/>
          </w:cols>
          <w:pgMar w:left="320" w:top="1440" w:right="1440" w:bottom="1440" w:gutter="0" w:footer="0" w:header="0"/>
          <w:type w:val="continuous"/>
        </w:sectPr>
      </w:pPr>
    </w:p>
    <w:bookmarkStart w:id="266" w:name="page267"/>
    <w:bookmarkEnd w:id="266"/>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60" w:type="dxa"/>
            <w:vAlign w:val="bottom"/>
          </w:tcPr>
          <w:p>
            <w:pPr>
              <w:ind w:left="2400"/>
              <w:spacing w:after="0"/>
              <w:rPr>
                <w:sz w:val="20"/>
                <w:szCs w:val="20"/>
                <w:color w:val="auto"/>
              </w:rPr>
            </w:pPr>
            <w:r>
              <w:rPr>
                <w:rFonts w:ascii="Arial" w:cs="Arial" w:eastAsia="Arial" w:hAnsi="Arial"/>
                <w:sz w:val="22"/>
                <w:szCs w:val="22"/>
                <w:b w:val="1"/>
                <w:bCs w:val="1"/>
                <w:color w:val="auto"/>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6"/>
              </w:rPr>
              <w:t>ARTICLES</w:t>
            </w:r>
          </w:p>
        </w:tc>
        <w:tc>
          <w:tcPr>
            <w:tcW w:w="900" w:type="dxa"/>
            <w:vAlign w:val="bottom"/>
            <w:vMerge w:val="restart"/>
          </w:tcPr>
          <w:p>
            <w:pPr>
              <w:spacing w:after="0"/>
              <w:rPr>
                <w:sz w:val="24"/>
                <w:szCs w:val="24"/>
                <w:color w:val="auto"/>
              </w:rPr>
            </w:pPr>
          </w:p>
        </w:tc>
        <w:tc>
          <w:tcPr>
            <w:tcW w:w="796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9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358"/>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1.</w:t>
            </w:r>
          </w:p>
        </w:tc>
        <w:tc>
          <w:tcPr>
            <w:tcW w:w="7960" w:type="dxa"/>
            <w:vAlign w:val="bottom"/>
            <w:vMerge w:val="restart"/>
          </w:tcPr>
          <w:p>
            <w:pPr>
              <w:ind w:left="420"/>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2.</w:t>
            </w:r>
          </w:p>
        </w:tc>
        <w:tc>
          <w:tcPr>
            <w:tcW w:w="7960" w:type="dxa"/>
            <w:vAlign w:val="bottom"/>
            <w:vMerge w:val="restart"/>
          </w:tcPr>
          <w:p>
            <w:pPr>
              <w:ind w:left="420"/>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3.</w:t>
            </w:r>
          </w:p>
        </w:tc>
        <w:tc>
          <w:tcPr>
            <w:tcW w:w="7960" w:type="dxa"/>
            <w:vAlign w:val="bottom"/>
            <w:vMerge w:val="restart"/>
          </w:tcPr>
          <w:p>
            <w:pPr>
              <w:ind w:left="420"/>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4.</w:t>
            </w:r>
          </w:p>
        </w:tc>
        <w:tc>
          <w:tcPr>
            <w:tcW w:w="7960" w:type="dxa"/>
            <w:vAlign w:val="bottom"/>
            <w:vMerge w:val="restart"/>
          </w:tcPr>
          <w:p>
            <w:pPr>
              <w:ind w:left="420"/>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5.</w:t>
            </w:r>
          </w:p>
        </w:tc>
        <w:tc>
          <w:tcPr>
            <w:tcW w:w="7960" w:type="dxa"/>
            <w:vAlign w:val="bottom"/>
          </w:tcPr>
          <w:p>
            <w:pPr>
              <w:ind w:left="420"/>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6.</w:t>
            </w:r>
          </w:p>
        </w:tc>
        <w:tc>
          <w:tcPr>
            <w:tcW w:w="7960" w:type="dxa"/>
            <w:vAlign w:val="bottom"/>
          </w:tcPr>
          <w:p>
            <w:pPr>
              <w:ind w:left="42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TABLE</w:t>
            </w:r>
          </w:p>
        </w:tc>
        <w:tc>
          <w:tcPr>
            <w:tcW w:w="7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Borders>
              <w:top w:val="single" w:sz="8" w:color="auto"/>
            </w:tcBorders>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22"/>
                <w:szCs w:val="22"/>
                <w:color w:val="auto"/>
                <w:w w:val="95"/>
              </w:rPr>
              <w:t>1R12</w:t>
            </w:r>
          </w:p>
        </w:tc>
        <w:tc>
          <w:tcPr>
            <w:tcW w:w="7960" w:type="dxa"/>
            <w:vAlign w:val="bottom"/>
          </w:tcPr>
          <w:p>
            <w:pPr>
              <w:ind w:left="420"/>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19</w:t>
            </w:r>
          </w:p>
        </w:tc>
        <w:tc>
          <w:tcPr>
            <w:tcW w:w="0" w:type="dxa"/>
            <w:vAlign w:val="bottom"/>
          </w:tcPr>
          <w:p>
            <w:pPr>
              <w:spacing w:after="0"/>
              <w:rPr>
                <w:sz w:val="1"/>
                <w:szCs w:val="1"/>
                <w:color w:val="auto"/>
              </w:rPr>
            </w:pPr>
          </w:p>
        </w:tc>
      </w:tr>
      <w:tr>
        <w:trPr>
          <w:trHeight w:val="216"/>
        </w:trPr>
        <w:tc>
          <w:tcPr>
            <w:tcW w:w="1980" w:type="dxa"/>
            <w:vAlign w:val="bottom"/>
            <w:gridSpan w:val="4"/>
          </w:tcPr>
          <w:p>
            <w:pPr>
              <w:jc w:val="center"/>
              <w:ind w:left="172"/>
              <w:spacing w:after="0" w:line="216" w:lineRule="exact"/>
              <w:rPr>
                <w:sz w:val="20"/>
                <w:szCs w:val="20"/>
                <w:color w:val="auto"/>
              </w:rPr>
            </w:pPr>
            <w:r>
              <w:rPr>
                <w:rFonts w:ascii="Arial" w:cs="Arial" w:eastAsia="Arial" w:hAnsi="Arial"/>
                <w:sz w:val="22"/>
                <w:szCs w:val="22"/>
                <w:color w:val="auto"/>
                <w:w w:val="94"/>
              </w:rPr>
              <w:t>1-2</w:t>
            </w:r>
          </w:p>
        </w:tc>
        <w:tc>
          <w:tcPr>
            <w:tcW w:w="7960" w:type="dxa"/>
            <w:vAlign w:val="bottom"/>
          </w:tcPr>
          <w:p>
            <w:pPr>
              <w:ind w:left="420"/>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280" w:type="dxa"/>
            <w:vAlign w:val="bottom"/>
            <w:gridSpan w:val="3"/>
          </w:tcPr>
          <w:p>
            <w:pPr>
              <w:jc w:val="center"/>
              <w:ind w:right="420"/>
              <w:spacing w:after="0" w:line="216" w:lineRule="exact"/>
              <w:rPr>
                <w:sz w:val="20"/>
                <w:szCs w:val="20"/>
                <w:color w:val="auto"/>
              </w:rPr>
            </w:pPr>
            <w:r>
              <w:rPr>
                <w:rFonts w:ascii="Arial" w:cs="Arial" w:eastAsia="Arial" w:hAnsi="Arial"/>
                <w:sz w:val="22"/>
                <w:szCs w:val="22"/>
                <w:color w:val="auto"/>
                <w:w w:val="96"/>
              </w:rPr>
              <w:t>1-3R6</w:t>
            </w:r>
          </w:p>
        </w:tc>
        <w:tc>
          <w:tcPr>
            <w:tcW w:w="7960" w:type="dxa"/>
            <w:vAlign w:val="bottom"/>
          </w:tcPr>
          <w:p>
            <w:pPr>
              <w:ind w:left="420"/>
              <w:spacing w:after="0" w:line="216" w:lineRule="exact"/>
              <w:rPr>
                <w:sz w:val="20"/>
                <w:szCs w:val="20"/>
                <w:color w:val="auto"/>
              </w:rPr>
            </w:pPr>
            <w:r>
              <w:rPr>
                <w:rFonts w:ascii="Arial" w:cs="Arial" w:eastAsia="Arial" w:hAnsi="Arial"/>
                <w:sz w:val="19"/>
                <w:szCs w:val="19"/>
                <w:color w:val="auto"/>
              </w:rPr>
              <w:t>[****]</w:t>
            </w:r>
            <w:r>
              <w:rPr>
                <w:rFonts w:ascii="Arial" w:cs="Arial" w:eastAsia="Arial" w:hAnsi="Arial"/>
                <w:sz w:val="21"/>
                <w:szCs w:val="21"/>
                <w:color w:val="auto"/>
              </w:rPr>
              <w:t>Delivery, Description, Price, and Advance Payments</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19</w:t>
            </w:r>
          </w:p>
        </w:tc>
        <w:tc>
          <w:tcPr>
            <w:tcW w:w="0" w:type="dxa"/>
            <w:vAlign w:val="bottom"/>
          </w:tcPr>
          <w:p>
            <w:pPr>
              <w:spacing w:after="0"/>
              <w:rPr>
                <w:sz w:val="1"/>
                <w:szCs w:val="1"/>
                <w:color w:val="auto"/>
              </w:rPr>
            </w:pPr>
          </w:p>
        </w:tc>
      </w:tr>
      <w:tr>
        <w:trPr>
          <w:trHeight w:val="283"/>
        </w:trPr>
        <w:tc>
          <w:tcPr>
            <w:tcW w:w="700" w:type="dxa"/>
            <w:vAlign w:val="bottom"/>
          </w:tcPr>
          <w:p>
            <w:pPr>
              <w:spacing w:after="0"/>
              <w:rPr>
                <w:sz w:val="24"/>
                <w:szCs w:val="24"/>
                <w:color w:val="auto"/>
              </w:rPr>
            </w:pPr>
          </w:p>
        </w:tc>
        <w:tc>
          <w:tcPr>
            <w:tcW w:w="1280" w:type="dxa"/>
            <w:vAlign w:val="bottom"/>
            <w:gridSpan w:val="3"/>
            <w:vMerge w:val="restart"/>
          </w:tcPr>
          <w:p>
            <w:pPr>
              <w:jc w:val="center"/>
              <w:ind w:right="420"/>
              <w:spacing w:after="0"/>
              <w:rPr>
                <w:sz w:val="20"/>
                <w:szCs w:val="20"/>
                <w:color w:val="auto"/>
              </w:rPr>
            </w:pPr>
            <w:r>
              <w:rPr>
                <w:rFonts w:ascii="Arial" w:cs="Arial" w:eastAsia="Arial" w:hAnsi="Arial"/>
                <w:sz w:val="22"/>
                <w:szCs w:val="22"/>
                <w:color w:val="auto"/>
                <w:w w:val="96"/>
              </w:rPr>
              <w:t>1-4R6</w:t>
            </w:r>
          </w:p>
        </w:tc>
        <w:tc>
          <w:tcPr>
            <w:tcW w:w="7960" w:type="dxa"/>
            <w:vAlign w:val="bottom"/>
          </w:tcPr>
          <w:p>
            <w:pPr>
              <w:ind w:left="420"/>
              <w:spacing w:after="0"/>
              <w:rPr>
                <w:sz w:val="20"/>
                <w:szCs w:val="20"/>
                <w:color w:val="auto"/>
              </w:rPr>
            </w:pPr>
            <w:r>
              <w:rPr>
                <w:rFonts w:ascii="Arial" w:cs="Arial" w:eastAsia="Arial" w:hAnsi="Arial"/>
                <w:sz w:val="22"/>
                <w:szCs w:val="22"/>
                <w:color w:val="auto"/>
              </w:rPr>
              <w:t xml:space="preserve">737-8 </w:t>
            </w:r>
            <w:r>
              <w:rPr>
                <w:rFonts w:ascii="Arial" w:cs="Arial" w:eastAsia="Arial" w:hAnsi="Arial"/>
                <w:sz w:val="18"/>
                <w:szCs w:val="18"/>
                <w:color w:val="auto"/>
              </w:rPr>
              <w:t>[****]</w:t>
            </w:r>
            <w:r>
              <w:rPr>
                <w:rFonts w:ascii="Arial" w:cs="Arial" w:eastAsia="Arial" w:hAnsi="Arial"/>
                <w:sz w:val="22"/>
                <w:szCs w:val="22"/>
                <w:color w:val="auto"/>
              </w:rPr>
              <w:t xml:space="preserve"> Aircraft Delivery, Description, Price, and Advance Payments</w:t>
            </w:r>
          </w:p>
        </w:tc>
        <w:tc>
          <w:tcPr>
            <w:tcW w:w="960" w:type="dxa"/>
            <w:vAlign w:val="bottom"/>
            <w:vMerge w:val="restart"/>
          </w:tcPr>
          <w:p>
            <w:pPr>
              <w:jc w:val="center"/>
              <w:spacing w:after="0"/>
              <w:rPr>
                <w:sz w:val="20"/>
                <w:szCs w:val="20"/>
                <w:color w:val="auto"/>
              </w:rPr>
            </w:pPr>
            <w:r>
              <w:rPr>
                <w:rFonts w:ascii="Arial" w:cs="Arial" w:eastAsia="Arial" w:hAnsi="Arial"/>
                <w:sz w:val="22"/>
                <w:szCs w:val="22"/>
                <w:color w:val="auto"/>
                <w:w w:val="97"/>
              </w:rPr>
              <w:t>27</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79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EXHIBITS</w:t>
            </w:r>
          </w:p>
        </w:tc>
        <w:tc>
          <w:tcPr>
            <w:tcW w:w="7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22"/>
                <w:szCs w:val="22"/>
                <w:color w:val="auto"/>
                <w:w w:val="98"/>
              </w:rPr>
              <w:t>AR1</w:t>
            </w:r>
          </w:p>
        </w:tc>
        <w:tc>
          <w:tcPr>
            <w:tcW w:w="7960" w:type="dxa"/>
            <w:vAlign w:val="bottom"/>
          </w:tcPr>
          <w:p>
            <w:pPr>
              <w:ind w:left="420"/>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83"/>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center"/>
              <w:ind w:right="700"/>
              <w:spacing w:after="0"/>
              <w:rPr>
                <w:sz w:val="20"/>
                <w:szCs w:val="20"/>
                <w:color w:val="auto"/>
              </w:rPr>
            </w:pPr>
            <w:r>
              <w:rPr>
                <w:rFonts w:ascii="Arial" w:cs="Arial" w:eastAsia="Arial" w:hAnsi="Arial"/>
                <w:sz w:val="22"/>
                <w:szCs w:val="22"/>
                <w:color w:val="auto"/>
                <w:w w:val="96"/>
              </w:rPr>
              <w:t>A2</w:t>
            </w:r>
          </w:p>
        </w:tc>
        <w:tc>
          <w:tcPr>
            <w:tcW w:w="7960" w:type="dxa"/>
            <w:vAlign w:val="bottom"/>
          </w:tcPr>
          <w:p>
            <w:pPr>
              <w:ind w:left="420"/>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bl>
    <w:p>
      <w:pPr>
        <w:ind w:left="2400" w:hanging="1373"/>
        <w:spacing w:after="0"/>
        <w:tabs>
          <w:tab w:leader="none" w:pos="24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Aircraft Delivery Requirements and Responsibilities</w:t>
      </w:r>
    </w:p>
    <w:p>
      <w:pPr>
        <w:spacing w:after="0" w:line="17" w:lineRule="exact"/>
        <w:rPr>
          <w:rFonts w:ascii="Arial" w:cs="Arial" w:eastAsia="Arial" w:hAnsi="Arial"/>
          <w:sz w:val="22"/>
          <w:szCs w:val="22"/>
          <w:color w:val="auto"/>
        </w:rPr>
      </w:pPr>
    </w:p>
    <w:p>
      <w:pPr>
        <w:ind w:left="2400" w:hanging="1379"/>
        <w:spacing w:after="0"/>
        <w:tabs>
          <w:tab w:leader="none" w:pos="24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80" w:type="dxa"/>
            <w:vAlign w:val="bottom"/>
          </w:tcPr>
          <w:p>
            <w:pPr>
              <w:jc w:val="center"/>
              <w:ind w:left="172"/>
              <w:spacing w:after="0"/>
              <w:rPr>
                <w:sz w:val="20"/>
                <w:szCs w:val="20"/>
                <w:color w:val="auto"/>
              </w:rPr>
            </w:pPr>
            <w:r>
              <w:rPr>
                <w:rFonts w:ascii="Arial" w:cs="Arial" w:eastAsia="Arial" w:hAnsi="Arial"/>
                <w:sz w:val="22"/>
                <w:szCs w:val="22"/>
                <w:color w:val="auto"/>
                <w:w w:val="96"/>
              </w:rPr>
              <w:t>AE1.</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3"/>
                <w:szCs w:val="23"/>
                <w:color w:val="auto"/>
              </w:rPr>
            </w:pPr>
          </w:p>
        </w:tc>
      </w:tr>
      <w:tr>
        <w:trPr>
          <w:trHeight w:val="270"/>
        </w:trPr>
        <w:tc>
          <w:tcPr>
            <w:tcW w:w="1980" w:type="dxa"/>
            <w:vAlign w:val="bottom"/>
          </w:tcPr>
          <w:p>
            <w:pPr>
              <w:jc w:val="center"/>
              <w:ind w:left="152"/>
              <w:spacing w:after="0"/>
              <w:rPr>
                <w:sz w:val="20"/>
                <w:szCs w:val="20"/>
                <w:color w:val="auto"/>
              </w:rPr>
            </w:pPr>
            <w:r>
              <w:rPr>
                <w:rFonts w:ascii="Arial" w:cs="Arial" w:eastAsia="Arial" w:hAnsi="Arial"/>
                <w:sz w:val="22"/>
                <w:szCs w:val="22"/>
                <w:color w:val="auto"/>
                <w:w w:val="98"/>
              </w:rPr>
              <w:t>BFE1.</w:t>
            </w:r>
          </w:p>
        </w:tc>
        <w:tc>
          <w:tcPr>
            <w:tcW w:w="5900" w:type="dxa"/>
            <w:vAlign w:val="bottom"/>
            <w:gridSpan w:val="2"/>
          </w:tcPr>
          <w:p>
            <w:pPr>
              <w:ind w:left="420"/>
              <w:spacing w:after="0"/>
              <w:rPr>
                <w:sz w:val="20"/>
                <w:szCs w:val="20"/>
                <w:color w:val="auto"/>
              </w:rPr>
            </w:pPr>
            <w:r>
              <w:rPr>
                <w:rFonts w:ascii="Arial" w:cs="Arial" w:eastAsia="Arial" w:hAnsi="Arial"/>
                <w:sz w:val="22"/>
                <w:szCs w:val="22"/>
                <w:color w:val="auto"/>
              </w:rPr>
              <w:t>BFE Variables</w:t>
            </w:r>
          </w:p>
        </w:tc>
        <w:tc>
          <w:tcPr>
            <w:tcW w:w="2660" w:type="dxa"/>
            <w:vAlign w:val="bottom"/>
          </w:tcPr>
          <w:p>
            <w:pPr>
              <w:spacing w:after="0"/>
              <w:rPr>
                <w:sz w:val="23"/>
                <w:szCs w:val="23"/>
                <w:color w:val="auto"/>
              </w:rPr>
            </w:pPr>
          </w:p>
        </w:tc>
      </w:tr>
      <w:tr>
        <w:trPr>
          <w:trHeight w:val="270"/>
        </w:trPr>
        <w:tc>
          <w:tcPr>
            <w:tcW w:w="1980" w:type="dxa"/>
            <w:vAlign w:val="bottom"/>
          </w:tcPr>
          <w:p>
            <w:pPr>
              <w:jc w:val="center"/>
              <w:ind w:left="172"/>
              <w:spacing w:after="0"/>
              <w:rPr>
                <w:sz w:val="20"/>
                <w:szCs w:val="20"/>
                <w:color w:val="auto"/>
              </w:rPr>
            </w:pPr>
            <w:r>
              <w:rPr>
                <w:rFonts w:ascii="Arial" w:cs="Arial" w:eastAsia="Arial" w:hAnsi="Arial"/>
                <w:sz w:val="22"/>
                <w:szCs w:val="22"/>
                <w:color w:val="auto"/>
                <w:w w:val="96"/>
              </w:rPr>
              <w:t>CS1R1.</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4</w:t>
            </w:r>
          </w:p>
        </w:tc>
      </w:tr>
      <w:tr>
        <w:trPr>
          <w:trHeight w:val="270"/>
        </w:trPr>
        <w:tc>
          <w:tcPr>
            <w:tcW w:w="1980" w:type="dxa"/>
            <w:vAlign w:val="bottom"/>
          </w:tcPr>
          <w:p>
            <w:pPr>
              <w:jc w:val="center"/>
              <w:ind w:left="172"/>
              <w:spacing w:after="0"/>
              <w:rPr>
                <w:sz w:val="20"/>
                <w:szCs w:val="20"/>
                <w:color w:val="auto"/>
              </w:rPr>
            </w:pPr>
            <w:r>
              <w:rPr>
                <w:rFonts w:ascii="Arial" w:cs="Arial" w:eastAsia="Arial" w:hAnsi="Arial"/>
                <w:sz w:val="22"/>
                <w:szCs w:val="22"/>
                <w:color w:val="auto"/>
                <w:w w:val="96"/>
              </w:rPr>
              <w:t>EE1.</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3"/>
                <w:szCs w:val="23"/>
                <w:color w:val="auto"/>
              </w:rPr>
            </w:pPr>
          </w:p>
        </w:tc>
      </w:tr>
      <w:tr>
        <w:trPr>
          <w:trHeight w:val="283"/>
        </w:trPr>
        <w:tc>
          <w:tcPr>
            <w:tcW w:w="1980" w:type="dxa"/>
            <w:vAlign w:val="bottom"/>
          </w:tcPr>
          <w:p>
            <w:pPr>
              <w:jc w:val="center"/>
              <w:ind w:left="172"/>
              <w:spacing w:after="0"/>
              <w:rPr>
                <w:sz w:val="20"/>
                <w:szCs w:val="20"/>
                <w:color w:val="auto"/>
              </w:rPr>
            </w:pPr>
            <w:r>
              <w:rPr>
                <w:rFonts w:ascii="Arial" w:cs="Arial" w:eastAsia="Arial" w:hAnsi="Arial"/>
                <w:sz w:val="22"/>
                <w:szCs w:val="22"/>
                <w:color w:val="auto"/>
                <w:w w:val="96"/>
              </w:rPr>
              <w:t>SLP1.</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4"/>
                <w:szCs w:val="24"/>
                <w:color w:val="auto"/>
              </w:rPr>
            </w:pPr>
          </w:p>
        </w:tc>
      </w:tr>
      <w:tr>
        <w:trPr>
          <w:trHeight w:val="297"/>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LETTER AGREEMENTS</w:t>
            </w:r>
          </w:p>
        </w:tc>
        <w:tc>
          <w:tcPr>
            <w:tcW w:w="54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72"/>
        </w:trPr>
        <w:tc>
          <w:tcPr>
            <w:tcW w:w="1980" w:type="dxa"/>
            <w:vAlign w:val="bottom"/>
          </w:tcPr>
          <w:p>
            <w:pPr>
              <w:spacing w:after="0"/>
              <w:rPr>
                <w:sz w:val="20"/>
                <w:szCs w:val="20"/>
                <w:color w:val="auto"/>
              </w:rPr>
            </w:pPr>
            <w:r>
              <w:rPr>
                <w:rFonts w:ascii="Arial" w:cs="Arial" w:eastAsia="Arial" w:hAnsi="Arial"/>
                <w:sz w:val="22"/>
                <w:szCs w:val="22"/>
                <w:color w:val="auto"/>
              </w:rPr>
              <w:t>LA-1106648R1</w:t>
            </w:r>
          </w:p>
        </w:tc>
        <w:tc>
          <w:tcPr>
            <w:tcW w:w="5900" w:type="dxa"/>
            <w:vAlign w:val="bottom"/>
            <w:gridSpan w:val="2"/>
          </w:tcPr>
          <w:p>
            <w:pPr>
              <w:ind w:left="420"/>
              <w:spacing w:after="0"/>
              <w:rPr>
                <w:sz w:val="20"/>
                <w:szCs w:val="20"/>
                <w:color w:val="auto"/>
              </w:rPr>
            </w:pPr>
            <w:r>
              <w:rPr>
                <w:rFonts w:ascii="Arial" w:cs="Arial" w:eastAsia="Arial" w:hAnsi="Arial"/>
                <w:sz w:val="22"/>
                <w:szCs w:val="22"/>
                <w:color w:val="auto"/>
              </w:rPr>
              <w:t>Special Matters</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6</w:t>
            </w:r>
          </w:p>
        </w:tc>
      </w:tr>
      <w:tr>
        <w:trPr>
          <w:trHeight w:val="270"/>
        </w:trPr>
        <w:tc>
          <w:tcPr>
            <w:tcW w:w="1980" w:type="dxa"/>
            <w:vAlign w:val="bottom"/>
          </w:tcPr>
          <w:p>
            <w:pPr>
              <w:spacing w:after="0"/>
              <w:rPr>
                <w:sz w:val="20"/>
                <w:szCs w:val="20"/>
                <w:color w:val="auto"/>
              </w:rPr>
            </w:pPr>
            <w:r>
              <w:rPr>
                <w:rFonts w:ascii="Arial" w:cs="Arial" w:eastAsia="Arial" w:hAnsi="Arial"/>
                <w:sz w:val="22"/>
                <w:szCs w:val="22"/>
                <w:color w:val="auto"/>
              </w:rPr>
              <w:t>LA-1106649</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3"/>
                <w:szCs w:val="23"/>
                <w:color w:val="auto"/>
              </w:rPr>
            </w:pPr>
          </w:p>
        </w:tc>
      </w:tr>
      <w:tr>
        <w:trPr>
          <w:trHeight w:val="270"/>
        </w:trPr>
        <w:tc>
          <w:tcPr>
            <w:tcW w:w="1980" w:type="dxa"/>
            <w:vAlign w:val="bottom"/>
          </w:tcPr>
          <w:p>
            <w:pPr>
              <w:spacing w:after="0"/>
              <w:rPr>
                <w:sz w:val="20"/>
                <w:szCs w:val="20"/>
                <w:color w:val="auto"/>
              </w:rPr>
            </w:pPr>
            <w:r>
              <w:rPr>
                <w:rFonts w:ascii="Arial" w:cs="Arial" w:eastAsia="Arial" w:hAnsi="Arial"/>
                <w:sz w:val="22"/>
                <w:szCs w:val="22"/>
                <w:color w:val="auto"/>
              </w:rPr>
              <w:t>LA-1106650R6</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22</w:t>
            </w:r>
          </w:p>
        </w:tc>
      </w:tr>
      <w:tr>
        <w:trPr>
          <w:trHeight w:val="268"/>
        </w:trPr>
        <w:tc>
          <w:tcPr>
            <w:tcW w:w="1980" w:type="dxa"/>
            <w:vAlign w:val="bottom"/>
          </w:tcPr>
          <w:p>
            <w:pPr>
              <w:spacing w:after="0"/>
              <w:rPr>
                <w:sz w:val="20"/>
                <w:szCs w:val="20"/>
                <w:color w:val="auto"/>
              </w:rPr>
            </w:pPr>
            <w:r>
              <w:rPr>
                <w:rFonts w:ascii="Arial" w:cs="Arial" w:eastAsia="Arial" w:hAnsi="Arial"/>
                <w:sz w:val="22"/>
                <w:szCs w:val="22"/>
                <w:color w:val="auto"/>
              </w:rPr>
              <w:t>LA-1106651R10</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27</w:t>
            </w:r>
          </w:p>
        </w:tc>
      </w:tr>
      <w:tr>
        <w:trPr>
          <w:trHeight w:val="272"/>
        </w:trPr>
        <w:tc>
          <w:tcPr>
            <w:tcW w:w="1980" w:type="dxa"/>
            <w:vAlign w:val="bottom"/>
          </w:tcPr>
          <w:p>
            <w:pPr>
              <w:spacing w:after="0"/>
              <w:rPr>
                <w:sz w:val="20"/>
                <w:szCs w:val="20"/>
                <w:color w:val="auto"/>
              </w:rPr>
            </w:pPr>
            <w:r>
              <w:rPr>
                <w:rFonts w:ascii="Arial" w:cs="Arial" w:eastAsia="Arial" w:hAnsi="Arial"/>
                <w:sz w:val="22"/>
                <w:szCs w:val="22"/>
                <w:b w:val="1"/>
                <w:bCs w:val="1"/>
                <w:color w:val="auto"/>
              </w:rPr>
              <w:t>LA-1106652R2</w:t>
            </w:r>
          </w:p>
        </w:tc>
        <w:tc>
          <w:tcPr>
            <w:tcW w:w="590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b w:val="1"/>
                <w:bCs w:val="1"/>
                <w:color w:val="auto"/>
                <w:w w:val="97"/>
              </w:rPr>
              <w:t>28</w:t>
            </w:r>
          </w:p>
        </w:tc>
      </w:tr>
      <w:tr>
        <w:trPr>
          <w:trHeight w:val="283"/>
        </w:trPr>
        <w:tc>
          <w:tcPr>
            <w:tcW w:w="1980" w:type="dxa"/>
            <w:vAlign w:val="bottom"/>
          </w:tcPr>
          <w:p>
            <w:pPr>
              <w:spacing w:after="0"/>
              <w:rPr>
                <w:sz w:val="20"/>
                <w:szCs w:val="20"/>
                <w:color w:val="auto"/>
              </w:rPr>
            </w:pPr>
            <w:r>
              <w:rPr>
                <w:rFonts w:ascii="Arial" w:cs="Arial" w:eastAsia="Arial" w:hAnsi="Arial"/>
                <w:sz w:val="22"/>
                <w:szCs w:val="22"/>
                <w:color w:val="auto"/>
              </w:rPr>
              <w:t>LA-1106654</w:t>
            </w:r>
          </w:p>
        </w:tc>
        <w:tc>
          <w:tcPr>
            <w:tcW w:w="5900" w:type="dxa"/>
            <w:vAlign w:val="bottom"/>
            <w:gridSpan w:val="2"/>
          </w:tcPr>
          <w:p>
            <w:pPr>
              <w:ind w:left="420"/>
              <w:spacing w:after="0"/>
              <w:rPr>
                <w:sz w:val="20"/>
                <w:szCs w:val="20"/>
                <w:color w:val="auto"/>
              </w:rPr>
            </w:pPr>
            <w:r>
              <w:rPr>
                <w:rFonts w:ascii="Arial" w:cs="Arial" w:eastAsia="Arial" w:hAnsi="Arial"/>
                <w:sz w:val="22"/>
                <w:szCs w:val="22"/>
                <w:color w:val="auto"/>
              </w:rPr>
              <w:t>AGTA Terms Revisions for MAX</w:t>
            </w:r>
          </w:p>
        </w:tc>
        <w:tc>
          <w:tcPr>
            <w:tcW w:w="2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SA-28</w:t>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00"/>
          </w:cols>
          <w:pgMar w:left="400" w:top="1440" w:right="599" w:bottom="1440" w:gutter="0" w:footer="0" w:header="0"/>
        </w:sectPr>
      </w:pPr>
    </w:p>
    <w:bookmarkStart w:id="267" w:name="page268"/>
    <w:bookmarkEnd w:id="267"/>
    <w:p>
      <w:pPr>
        <w:jc w:val="center"/>
        <w:ind w:right="-231"/>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72" w:type="dxa"/>
        <w:tblCellMar>
          <w:top w:w="0" w:type="dxa"/>
          <w:left w:w="0" w:type="dxa"/>
          <w:bottom w:w="0" w:type="dxa"/>
          <w:right w:w="0" w:type="dxa"/>
        </w:tblCellMar>
      </w:tblPr>
      <w:tr>
        <w:trPr>
          <w:trHeight w:val="20"/>
        </w:trPr>
        <w:tc>
          <w:tcPr>
            <w:tcW w:w="1960" w:type="dxa"/>
            <w:vAlign w:val="bottom"/>
            <w:vMerge w:val="restart"/>
          </w:tcPr>
          <w:p>
            <w:pPr>
              <w:spacing w:after="0"/>
              <w:rPr>
                <w:sz w:val="20"/>
                <w:szCs w:val="20"/>
                <w:color w:val="auto"/>
              </w:rPr>
            </w:pPr>
            <w:r>
              <w:rPr>
                <w:rFonts w:ascii="Arial" w:cs="Arial" w:eastAsia="Arial" w:hAnsi="Arial"/>
                <w:sz w:val="22"/>
                <w:szCs w:val="22"/>
                <w:color w:val="auto"/>
                <w:strike w:val="1"/>
              </w:rPr>
              <w:t>LA-1106655</w:t>
            </w:r>
          </w:p>
        </w:tc>
        <w:tc>
          <w:tcPr>
            <w:tcW w:w="2880" w:type="dxa"/>
            <w:vAlign w:val="bottom"/>
            <w:gridSpan w:val="2"/>
            <w:vMerge w:val="restart"/>
          </w:tcPr>
          <w:p>
            <w:pPr>
              <w:ind w:left="440"/>
              <w:spacing w:after="0"/>
              <w:rPr>
                <w:sz w:val="20"/>
                <w:szCs w:val="20"/>
                <w:color w:val="auto"/>
              </w:rPr>
            </w:pPr>
            <w:r>
              <w:rPr>
                <w:rFonts w:ascii="Arial" w:cs="Arial" w:eastAsia="Arial" w:hAnsi="Arial"/>
                <w:sz w:val="22"/>
                <w:szCs w:val="22"/>
                <w:color w:val="auto"/>
                <w:strike w:val="1"/>
                <w:w w:val="97"/>
              </w:rPr>
              <w:t>Open Matters – 737 MAX</w:t>
            </w:r>
          </w:p>
        </w:tc>
        <w:tc>
          <w:tcPr>
            <w:tcW w:w="5100" w:type="dxa"/>
            <w:vAlign w:val="bottom"/>
            <w:vMerge w:val="restart"/>
          </w:tcPr>
          <w:p>
            <w:pPr>
              <w:ind w:left="60"/>
              <w:spacing w:after="0"/>
              <w:rPr>
                <w:sz w:val="20"/>
                <w:szCs w:val="20"/>
                <w:color w:val="auto"/>
              </w:rPr>
            </w:pPr>
            <w:r>
              <w:rPr>
                <w:rFonts w:ascii="Arial" w:cs="Arial" w:eastAsia="Arial" w:hAnsi="Arial"/>
                <w:sz w:val="22"/>
                <w:szCs w:val="22"/>
                <w:color w:val="auto"/>
              </w:rPr>
              <w:t>Withdrawn</w:t>
            </w:r>
          </w:p>
        </w:tc>
        <w:tc>
          <w:tcPr>
            <w:tcW w:w="960" w:type="dxa"/>
            <w:vAlign w:val="bottom"/>
            <w:vMerge w:val="restart"/>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line="20" w:lineRule="exact"/>
              <w:rPr>
                <w:sz w:val="1"/>
                <w:szCs w:val="1"/>
                <w:color w:val="auto"/>
              </w:rPr>
            </w:pPr>
          </w:p>
        </w:tc>
      </w:tr>
      <w:tr>
        <w:trPr>
          <w:trHeight w:val="250"/>
        </w:trPr>
        <w:tc>
          <w:tcPr>
            <w:tcW w:w="1960" w:type="dxa"/>
            <w:vAlign w:val="bottom"/>
            <w:vMerge w:val="continue"/>
          </w:tcPr>
          <w:p>
            <w:pPr>
              <w:spacing w:after="0"/>
              <w:rPr>
                <w:sz w:val="21"/>
                <w:szCs w:val="21"/>
                <w:color w:val="auto"/>
              </w:rPr>
            </w:pPr>
          </w:p>
        </w:tc>
        <w:tc>
          <w:tcPr>
            <w:tcW w:w="2880" w:type="dxa"/>
            <w:vAlign w:val="bottom"/>
            <w:gridSpan w:val="2"/>
            <w:vMerge w:val="continue"/>
          </w:tcPr>
          <w:p>
            <w:pPr>
              <w:spacing w:after="0"/>
              <w:rPr>
                <w:sz w:val="21"/>
                <w:szCs w:val="21"/>
                <w:color w:val="auto"/>
              </w:rPr>
            </w:pPr>
          </w:p>
        </w:tc>
        <w:tc>
          <w:tcPr>
            <w:tcW w:w="51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LA-1106656R1</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Most Favored Customer – 737 MAX</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LA-1106657R1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LA-1106663 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LA-1106664 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LA-1106658</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LA-1106659R3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283"/>
        </w:trPr>
        <w:tc>
          <w:tcPr>
            <w:tcW w:w="1960" w:type="dxa"/>
            <w:vAlign w:val="bottom"/>
          </w:tcPr>
          <w:p>
            <w:pPr>
              <w:spacing w:after="0"/>
              <w:rPr>
                <w:sz w:val="20"/>
                <w:szCs w:val="20"/>
                <w:color w:val="auto"/>
              </w:rPr>
            </w:pPr>
            <w:r>
              <w:rPr>
                <w:rFonts w:ascii="Arial" w:cs="Arial" w:eastAsia="Arial" w:hAnsi="Arial"/>
                <w:sz w:val="22"/>
                <w:szCs w:val="22"/>
                <w:color w:val="auto"/>
              </w:rPr>
              <w:t>LA-1106660</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Spare Parts Initial Provisioning</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94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148"/>
        </w:trPr>
        <w:tc>
          <w:tcPr>
            <w:tcW w:w="9940" w:type="dxa"/>
            <w:vAlign w:val="bottom"/>
            <w:gridSpan w:val="4"/>
            <w:vMerge w:val="continue"/>
          </w:tcPr>
          <w:p>
            <w:pPr>
              <w:spacing w:after="0"/>
              <w:rPr>
                <w:sz w:val="12"/>
                <w:szCs w:val="12"/>
                <w:color w:val="auto"/>
              </w:rPr>
            </w:pPr>
          </w:p>
        </w:tc>
        <w:tc>
          <w:tcPr>
            <w:tcW w:w="960" w:type="dxa"/>
            <w:vAlign w:val="bottom"/>
            <w:vMerge w:val="restart"/>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66"/>
        </w:trPr>
        <w:tc>
          <w:tcPr>
            <w:tcW w:w="1960" w:type="dxa"/>
            <w:vAlign w:val="bottom"/>
            <w:tcBorders>
              <w:top w:val="single" w:sz="8" w:color="auto"/>
            </w:tcBorders>
          </w:tcPr>
          <w:p>
            <w:pPr>
              <w:spacing w:after="0"/>
              <w:rPr>
                <w:sz w:val="5"/>
                <w:szCs w:val="5"/>
                <w:color w:val="auto"/>
              </w:rPr>
            </w:pPr>
          </w:p>
        </w:tc>
        <w:tc>
          <w:tcPr>
            <w:tcW w:w="1600" w:type="dxa"/>
            <w:vAlign w:val="bottom"/>
            <w:tcBorders>
              <w:top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5100" w:type="dxa"/>
            <w:vAlign w:val="bottom"/>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960" w:type="dxa"/>
            <w:vAlign w:val="bottom"/>
          </w:tcPr>
          <w:p>
            <w:pPr>
              <w:spacing w:after="0"/>
              <w:rPr>
                <w:sz w:val="20"/>
                <w:szCs w:val="20"/>
                <w:color w:val="auto"/>
              </w:rPr>
            </w:pPr>
            <w:r>
              <w:rPr>
                <w:rFonts w:ascii="Arial" w:cs="Arial" w:eastAsia="Arial" w:hAnsi="Arial"/>
                <w:sz w:val="22"/>
                <w:szCs w:val="22"/>
                <w:color w:val="auto"/>
              </w:rPr>
              <w:t>LA-1106661R2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LA-1106667</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LA-1106668R1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LA-1106669</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LA-1106670</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LA-1106671R1</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Miscellaneous Commitments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LA-1106672</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Extended Warranty Option</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LA-1106673R1*</w:t>
            </w:r>
          </w:p>
        </w:tc>
        <w:tc>
          <w:tcPr>
            <w:tcW w:w="16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LA-1106677</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Optional Features Comfort Letter</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LA-1600073</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Non-ETOPS Bundled Optional Features Credit Memorandum</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LA-1600852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LA-1603773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LA-1605402R1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23</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LA-1700919</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LA-1801206</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LA-2002704</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LA-2002743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22"/>
                <w:szCs w:val="22"/>
                <w:color w:val="auto"/>
              </w:rPr>
              <w:t>LA-2003342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68"/>
        </w:trPr>
        <w:tc>
          <w:tcPr>
            <w:tcW w:w="1960" w:type="dxa"/>
            <w:vAlign w:val="bottom"/>
          </w:tcPr>
          <w:p>
            <w:pPr>
              <w:spacing w:after="0"/>
              <w:rPr>
                <w:sz w:val="20"/>
                <w:szCs w:val="20"/>
                <w:color w:val="auto"/>
              </w:rPr>
            </w:pPr>
            <w:r>
              <w:rPr>
                <w:rFonts w:ascii="Arial" w:cs="Arial" w:eastAsia="Arial" w:hAnsi="Arial"/>
                <w:sz w:val="22"/>
                <w:szCs w:val="22"/>
                <w:color w:val="auto"/>
              </w:rPr>
              <w:t>LA-2003486</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14</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22"/>
                <w:szCs w:val="22"/>
                <w:b w:val="1"/>
                <w:bCs w:val="1"/>
                <w:color w:val="auto"/>
              </w:rPr>
              <w:t>LA-2204032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28</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8" w:firstLine="8"/>
        <w:spacing w:after="0" w:line="236" w:lineRule="auto"/>
        <w:tabs>
          <w:tab w:leader="none" w:pos="13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1012"/>
          </w:cols>
          <w:pgMar w:left="328" w:top="96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1"/>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SA-28</w:t>
      </w:r>
    </w:p>
    <w:p>
      <w:pPr>
        <w:jc w:val="center"/>
        <w:ind w:right="-211"/>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12"/>
          </w:cols>
          <w:pgMar w:left="328" w:top="962" w:right="559" w:bottom="1440" w:gutter="0" w:footer="0" w:header="0"/>
          <w:type w:val="continuous"/>
        </w:sectPr>
      </w:pPr>
    </w:p>
    <w:bookmarkStart w:id="268" w:name="page269"/>
    <w:bookmarkEnd w:id="268"/>
    <w:p>
      <w:pPr>
        <w:ind w:left="384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t>The Boeing Company</w:t>
      </w:r>
    </w:p>
    <w:p>
      <w:pPr>
        <w:ind w:left="3840"/>
        <w:spacing w:after="0" w:line="216" w:lineRule="auto"/>
        <w:rPr>
          <w:sz w:val="20"/>
          <w:szCs w:val="20"/>
          <w:color w:val="auto"/>
        </w:rPr>
      </w:pPr>
      <w:r>
        <w:rPr>
          <w:rFonts w:ascii="Arial" w:cs="Arial" w:eastAsia="Arial" w:hAnsi="Arial"/>
          <w:sz w:val="13"/>
          <w:szCs w:val="13"/>
          <w:color w:val="808080"/>
        </w:rPr>
        <w:t>P.O. Box 3707</w:t>
      </w:r>
    </w:p>
    <w:p>
      <w:pPr>
        <w:ind w:left="384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AAL-PA-03735-LA-1106652R2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00" w:lineRule="exact"/>
        <w:rPr>
          <w:sz w:val="20"/>
          <w:szCs w:val="20"/>
          <w:color w:val="auto"/>
        </w:rPr>
      </w:pPr>
    </w:p>
    <w:p>
      <w:pPr>
        <w:spacing w:after="0" w:line="20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00" w:lineRule="exact"/>
        <w:rPr>
          <w:sz w:val="20"/>
          <w:szCs w:val="20"/>
          <w:color w:val="auto"/>
        </w:rPr>
      </w:pPr>
    </w:p>
    <w:p>
      <w:pPr>
        <w:spacing w:after="0" w:line="249" w:lineRule="exact"/>
        <w:rPr>
          <w:sz w:val="20"/>
          <w:szCs w:val="20"/>
          <w:color w:val="auto"/>
        </w:rPr>
      </w:pPr>
    </w:p>
    <w:p>
      <w:pPr>
        <w:ind w:left="1300" w:hanging="1295"/>
        <w:spacing w:after="0" w:line="245"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375"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Customer may [****] the purchase of either [****] (</w:t>
      </w:r>
      <w:r>
        <w:rPr>
          <w:rFonts w:ascii="Arial" w:cs="Arial" w:eastAsia="Arial" w:hAnsi="Arial"/>
          <w:sz w:val="22"/>
          <w:szCs w:val="22"/>
          <w:b w:val="1"/>
          <w:bCs w:val="1"/>
          <w:i w:val="1"/>
          <w:iCs w:val="1"/>
          <w:color w:val="auto"/>
        </w:rPr>
        <w:t>Eligible Models</w:t>
      </w:r>
      <w:r>
        <w:rPr>
          <w:rFonts w:ascii="Arial" w:cs="Arial" w:eastAsia="Arial" w:hAnsi="Arial"/>
          <w:sz w:val="22"/>
          <w:szCs w:val="22"/>
          <w:color w:val="auto"/>
        </w:rPr>
        <w:t>) in place of any Firm Aircraft, as defined in article 1 below, subject to the following terms and conditions:</w:t>
      </w:r>
    </w:p>
    <w:p>
      <w:pPr>
        <w:spacing w:after="0" w:line="286" w:lineRule="exact"/>
        <w:rPr>
          <w:sz w:val="20"/>
          <w:szCs w:val="20"/>
          <w:color w:val="auto"/>
        </w:rPr>
      </w:pPr>
    </w:p>
    <w:p>
      <w:pPr>
        <w:ind w:left="1040" w:hanging="384"/>
        <w:spacing w:after="0"/>
        <w:tabs>
          <w:tab w:leader="none" w:pos="104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31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for purposes of this Letter Agreement, means the Boeing model 737-8 aircraft identified on Table 1R12, 1-2, 1-3R6, and 1-4R6 to the Purchase Agreement (as may be amended from time to time) [****].</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means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means [****].</w:t>
      </w:r>
    </w:p>
    <w:p>
      <w:pPr>
        <w:spacing w:after="0" w:line="179" w:lineRule="exact"/>
        <w:rPr>
          <w:sz w:val="20"/>
          <w:szCs w:val="20"/>
          <w:color w:val="auto"/>
        </w:rPr>
      </w:pPr>
    </w:p>
    <w:p>
      <w:pPr>
        <w:ind w:left="1040" w:hanging="384"/>
        <w:spacing w:after="0"/>
        <w:tabs>
          <w:tab w:leader="none" w:pos="104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Customer’s [****]</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Customer shall [****] ([****]) of its [****] ([****]) with the [****]:</w:t>
      </w:r>
    </w:p>
    <w:p>
      <w:pPr>
        <w:spacing w:after="0" w:line="179" w:lineRule="exact"/>
        <w:rPr>
          <w:sz w:val="20"/>
          <w:szCs w:val="20"/>
          <w:color w:val="auto"/>
        </w:rPr>
      </w:pPr>
    </w:p>
    <w:p>
      <w:pPr>
        <w:ind w:left="1560" w:hanging="904"/>
        <w:spacing w:after="0"/>
        <w:tabs>
          <w:tab w:leader="none" w:pos="15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or;</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Such [****].</w:t>
      </w:r>
    </w:p>
    <w:p>
      <w:pPr>
        <w:spacing w:after="0" w:line="179" w:lineRule="exact"/>
        <w:rPr>
          <w:sz w:val="20"/>
          <w:szCs w:val="20"/>
          <w:color w:val="auto"/>
        </w:rPr>
      </w:pPr>
    </w:p>
    <w:p>
      <w:pPr>
        <w:ind w:left="1040" w:hanging="384"/>
        <w:spacing w:after="0"/>
        <w:tabs>
          <w:tab w:leader="none" w:pos="104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Boeing’s [****]</w:t>
      </w:r>
      <w:r>
        <w:rPr>
          <w:rFonts w:ascii="Arial" w:cs="Arial" w:eastAsia="Arial" w:hAnsi="Arial"/>
          <w:sz w:val="22"/>
          <w:szCs w:val="22"/>
          <w:color w:val="auto"/>
        </w:rPr>
        <w:t>.</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Customer’s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color w:val="auto"/>
        </w:rPr>
        <w:t>If Boeing [****].</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AAL-PA-03735-LA-1106652R2</w:t>
      </w:r>
      <w:r>
        <w:rPr>
          <w:sz w:val="20"/>
          <w:szCs w:val="20"/>
          <w:color w:val="auto"/>
        </w:rPr>
        <w:tab/>
      </w:r>
      <w:r>
        <w:rPr>
          <w:rFonts w:ascii="Arial" w:cs="Arial" w:eastAsia="Arial" w:hAnsi="Arial"/>
          <w:sz w:val="21"/>
          <w:szCs w:val="21"/>
          <w:color w:val="auto"/>
        </w:rPr>
        <w:t>SA-28</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219" w:right="339" w:bottom="1440" w:gutter="0" w:footer="0" w:header="0"/>
        </w:sectPr>
      </w:pPr>
    </w:p>
    <w:bookmarkStart w:id="269" w:name="page270"/>
    <w:bookmarkEnd w:id="2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58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line="29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All of Boeing’s [****].</w:t>
      </w:r>
    </w:p>
    <w:p>
      <w:pPr>
        <w:spacing w:after="0" w:line="179" w:lineRule="exact"/>
        <w:rPr>
          <w:sz w:val="20"/>
          <w:szCs w:val="20"/>
          <w:color w:val="auto"/>
        </w:rPr>
      </w:pPr>
    </w:p>
    <w:p>
      <w:pPr>
        <w:jc w:val="right"/>
        <w:ind w:left="660" w:right="9640" w:hanging="4"/>
        <w:spacing w:after="0" w:line="429" w:lineRule="auto"/>
        <w:tabs>
          <w:tab w:leader="none" w:pos="1043"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The [****].</w:t>
      </w:r>
    </w:p>
    <w:p>
      <w:pPr>
        <w:ind w:left="1040" w:hanging="384"/>
        <w:spacing w:after="0"/>
        <w:tabs>
          <w:tab w:leader="none" w:pos="104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Boeing and Customer will [****] into the Purchase Agreement. Boeing and Customer will [****] in accordance with Section 3.2, above. Upon the [****] pursuant to this Section 5, the [****] for purposes of this Letter Agreement and an “[****]” as defined in the Purchase Agreement and shall be governed by the Purchase Agreement.</w:t>
      </w:r>
    </w:p>
    <w:p>
      <w:pPr>
        <w:spacing w:after="0" w:line="14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jc w:val="both"/>
        <w:ind w:left="1180" w:hanging="517"/>
        <w:spacing w:after="0" w:line="217" w:lineRule="auto"/>
        <w:tabs>
          <w:tab w:leader="none" w:pos="1160" w:val="left"/>
        </w:tabs>
        <w:rPr>
          <w:sz w:val="20"/>
          <w:szCs w:val="20"/>
          <w:color w:val="auto"/>
        </w:rPr>
      </w:pPr>
      <w:r>
        <w:rPr>
          <w:rFonts w:ascii="Arial" w:cs="Arial" w:eastAsia="Arial" w:hAnsi="Arial"/>
          <w:sz w:val="22"/>
          <w:szCs w:val="22"/>
          <w:color w:val="auto"/>
        </w:rPr>
        <w:t>6.1</w:t>
        <w:tab/>
        <w:t>The [****] are set forth in Attachment A(R2) and Attachment B(R2), respectively, hereto. The [****] in accordance with the provisions of Supplemental Exhibit AE1. The [****] in accordance with the provisions of Supplemental Exhibit AE1. Attachment A(R2) and Attachment B(R2) [****], however and for the avoidance of doubt, if [****], Customer [****] pursuant to the terms and conditions of this Letter Agreement, [****] on Attachment A(R2) or Attachment B(R2).</w:t>
      </w:r>
    </w:p>
    <w:p>
      <w:pPr>
        <w:spacing w:after="0" w:line="1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Any [****] (the [****]) will be [****]. [****]. If [****], then [****].</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6.3</w:t>
        <w:tab/>
        <w:t>At the [****], Boeing will [****] pursuant to and in accordance with Letter Agreement AAL-PA-03735-LA-</w:t>
      </w:r>
    </w:p>
    <w:p>
      <w:pPr>
        <w:ind w:left="1180"/>
        <w:spacing w:after="0"/>
        <w:rPr>
          <w:sz w:val="20"/>
          <w:szCs w:val="20"/>
          <w:color w:val="auto"/>
        </w:rPr>
      </w:pPr>
      <w:r>
        <w:rPr>
          <w:rFonts w:ascii="Arial" w:cs="Arial" w:eastAsia="Arial" w:hAnsi="Arial"/>
          <w:sz w:val="22"/>
          <w:szCs w:val="22"/>
          <w:color w:val="auto"/>
        </w:rPr>
        <w:t>1106648R1 entitled “[****]”, as it may be subsequently amended.</w:t>
      </w:r>
    </w:p>
    <w:p>
      <w:pPr>
        <w:spacing w:after="0" w:line="200" w:lineRule="exact"/>
        <w:rPr>
          <w:sz w:val="20"/>
          <w:szCs w:val="20"/>
          <w:color w:val="auto"/>
        </w:rPr>
      </w:pPr>
    </w:p>
    <w:p>
      <w:pPr>
        <w:spacing w:after="0" w:line="202" w:lineRule="exact"/>
        <w:rPr>
          <w:sz w:val="20"/>
          <w:szCs w:val="20"/>
          <w:color w:val="auto"/>
        </w:rPr>
      </w:pPr>
    </w:p>
    <w:p>
      <w:pPr>
        <w:ind w:left="1040" w:hanging="384"/>
        <w:spacing w:after="0"/>
        <w:tabs>
          <w:tab w:leader="none" w:pos="104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pacing w:after="0" w:line="149" w:lineRule="exact"/>
        <w:rPr>
          <w:sz w:val="20"/>
          <w:szCs w:val="20"/>
          <w:color w:val="auto"/>
        </w:rPr>
      </w:pPr>
    </w:p>
    <w:p>
      <w:pPr>
        <w:ind w:left="1040" w:hanging="384"/>
        <w:spacing w:after="0"/>
        <w:tabs>
          <w:tab w:leader="none" w:pos="104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AAL-PA-03735-LA-1106652R2</w:t>
      </w:r>
      <w:r>
        <w:rPr>
          <w:sz w:val="20"/>
          <w:szCs w:val="20"/>
          <w:color w:val="auto"/>
        </w:rPr>
        <w:tab/>
      </w:r>
      <w:r>
        <w:rPr>
          <w:rFonts w:ascii="Arial" w:cs="Arial" w:eastAsia="Arial" w:hAnsi="Arial"/>
          <w:sz w:val="21"/>
          <w:szCs w:val="21"/>
          <w:color w:val="auto"/>
        </w:rPr>
        <w:t>SA-28</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AAL-PA-03735-LA-1106652R2</w:t>
      </w:r>
      <w:r>
        <w:rPr>
          <w:sz w:val="20"/>
          <w:szCs w:val="20"/>
          <w:color w:val="auto"/>
        </w:rPr>
        <w:tab/>
      </w:r>
      <w:r>
        <w:rPr>
          <w:rFonts w:ascii="Arial" w:cs="Arial" w:eastAsia="Arial" w:hAnsi="Arial"/>
          <w:sz w:val="21"/>
          <w:szCs w:val="21"/>
          <w:color w:val="auto"/>
        </w:rPr>
        <w:t>SA-28</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271" w:name="page272"/>
    <w:bookmarkEnd w:id="271"/>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59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59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59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Arial" w:cs="Arial" w:eastAsia="Arial" w:hAnsi="Arial"/>
                <w:sz w:val="22"/>
                <w:szCs w:val="22"/>
                <w:color w:val="auto"/>
              </w:rPr>
              <w:t>Date:</w:t>
            </w:r>
          </w:p>
        </w:tc>
        <w:tc>
          <w:tcPr>
            <w:tcW w:w="118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Arial" w:cs="Arial" w:eastAsia="Arial" w:hAnsi="Arial"/>
                <w:sz w:val="22"/>
                <w:szCs w:val="22"/>
                <w:color w:val="auto"/>
              </w:rPr>
              <w:t>November 4, 2022</w:t>
            </w:r>
          </w:p>
        </w:tc>
      </w:tr>
      <w:tr>
        <w:trPr>
          <w:trHeight w:val="80"/>
        </w:trPr>
        <w:tc>
          <w:tcPr>
            <w:tcW w:w="1860" w:type="dxa"/>
            <w:vAlign w:val="bottom"/>
            <w:gridSpan w:val="2"/>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r>
        <w:trPr>
          <w:trHeight w:val="614"/>
        </w:trPr>
        <w:tc>
          <w:tcPr>
            <w:tcW w:w="5940" w:type="dxa"/>
            <w:vAlign w:val="bottom"/>
            <w:gridSpan w:val="3"/>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67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/s/ American Airlines, Inc.</w:t>
            </w:r>
          </w:p>
        </w:tc>
      </w:tr>
      <w:tr>
        <w:trPr>
          <w:trHeight w:val="80"/>
        </w:trPr>
        <w:tc>
          <w:tcPr>
            <w:tcW w:w="6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r>
        <w:trPr>
          <w:trHeight w:val="601"/>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VP, Treasurer</w:t>
            </w:r>
          </w:p>
        </w:tc>
      </w:tr>
      <w:tr>
        <w:trPr>
          <w:trHeight w:val="81"/>
        </w:trPr>
        <w:tc>
          <w:tcPr>
            <w:tcW w:w="6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AAL-PA-03735-LA-1106652R2</w:t>
      </w:r>
      <w:r>
        <w:rPr>
          <w:sz w:val="20"/>
          <w:szCs w:val="20"/>
          <w:color w:val="auto"/>
        </w:rPr>
        <w:tab/>
      </w:r>
      <w:r>
        <w:rPr>
          <w:rFonts w:ascii="Arial" w:cs="Arial" w:eastAsia="Arial" w:hAnsi="Arial"/>
          <w:sz w:val="21"/>
          <w:szCs w:val="21"/>
          <w:color w:val="auto"/>
        </w:rPr>
        <w:t>SA-28</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272" w:name="page273"/>
    <w:bookmarkEnd w:id="2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5803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58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469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594">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469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5721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59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57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6064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606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5378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59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53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5803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58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5378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53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5721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600">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57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5803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60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58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95820" cy="54946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602">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49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ind w:left="160"/>
        <w:spacing w:after="0"/>
        <w:rPr>
          <w:sz w:val="20"/>
          <w:szCs w:val="20"/>
          <w:color w:val="auto"/>
        </w:rPr>
      </w:pPr>
      <w:r>
        <w:rPr>
          <w:rFonts w:ascii="Arial" w:cs="Arial" w:eastAsia="Arial" w:hAnsi="Arial"/>
          <w:sz w:val="18"/>
          <w:szCs w:val="18"/>
          <w:color w:val="auto"/>
        </w:rPr>
        <w:t>The Boeing Company</w:t>
      </w:r>
    </w:p>
    <w:p>
      <w:pPr>
        <w:ind w:left="200"/>
        <w:spacing w:after="0" w:line="219" w:lineRule="auto"/>
        <w:rPr>
          <w:sz w:val="20"/>
          <w:szCs w:val="20"/>
          <w:color w:val="auto"/>
        </w:rPr>
      </w:pPr>
      <w:r>
        <w:rPr>
          <w:rFonts w:ascii="Arial" w:cs="Arial" w:eastAsia="Arial" w:hAnsi="Arial"/>
          <w:sz w:val="18"/>
          <w:szCs w:val="18"/>
          <w:color w:val="auto"/>
        </w:rPr>
        <w:t>P.O. Box 3707</w:t>
      </w:r>
    </w:p>
    <w:p>
      <w:pPr>
        <w:ind w:left="200"/>
        <w:spacing w:after="0"/>
        <w:rPr>
          <w:sz w:val="20"/>
          <w:szCs w:val="20"/>
          <w:color w:val="auto"/>
        </w:rPr>
      </w:pPr>
      <w:r>
        <w:rPr>
          <w:rFonts w:ascii="Arial" w:cs="Arial" w:eastAsia="Arial" w:hAnsi="Arial"/>
          <w:sz w:val="18"/>
          <w:szCs w:val="18"/>
          <w:color w:val="auto"/>
        </w:rPr>
        <w:t>Seattle, WA 98124 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60195" cy="3600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603">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AAL-PA-03735-LA-2204032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00" w:lineRule="exact"/>
        <w:rPr>
          <w:sz w:val="20"/>
          <w:szCs w:val="20"/>
          <w:color w:val="auto"/>
        </w:rPr>
      </w:pP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00" w:lineRule="exact"/>
        <w:rPr>
          <w:sz w:val="20"/>
          <w:szCs w:val="20"/>
          <w:color w:val="auto"/>
        </w:rPr>
      </w:pPr>
    </w:p>
    <w:p>
      <w:pPr>
        <w:spacing w:after="0" w:line="247" w:lineRule="exact"/>
        <w:rPr>
          <w:sz w:val="20"/>
          <w:szCs w:val="20"/>
          <w:color w:val="auto"/>
        </w:rPr>
      </w:pPr>
    </w:p>
    <w:p>
      <w:pPr>
        <w:ind w:left="1300" w:hanging="1295"/>
        <w:spacing w:after="0" w:line="247"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370" w:lineRule="exact"/>
        <w:rPr>
          <w:sz w:val="20"/>
          <w:szCs w:val="20"/>
          <w:color w:val="auto"/>
        </w:rPr>
      </w:pPr>
    </w:p>
    <w:p>
      <w:pPr>
        <w:ind w:right="20" w:firstLine="648"/>
        <w:spacing w:after="0" w:line="23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will have the same meaning as in the Purchase Agreement.</w:t>
      </w:r>
    </w:p>
    <w:p>
      <w:pPr>
        <w:spacing w:after="0" w:line="150"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Customer may [****] the purchase of [****] aircraft in place of any Firm Aircraft, as defined in Section 1 below, subject to the following terms and conditions:</w:t>
      </w:r>
    </w:p>
    <w:p>
      <w:pPr>
        <w:spacing w:after="0" w:line="43" w:lineRule="exact"/>
        <w:rPr>
          <w:sz w:val="20"/>
          <w:szCs w:val="20"/>
          <w:color w:val="auto"/>
        </w:rPr>
      </w:pPr>
    </w:p>
    <w:p>
      <w:pPr>
        <w:ind w:left="640" w:hanging="632"/>
        <w:spacing w:after="0"/>
        <w:tabs>
          <w:tab w:leader="none" w:pos="6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31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for purposes of this Letter Agreement, means the Boeing model 737-8 aircraft identified on Table 1R12, 1-2, 1-3R6, and 1-4R5 to the Purchase Agreement (as may be amended from time to time) [****].</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for purposes of this Letter Agreement, means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for purposes of this Letter Agreement, means [****].</w:t>
      </w:r>
    </w:p>
    <w:p>
      <w:pPr>
        <w:spacing w:after="0" w:line="314" w:lineRule="exact"/>
        <w:rPr>
          <w:sz w:val="20"/>
          <w:szCs w:val="20"/>
          <w:color w:val="auto"/>
        </w:rPr>
      </w:pPr>
    </w:p>
    <w:p>
      <w:pPr>
        <w:ind w:left="640" w:hanging="632"/>
        <w:spacing w:after="0"/>
        <w:tabs>
          <w:tab w:leader="none" w:pos="64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Customer’s [****]</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Customer shall [****] ([****]) of its [****] ([****]) with the [****],</w:t>
      </w:r>
    </w:p>
    <w:p>
      <w:pPr>
        <w:spacing w:after="0" w:line="395" w:lineRule="exact"/>
        <w:rPr>
          <w:rFonts w:ascii="Arial" w:cs="Arial" w:eastAsia="Arial" w:hAnsi="Arial"/>
          <w:sz w:val="22"/>
          <w:szCs w:val="22"/>
          <w:color w:val="auto"/>
        </w:rPr>
      </w:pPr>
    </w:p>
    <w:p>
      <w:pPr>
        <w:ind w:left="1940" w:hanging="636"/>
        <w:spacing w:after="0"/>
        <w:tabs>
          <w:tab w:leader="none" w:pos="194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 or;</w:t>
      </w:r>
    </w:p>
    <w:p>
      <w:pPr>
        <w:spacing w:after="0" w:line="71" w:lineRule="exact"/>
        <w:rPr>
          <w:rFonts w:ascii="Arial" w:cs="Arial" w:eastAsia="Arial" w:hAnsi="Arial"/>
          <w:sz w:val="22"/>
          <w:szCs w:val="22"/>
          <w:color w:val="auto"/>
        </w:rPr>
      </w:pPr>
    </w:p>
    <w:p>
      <w:pPr>
        <w:ind w:left="1940" w:hanging="636"/>
        <w:spacing w:after="0"/>
        <w:tabs>
          <w:tab w:leader="none" w:pos="194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Such [****].</w:t>
      </w:r>
    </w:p>
    <w:p>
      <w:pPr>
        <w:spacing w:after="0" w:line="71" w:lineRule="exact"/>
        <w:rPr>
          <w:sz w:val="20"/>
          <w:szCs w:val="20"/>
          <w:color w:val="auto"/>
        </w:rPr>
      </w:pPr>
    </w:p>
    <w:p>
      <w:pPr>
        <w:ind w:left="640" w:hanging="632"/>
        <w:spacing w:after="0"/>
        <w:tabs>
          <w:tab w:leader="none" w:pos="640"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3.1  Customer’s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  If Boeing [****].</w:t>
      </w:r>
    </w:p>
    <w:p>
      <w:pPr>
        <w:spacing w:after="0" w:line="71" w:lineRule="exact"/>
        <w:rPr>
          <w:rFonts w:ascii="Arial" w:cs="Arial" w:eastAsia="Arial" w:hAnsi="Arial"/>
          <w:sz w:val="22"/>
          <w:szCs w:val="22"/>
          <w:color w:val="auto"/>
        </w:rPr>
      </w:pPr>
    </w:p>
    <w:p>
      <w:pPr>
        <w:ind w:left="740"/>
        <w:spacing w:after="0"/>
        <w:rPr>
          <w:rFonts w:ascii="Arial" w:cs="Arial" w:eastAsia="Arial" w:hAnsi="Arial"/>
          <w:sz w:val="22"/>
          <w:szCs w:val="22"/>
          <w:color w:val="auto"/>
        </w:rPr>
      </w:pPr>
      <w:r>
        <w:rPr>
          <w:rFonts w:ascii="Arial" w:cs="Arial" w:eastAsia="Arial" w:hAnsi="Arial"/>
          <w:sz w:val="22"/>
          <w:szCs w:val="22"/>
          <w:color w:val="auto"/>
        </w:rPr>
        <w:t>3.3  All of Boeing’s [****].</w:t>
      </w:r>
    </w:p>
    <w:p>
      <w:pPr>
        <w:spacing w:after="0" w:line="179" w:lineRule="exact"/>
        <w:rPr>
          <w:rFonts w:ascii="Arial" w:cs="Arial" w:eastAsia="Arial" w:hAnsi="Arial"/>
          <w:sz w:val="22"/>
          <w:szCs w:val="22"/>
          <w:color w:val="auto"/>
        </w:rPr>
      </w:pPr>
    </w:p>
    <w:p>
      <w:pPr>
        <w:ind w:left="640" w:hanging="632"/>
        <w:spacing w:after="0"/>
        <w:tabs>
          <w:tab w:leader="none" w:pos="6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94"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AAL-PA-03735-LA-2204032</w:t>
      </w:r>
      <w:r>
        <w:rPr>
          <w:sz w:val="20"/>
          <w:szCs w:val="20"/>
          <w:color w:val="auto"/>
        </w:rPr>
        <w:tab/>
      </w:r>
      <w:r>
        <w:rPr>
          <w:rFonts w:ascii="Arial" w:cs="Arial" w:eastAsia="Arial" w:hAnsi="Arial"/>
          <w:sz w:val="21"/>
          <w:szCs w:val="21"/>
          <w:color w:val="auto"/>
        </w:rPr>
        <w:t>SA-28</w:t>
      </w:r>
    </w:p>
    <w:p>
      <w:pPr>
        <w:spacing w:after="0" w:line="204" w:lineRule="auto"/>
        <w:tabs>
          <w:tab w:leader="none" w:pos="740" w:val="left"/>
        </w:tabs>
        <w:rPr>
          <w:sz w:val="20"/>
          <w:szCs w:val="20"/>
          <w:color w:val="auto"/>
        </w:rPr>
      </w:pPr>
      <w:r>
        <w:rPr>
          <w:rFonts w:ascii="Arial" w:cs="Arial" w:eastAsia="Arial" w:hAnsi="Arial"/>
          <w:sz w:val="22"/>
          <w:szCs w:val="22"/>
          <w:color w:val="auto"/>
        </w:rPr>
        <w:t>[****]</w:t>
        <w:tab/>
        <w:t>Page 1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94" w:right="339" w:bottom="1440" w:gutter="0" w:footer="0" w:header="0"/>
        </w:sectPr>
      </w:pPr>
    </w:p>
    <w:bookmarkStart w:id="283" w:name="page284"/>
    <w:bookmarkEnd w:id="283"/>
    <w:p>
      <w:pPr>
        <w:spacing w:after="0" w:line="34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Boeing and Customer will [****] into the Purchase Agreement. Boeing and Customer will [****] in accordance with Section 3.2 above. Upon the [****] pursuant to this Section 4, the [****] for purposes of this Letter Agreement and an “[****]” as defined in the Purchase Agreement and shall be governed by the Purchase Agreement.</w:t>
      </w:r>
    </w:p>
    <w:p>
      <w:pPr>
        <w:spacing w:after="0" w:line="41" w:lineRule="exact"/>
        <w:rPr>
          <w:sz w:val="20"/>
          <w:szCs w:val="20"/>
          <w:color w:val="auto"/>
        </w:rPr>
      </w:pPr>
    </w:p>
    <w:p>
      <w:pPr>
        <w:ind w:left="640" w:hanging="632"/>
        <w:spacing w:after="0"/>
        <w:tabs>
          <w:tab w:leader="none" w:pos="6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1300" w:hanging="648"/>
        <w:spacing w:after="0" w:line="226" w:lineRule="auto"/>
        <w:rPr>
          <w:rFonts w:ascii="Arial" w:cs="Arial" w:eastAsia="Arial" w:hAnsi="Arial"/>
          <w:sz w:val="22"/>
          <w:szCs w:val="22"/>
          <w:color w:val="auto"/>
        </w:rPr>
      </w:pPr>
      <w:r>
        <w:rPr>
          <w:rFonts w:ascii="Arial" w:cs="Arial" w:eastAsia="Arial" w:hAnsi="Arial"/>
          <w:sz w:val="22"/>
          <w:szCs w:val="22"/>
          <w:color w:val="auto"/>
        </w:rPr>
        <w:t>5.1 The [****] is set forth in Attachment A of this Letter Agreement. The [****] in accordance with the provisions of Supplemental Exhibit AE1 to the Purchase Agreement. The [****] in accordance with the provisions of Supplemental Exhibit AE1. [****].</w:t>
      </w:r>
    </w:p>
    <w:p>
      <w:pPr>
        <w:spacing w:after="0" w:line="4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Any [****] (the [****]) will [****]. [****]. If [****], then [****].</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color w:val="auto"/>
        </w:rPr>
        <w:t>At the [****], Boeing will [****]:</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5.3.1  [****].</w:t>
      </w:r>
    </w:p>
    <w:p>
      <w:pPr>
        <w:spacing w:after="0" w:line="71"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22"/>
          <w:szCs w:val="22"/>
          <w:color w:val="auto"/>
        </w:rPr>
        <w:t>5.3.1.1</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22"/>
          <w:szCs w:val="22"/>
          <w:color w:val="auto"/>
        </w:rPr>
        <w:t>5.3.1.2</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22"/>
          <w:szCs w:val="22"/>
          <w:color w:val="auto"/>
        </w:rPr>
        <w:t>5.3.1.3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5.3.2  [****].</w:t>
      </w:r>
    </w:p>
    <w:p>
      <w:pPr>
        <w:spacing w:after="0" w:line="71"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22"/>
          <w:szCs w:val="22"/>
          <w:color w:val="auto"/>
        </w:rPr>
        <w:t>5.3.2.1</w:t>
      </w:r>
      <w:r>
        <w:rPr>
          <w:sz w:val="20"/>
          <w:szCs w:val="20"/>
          <w:color w:val="auto"/>
        </w:rPr>
        <w:tab/>
      </w:r>
      <w:r>
        <w:rPr>
          <w:rFonts w:ascii="Arial" w:cs="Arial" w:eastAsia="Arial" w:hAnsi="Arial"/>
          <w:sz w:val="21"/>
          <w:szCs w:val="21"/>
          <w:color w:val="auto"/>
        </w:rPr>
        <w:t>[****]. [****].</w:t>
      </w:r>
    </w:p>
    <w:p>
      <w:pPr>
        <w:spacing w:after="0" w:line="71"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22"/>
          <w:szCs w:val="22"/>
          <w:color w:val="auto"/>
        </w:rPr>
        <w:t>5.3.2.2</w:t>
      </w:r>
      <w:r>
        <w:rPr>
          <w:sz w:val="20"/>
          <w:szCs w:val="20"/>
          <w:color w:val="auto"/>
        </w:rPr>
        <w:tab/>
      </w:r>
      <w:r>
        <w:rPr>
          <w:rFonts w:ascii="Arial" w:cs="Arial" w:eastAsia="Arial" w:hAnsi="Arial"/>
          <w:sz w:val="21"/>
          <w:szCs w:val="21"/>
          <w:color w:val="auto"/>
        </w:rPr>
        <w:t>[****]. Except as otherwise noted in Section 5.3.1.2 above, [****].</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5.3.3  </w:t>
      </w:r>
      <w:r>
        <w:rPr>
          <w:rFonts w:ascii="Arial" w:cs="Arial" w:eastAsia="Arial" w:hAnsi="Arial"/>
          <w:sz w:val="22"/>
          <w:szCs w:val="22"/>
          <w:u w:val="single" w:color="auto"/>
          <w:color w:val="auto"/>
        </w:rPr>
        <w:t>Other Terms</w:t>
      </w:r>
      <w:r>
        <w:rPr>
          <w:rFonts w:ascii="Arial" w:cs="Arial" w:eastAsia="Arial" w:hAnsi="Arial"/>
          <w:sz w:val="22"/>
          <w:szCs w:val="22"/>
          <w:color w:val="auto"/>
        </w:rPr>
        <w:t>.</w:t>
      </w:r>
    </w:p>
    <w:p>
      <w:pPr>
        <w:spacing w:after="0" w:line="71"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22"/>
          <w:szCs w:val="22"/>
          <w:color w:val="auto"/>
        </w:rPr>
        <w:t>5.3.3.1</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1040" w:hanging="384"/>
        <w:spacing w:after="0"/>
        <w:tabs>
          <w:tab w:leader="none" w:pos="104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41" w:lineRule="exact"/>
        <w:rPr>
          <w:sz w:val="20"/>
          <w:szCs w:val="20"/>
          <w:color w:val="auto"/>
        </w:rPr>
      </w:pPr>
    </w:p>
    <w:p>
      <w:pPr>
        <w:ind w:left="1040" w:hanging="384"/>
        <w:spacing w:after="0"/>
        <w:tabs>
          <w:tab w:leader="none" w:pos="104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AAL-PA-03735-LA-2204032</w:t>
      </w:r>
      <w:r>
        <w:rPr>
          <w:sz w:val="20"/>
          <w:szCs w:val="20"/>
          <w:color w:val="auto"/>
        </w:rPr>
        <w:tab/>
      </w:r>
      <w:r>
        <w:rPr>
          <w:rFonts w:ascii="Arial" w:cs="Arial" w:eastAsia="Arial" w:hAnsi="Arial"/>
          <w:sz w:val="21"/>
          <w:szCs w:val="21"/>
          <w:color w:val="auto"/>
        </w:rPr>
        <w:t>SA-28</w:t>
      </w:r>
    </w:p>
    <w:p>
      <w:pPr>
        <w:spacing w:after="0" w:line="204" w:lineRule="auto"/>
        <w:tabs>
          <w:tab w:leader="none" w:pos="74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267" w:lineRule="exact"/>
        <w:rPr>
          <w:sz w:val="20"/>
          <w:szCs w:val="20"/>
          <w:color w:val="auto"/>
        </w:rPr>
      </w:pPr>
    </w:p>
    <w:p>
      <w:pPr>
        <w:ind w:left="20"/>
        <w:spacing w:after="0"/>
        <w:rPr>
          <w:sz w:val="20"/>
          <w:szCs w:val="20"/>
          <w:color w:val="auto"/>
        </w:rPr>
      </w:pPr>
      <w:r>
        <w:rPr>
          <w:rFonts w:ascii="Arial" w:cs="Arial" w:eastAsia="Arial" w:hAnsi="Arial"/>
          <w:sz w:val="21"/>
          <w:szCs w:val="21"/>
          <w:color w:val="auto"/>
        </w:rPr>
        <w:t>ACCEPTED AND AGREED TO this</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260604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60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440"/>
            <w:col w:w="10180"/>
          </w:cols>
          <w:pgMar w:left="320" w:top="1440" w:right="419" w:bottom="1440" w:gutter="0" w:footer="0" w:header="0"/>
          <w:type w:val="continuous"/>
        </w:sect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AMERICAN AIRLINES, INC.</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BOEING COMPANY</w:t>
      </w:r>
    </w:p>
    <w:p>
      <w:pPr>
        <w:spacing w:after="0" w:line="200" w:lineRule="exact"/>
        <w:rPr>
          <w:sz w:val="20"/>
          <w:szCs w:val="20"/>
          <w:color w:val="auto"/>
        </w:rPr>
      </w:pPr>
    </w:p>
    <w:p>
      <w:pPr>
        <w:sectPr>
          <w:pgSz w:w="11900" w:h="16838" w:orient="portrait"/>
          <w:cols w:equalWidth="0" w:num="2">
            <w:col w:w="4800" w:space="720"/>
            <w:col w:w="5640"/>
          </w:cols>
          <w:pgMar w:left="32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20"/>
              <w:spacing w:after="0"/>
              <w:rPr>
                <w:sz w:val="20"/>
                <w:szCs w:val="20"/>
                <w:color w:val="auto"/>
              </w:rPr>
            </w:pPr>
            <w:r>
              <w:rPr>
                <w:rFonts w:ascii="Arial" w:cs="Arial" w:eastAsia="Arial" w:hAnsi="Arial"/>
                <w:sz w:val="22"/>
                <w:szCs w:val="22"/>
                <w:color w:val="auto"/>
              </w:rPr>
              <w:t>/s/ American Airlines, Inc.</w:t>
            </w:r>
          </w:p>
        </w:tc>
        <w:tc>
          <w:tcPr>
            <w:tcW w:w="1400" w:type="dxa"/>
            <w:vAlign w:val="bottom"/>
          </w:tcPr>
          <w:p>
            <w:pPr>
              <w:ind w:left="440"/>
              <w:spacing w:after="0"/>
              <w:rPr>
                <w:sz w:val="20"/>
                <w:szCs w:val="20"/>
                <w:color w:val="auto"/>
              </w:rPr>
            </w:pPr>
            <w:r>
              <w:rPr>
                <w:rFonts w:ascii="Arial" w:cs="Arial" w:eastAsia="Arial" w:hAnsi="Arial"/>
                <w:sz w:val="22"/>
                <w:szCs w:val="22"/>
                <w:color w:val="auto"/>
              </w:rPr>
              <w:t>By:</w:t>
            </w:r>
          </w:p>
        </w:tc>
        <w:tc>
          <w:tcPr>
            <w:tcW w:w="4680" w:type="dxa"/>
            <w:vAlign w:val="bottom"/>
          </w:tcPr>
          <w:p>
            <w:pPr>
              <w:spacing w:after="0"/>
              <w:rPr>
                <w:sz w:val="20"/>
                <w:szCs w:val="20"/>
                <w:color w:val="auto"/>
              </w:rPr>
            </w:pPr>
            <w:r>
              <w:rPr>
                <w:rFonts w:ascii="Arial" w:cs="Arial" w:eastAsia="Arial" w:hAnsi="Arial"/>
                <w:sz w:val="22"/>
                <w:szCs w:val="22"/>
                <w:color w:val="auto"/>
              </w:rPr>
              <w:t>/s/ The Boeing Company</w:t>
            </w:r>
          </w:p>
        </w:tc>
      </w:tr>
      <w:tr>
        <w:trPr>
          <w:trHeight w:val="80"/>
        </w:trPr>
        <w:tc>
          <w:tcPr>
            <w:tcW w:w="940" w:type="dxa"/>
            <w:vAlign w:val="bottom"/>
          </w:tcPr>
          <w:p>
            <w:pPr>
              <w:spacing w:after="0"/>
              <w:rPr>
                <w:sz w:val="7"/>
                <w:szCs w:val="7"/>
                <w:color w:val="auto"/>
              </w:rPr>
            </w:pPr>
          </w:p>
        </w:tc>
        <w:tc>
          <w:tcPr>
            <w:tcW w:w="412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r>
      <w:tr>
        <w:trPr>
          <w:trHeight w:val="642"/>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20"/>
              <w:spacing w:after="0"/>
              <w:rPr>
                <w:sz w:val="20"/>
                <w:szCs w:val="20"/>
                <w:color w:val="auto"/>
              </w:rPr>
            </w:pPr>
            <w:r>
              <w:rPr>
                <w:rFonts w:ascii="Arial" w:cs="Arial" w:eastAsia="Arial" w:hAnsi="Arial"/>
                <w:sz w:val="22"/>
                <w:szCs w:val="22"/>
                <w:color w:val="auto"/>
              </w:rPr>
              <w:t>VP, Treasurer</w:t>
            </w:r>
          </w:p>
        </w:tc>
        <w:tc>
          <w:tcPr>
            <w:tcW w:w="1400" w:type="dxa"/>
            <w:vAlign w:val="bottom"/>
          </w:tcPr>
          <w:p>
            <w:pPr>
              <w:ind w:left="440"/>
              <w:spacing w:after="0"/>
              <w:rPr>
                <w:sz w:val="20"/>
                <w:szCs w:val="20"/>
                <w:color w:val="auto"/>
              </w:rPr>
            </w:pPr>
            <w:r>
              <w:rPr>
                <w:rFonts w:ascii="Arial" w:cs="Arial" w:eastAsia="Arial" w:hAnsi="Arial"/>
                <w:sz w:val="22"/>
                <w:szCs w:val="22"/>
                <w:color w:val="auto"/>
              </w:rPr>
              <w:t>Title:</w:t>
            </w:r>
          </w:p>
        </w:tc>
        <w:tc>
          <w:tcPr>
            <w:tcW w:w="4680" w:type="dxa"/>
            <w:vAlign w:val="bottom"/>
          </w:tcPr>
          <w:p>
            <w:pPr>
              <w:spacing w:after="0"/>
              <w:rPr>
                <w:sz w:val="20"/>
                <w:szCs w:val="20"/>
                <w:color w:val="auto"/>
              </w:rPr>
            </w:pPr>
            <w:r>
              <w:rPr>
                <w:rFonts w:ascii="Arial" w:cs="Arial" w:eastAsia="Arial" w:hAnsi="Arial"/>
                <w:sz w:val="22"/>
                <w:szCs w:val="22"/>
                <w:color w:val="auto"/>
              </w:rPr>
              <w:t>Attorney-In-Fact</w:t>
            </w:r>
          </w:p>
        </w:tc>
      </w:tr>
      <w:tr>
        <w:trPr>
          <w:trHeight w:val="80"/>
        </w:trPr>
        <w:tc>
          <w:tcPr>
            <w:tcW w:w="940" w:type="dxa"/>
            <w:vAlign w:val="bottom"/>
          </w:tcPr>
          <w:p>
            <w:pPr>
              <w:spacing w:after="0"/>
              <w:rPr>
                <w:sz w:val="7"/>
                <w:szCs w:val="7"/>
                <w:color w:val="auto"/>
              </w:rPr>
            </w:pPr>
          </w:p>
        </w:tc>
        <w:tc>
          <w:tcPr>
            <w:tcW w:w="412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AAL-PA-03735-LA-2204032</w:t>
      </w:r>
      <w:r>
        <w:rPr>
          <w:sz w:val="20"/>
          <w:szCs w:val="20"/>
          <w:color w:val="auto"/>
        </w:rPr>
        <w:tab/>
      </w:r>
      <w:r>
        <w:rPr>
          <w:rFonts w:ascii="Arial" w:cs="Arial" w:eastAsia="Arial" w:hAnsi="Arial"/>
          <w:sz w:val="21"/>
          <w:szCs w:val="21"/>
          <w:color w:val="auto"/>
        </w:rPr>
        <w:t>SA-28</w:t>
      </w:r>
    </w:p>
    <w:p>
      <w:pPr>
        <w:spacing w:after="0" w:line="204" w:lineRule="auto"/>
        <w:tabs>
          <w:tab w:leader="none" w:pos="74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160"/>
          </w:cols>
          <w:pgMar w:left="320" w:top="1440" w:right="419" w:bottom="1440" w:gutter="0" w:footer="0" w:header="0"/>
          <w:type w:val="continuous"/>
        </w:sectPr>
      </w:pPr>
    </w:p>
    <w:bookmarkStart w:id="285" w:name="page286"/>
    <w:bookmarkEnd w:id="2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6909435" cy="5349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605">
                      <a:clrChange>
                        <a:clrFrom>
                          <a:srgbClr val="FFFFFF"/>
                        </a:clrFrom>
                        <a:clrTo>
                          <a:srgbClr val="FFFFFF">
                            <a:alpha val="0"/>
                          </a:srgbClr>
                        </a:clrTo>
                      </a:clrChange>
                      <a:extLst>
                        <a:ext uri="{28A0092B-C50C-407E-A947-70E740481C1C}"/>
                      </a:extLst>
                    </a:blip>
                    <a:srcRect/>
                    <a:stretch>
                      <a:fillRect/>
                    </a:stretch>
                  </pic:blipFill>
                  <pic:spPr bwMode="auto">
                    <a:xfrm>
                      <a:off x="0" y="0"/>
                      <a:ext cx="690943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7012305" cy="5349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606">
                      <a:clrChange>
                        <a:clrFrom>
                          <a:srgbClr val="FFFFFF"/>
                        </a:clrFrom>
                        <a:clrTo>
                          <a:srgbClr val="FFFFFF">
                            <a:alpha val="0"/>
                          </a:srgbClr>
                        </a:clrTo>
                      </a:clrChange>
                      <a:extLst>
                        <a:ext uri="{28A0092B-C50C-407E-A947-70E740481C1C}"/>
                      </a:extLst>
                    </a:blip>
                    <a:srcRect/>
                    <a:stretch>
                      <a:fillRect/>
                    </a:stretch>
                  </pic:blipFill>
                  <pic:spPr bwMode="auto">
                    <a:xfrm>
                      <a:off x="0" y="0"/>
                      <a:ext cx="701230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6909435" cy="5349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607">
                      <a:clrChange>
                        <a:clrFrom>
                          <a:srgbClr val="FFFFFF"/>
                        </a:clrFrom>
                        <a:clrTo>
                          <a:srgbClr val="FFFFFF">
                            <a:alpha val="0"/>
                          </a:srgbClr>
                        </a:clrTo>
                      </a:clrChange>
                      <a:extLst>
                        <a:ext uri="{28A0092B-C50C-407E-A947-70E740481C1C}"/>
                      </a:extLst>
                    </a:blip>
                    <a:srcRect/>
                    <a:stretch>
                      <a:fillRect/>
                    </a:stretch>
                  </pic:blipFill>
                  <pic:spPr bwMode="auto">
                    <a:xfrm>
                      <a:off x="0" y="0"/>
                      <a:ext cx="690943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6986270" cy="5349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698627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6951980" cy="5349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695198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American Airlines Group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Subsidiaries of the Registrant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of December 31, 2022</w:t>
      </w:r>
    </w:p>
    <w:p>
      <w:pPr>
        <w:spacing w:after="0" w:line="248" w:lineRule="exact"/>
        <w:rPr>
          <w:sz w:val="20"/>
          <w:szCs w:val="20"/>
          <w:color w:val="auto"/>
        </w:rPr>
      </w:pPr>
    </w:p>
    <w:p>
      <w:pPr>
        <w:ind w:right="20" w:firstLine="202"/>
        <w:spacing w:after="0" w:line="287" w:lineRule="auto"/>
        <w:rPr>
          <w:sz w:val="20"/>
          <w:szCs w:val="20"/>
          <w:color w:val="auto"/>
        </w:rPr>
      </w:pPr>
      <w:r>
        <w:rPr>
          <w:rFonts w:ascii="Arial" w:cs="Arial" w:eastAsia="Arial" w:hAnsi="Arial"/>
          <w:sz w:val="18"/>
          <w:szCs w:val="18"/>
          <w:color w:val="auto"/>
        </w:rPr>
        <w:t>Subsidiary companies of American Airlines Group Inc. are listed below. With respect to the companies named, all voting securities are owned directly or indirectly by the Registrant,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Name of Subsidiary</w:t>
            </w:r>
          </w:p>
        </w:tc>
        <w:tc>
          <w:tcPr>
            <w:tcW w:w="2560" w:type="dxa"/>
            <w:vAlign w:val="bottom"/>
          </w:tcPr>
          <w:p>
            <w:pPr>
              <w:ind w:left="80"/>
              <w:spacing w:after="0"/>
              <w:rPr>
                <w:sz w:val="20"/>
                <w:szCs w:val="20"/>
                <w:color w:val="auto"/>
              </w:rPr>
            </w:pPr>
            <w:r>
              <w:rPr>
                <w:rFonts w:ascii="Arial" w:cs="Arial" w:eastAsia="Arial" w:hAnsi="Arial"/>
                <w:sz w:val="18"/>
                <w:szCs w:val="18"/>
                <w:b w:val="1"/>
                <w:bCs w:val="1"/>
                <w:color w:val="auto"/>
              </w:rPr>
              <w:t>State or Sovereign Power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gridSpan w:val="2"/>
            <w:vMerge w:val="continue"/>
          </w:tcPr>
          <w:p>
            <w:pPr>
              <w:spacing w:after="0"/>
              <w:rPr>
                <w:sz w:val="21"/>
                <w:szCs w:val="21"/>
                <w:color w:val="auto"/>
              </w:rPr>
            </w:pPr>
          </w:p>
        </w:tc>
        <w:tc>
          <w:tcPr>
            <w:tcW w:w="2560" w:type="dxa"/>
            <w:vAlign w:val="bottom"/>
          </w:tcPr>
          <w:p>
            <w:pPr>
              <w:ind w:left="70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Subsidiaries included in the Registrant’s consolidated financial statements</w:t>
            </w:r>
          </w:p>
        </w:tc>
        <w:tc>
          <w:tcPr>
            <w:tcW w:w="16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AAG Private Placement-1 Parent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AAG Private Placement-1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American Airlines,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Holdings 1,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Holdings 2,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Loyalty IP,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Madrid IP Lux GP Sá.r.l</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Madrid IP Lux HoldCo SCS</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Madrid IP Lux HoldCo 2 SCS</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Cargo Funding,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de Mexico, S.A.</w:t>
            </w:r>
          </w:p>
        </w:tc>
        <w:tc>
          <w:tcPr>
            <w:tcW w:w="2560" w:type="dxa"/>
            <w:vAlign w:val="bottom"/>
          </w:tcPr>
          <w:p>
            <w:pPr>
              <w:ind w:left="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Marketing Services LLC</w:t>
            </w:r>
          </w:p>
        </w:tc>
        <w:tc>
          <w:tcPr>
            <w:tcW w:w="2560" w:type="dxa"/>
            <w:vAlign w:val="bottom"/>
          </w:tcPr>
          <w:p>
            <w:pPr>
              <w:ind w:left="6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Aviation Supply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Travel LLC</w:t>
            </w:r>
          </w:p>
        </w:tc>
        <w:tc>
          <w:tcPr>
            <w:tcW w:w="2560" w:type="dxa"/>
            <w:vAlign w:val="bottom"/>
          </w:tcPr>
          <w:p>
            <w:pPr>
              <w:ind w:left="6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2013-2B,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Texas Aero Engine Services,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Americas Ground Services,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Dominicana de Servicios Aeroportuarios (DSA) S.R.L.</w:t>
            </w:r>
          </w:p>
        </w:tc>
        <w:tc>
          <w:tcPr>
            <w:tcW w:w="2560" w:type="dxa"/>
            <w:vAlign w:val="bottom"/>
          </w:tcPr>
          <w:p>
            <w:pPr>
              <w:ind w:left="60"/>
              <w:spacing w:after="0"/>
              <w:rPr>
                <w:sz w:val="20"/>
                <w:szCs w:val="20"/>
                <w:color w:val="auto"/>
              </w:rPr>
            </w:pPr>
            <w:r>
              <w:rPr>
                <w:rFonts w:ascii="Arial" w:cs="Arial" w:eastAsia="Arial" w:hAnsi="Arial"/>
                <w:sz w:val="18"/>
                <w:szCs w:val="18"/>
                <w:color w:val="auto"/>
              </w:rPr>
              <w:t>Dominican Republic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International Ground Services, S.A. de C.V.</w:t>
            </w:r>
          </w:p>
        </w:tc>
        <w:tc>
          <w:tcPr>
            <w:tcW w:w="2560" w:type="dxa"/>
            <w:vAlign w:val="bottom"/>
          </w:tcPr>
          <w:p>
            <w:pPr>
              <w:ind w:left="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Avion Assurance Ltd.</w:t>
            </w:r>
          </w:p>
        </w:tc>
        <w:tc>
          <w:tcPr>
            <w:tcW w:w="2560" w:type="dxa"/>
            <w:vAlign w:val="bottom"/>
          </w:tcPr>
          <w:p>
            <w:pPr>
              <w:ind w:left="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Envoy Aviation Group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Eagle Aviation Services,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Envoy Air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Executive Airlines,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FLAAG 2017-1 OPP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2017-1 OP-A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2017-1 OP-B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FLAAG 2019-1 OPP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OP-A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OP-C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J-CRJ900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Piedmont Airlines,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PMA Investment Subsidiary,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PSA Airlines,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621"/>
        </w:trPr>
        <w:tc>
          <w:tcPr>
            <w:tcW w:w="8660" w:type="dxa"/>
            <w:vAlign w:val="bottom"/>
            <w:gridSpan w:val="3"/>
          </w:tcPr>
          <w:p>
            <w:pPr>
              <w:spacing w:after="0"/>
              <w:rPr>
                <w:sz w:val="20"/>
                <w:szCs w:val="20"/>
                <w:color w:val="auto"/>
              </w:rPr>
            </w:pPr>
            <w:r>
              <w:rPr>
                <w:rFonts w:ascii="Arial" w:cs="Arial" w:eastAsia="Arial" w:hAnsi="Arial"/>
                <w:sz w:val="18"/>
                <w:szCs w:val="18"/>
                <w:color w:val="auto"/>
              </w:rPr>
              <w:t>*Entity with 50% or less ownership.</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23.1</w:t>
      </w:r>
    </w:p>
    <w:p>
      <w:pPr>
        <w:spacing w:after="0" w:line="32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consent to the incorporation by reference in the registration statements (No. 333-192719 and No. 333-192660) on Form S-8 and (No.333-236503) on Form S-3 of our reports dated February 22, 2023, with respect to the consolidated financial statements of American Airlines Group Inc. and the effectiveness of internal control over financial reporting.</w:t>
      </w:r>
    </w:p>
    <w:p>
      <w:pPr>
        <w:spacing w:after="0" w:line="183"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120"/>
          </w:cols>
          <w:pgMar w:left="440" w:top="890"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23.1</w:t>
      </w:r>
    </w:p>
    <w:p>
      <w:pPr>
        <w:spacing w:after="0" w:line="32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consent to the incorporation by reference in the registration statement (No. 333-236503) on Form S-3 of our reports dated February 22, 2023, with respect to the consolidated financial statements of American Airlines, Inc. and the effectiveness of internal control over financial reporting.</w:t>
      </w:r>
    </w:p>
    <w:p>
      <w:pPr>
        <w:spacing w:after="0" w:line="34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120"/>
          </w:cols>
          <w:pgMar w:left="440" w:top="890" w:right="3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17780</wp:posOffset>
            </wp:positionV>
            <wp:extent cx="23831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6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6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37426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61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6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on Form 10-K of American Airlines Group Inc. (the “Company”) for the year ended December 31, 2022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61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6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on Form 10-K of American Airlines, Inc. (the “Company”) for the year ended December 31, 2022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6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61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1)"/>
      <w:numFmt w:val="decimal"/>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1)"/>
      <w:numFmt w:val="decimal"/>
      <w:start w:val="1"/>
    </w:lvl>
  </w:abstractNum>
  <w:abstractNum w:abstractNumId="10">
    <w:nsid w:val="50801EE1"/>
    <w:multiLevelType w:val="hybridMultilevel"/>
    <w:lvl w:ilvl="0">
      <w:lvlJc w:val="left"/>
      <w:lvlText w:val="•"/>
      <w:numFmt w:val="bullet"/>
      <w:start w:val="1"/>
    </w:lvl>
    <w:lvl w:ilvl="1">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1)"/>
      <w:numFmt w:val="decimal"/>
      <w:start w:val="1"/>
    </w:lvl>
  </w:abstractNum>
  <w:abstractNum w:abstractNumId="18">
    <w:nsid w:val="5F3534A4"/>
    <w:multiLevelType w:val="hybridMultilevel"/>
    <w:lvl w:ilvl="0">
      <w:lvlJc w:val="left"/>
      <w:lvlText w:val="(%1)"/>
      <w:numFmt w:val="decimal"/>
      <w:start w:val="1"/>
    </w:lvl>
  </w:abstractNum>
  <w:abstractNum w:abstractNumId="19">
    <w:nsid w:val="73A1821B"/>
    <w:multiLevelType w:val="hybridMultilevel"/>
    <w:lvl w:ilvl="0">
      <w:lvlJc w:val="left"/>
      <w:lvlText w:val="(%1)"/>
      <w:numFmt w:val="decimal"/>
      <w:start w:val="1"/>
    </w:lvl>
  </w:abstractNum>
  <w:abstractNum w:abstractNumId="20">
    <w:nsid w:val="7DE67713"/>
    <w:multiLevelType w:val="hybridMultilevel"/>
    <w:lvl w:ilvl="0">
      <w:lvlJc w:val="left"/>
      <w:lvlText w:val="(%1)"/>
      <w:numFmt w:val="lowerLetter"/>
      <w:start w:val="1"/>
    </w:lvl>
  </w:abstractNum>
  <w:abstractNum w:abstractNumId="21">
    <w:nsid w:val="555C55B5"/>
    <w:multiLevelType w:val="hybridMultilevel"/>
    <w:lvl w:ilvl="0">
      <w:lvlJc w:val="left"/>
      <w:lvlText w:val="(%1)"/>
      <w:numFmt w:val="decimal"/>
      <w:start w:val="1"/>
    </w:lvl>
  </w:abstractNum>
  <w:abstractNum w:abstractNumId="22">
    <w:nsid w:val="3FA62ACA"/>
    <w:multiLevelType w:val="hybridMultilevel"/>
    <w:lvl w:ilvl="0">
      <w:lvlJc w:val="left"/>
      <w:lvlText w:val="(%1)"/>
      <w:numFmt w:val="decimal"/>
      <w:start w:val="1"/>
    </w:lvl>
  </w:abstractNum>
  <w:abstractNum w:abstractNumId="23">
    <w:nsid w:val="14FCE74E"/>
    <w:multiLevelType w:val="hybridMultilevel"/>
    <w:lvl w:ilvl="0">
      <w:lvlJc w:val="left"/>
      <w:lvlText w:val="(%1)"/>
      <w:numFmt w:val="decimal"/>
      <w:start w:val="3"/>
    </w:lvl>
  </w:abstractNum>
  <w:abstractNum w:abstractNumId="24">
    <w:nsid w:val="6A3DD3E8"/>
    <w:multiLevelType w:val="hybridMultilevel"/>
    <w:lvl w:ilvl="0">
      <w:lvlJc w:val="left"/>
      <w:lvlText w:val="(%1)"/>
      <w:numFmt w:val="decimal"/>
      <w:start w:val="1"/>
    </w:lvl>
  </w:abstractNum>
  <w:abstractNum w:abstractNumId="25">
    <w:nsid w:val="71C91298"/>
    <w:multiLevelType w:val="hybridMultilevel"/>
    <w:lvl w:ilvl="0">
      <w:lvlJc w:val="left"/>
      <w:lvlText w:val="(%1)"/>
      <w:numFmt w:val="decimal"/>
      <w:start w:val="1"/>
    </w:lvl>
  </w:abstractNum>
  <w:abstractNum w:abstractNumId="26">
    <w:nsid w:val="9DAF632"/>
    <w:multiLevelType w:val="hybridMultilevel"/>
    <w:lvl w:ilvl="0">
      <w:lvlJc w:val="left"/>
      <w:lvlText w:val="(%1)"/>
      <w:numFmt w:val="decimal"/>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1)"/>
      <w:numFmt w:val="decimal"/>
      <w:start w:val="1"/>
    </w:lvl>
  </w:abstractNum>
  <w:abstractNum w:abstractNumId="29">
    <w:nsid w:val="5092CA79"/>
    <w:multiLevelType w:val="hybridMultilevel"/>
    <w:lvl w:ilvl="0">
      <w:lvlJc w:val="left"/>
      <w:lvlText w:val="(%1)"/>
      <w:numFmt w:val="decimal"/>
      <w:start w:val="4"/>
    </w:lvl>
  </w:abstractNum>
  <w:abstractNum w:abstractNumId="30">
    <w:nsid w:val="1D545C4D"/>
    <w:multiLevelType w:val="hybridMultilevel"/>
    <w:lvl w:ilvl="0">
      <w:lvlJc w:val="left"/>
      <w:lvlText w:val="(%1)"/>
      <w:numFmt w:val="decimal"/>
      <w:start w:val="1"/>
    </w:lvl>
  </w:abstractNum>
  <w:abstractNum w:abstractNumId="31">
    <w:nsid w:val="59ADEA3D"/>
    <w:multiLevelType w:val="hybridMultilevel"/>
    <w:lvl w:ilvl="0">
      <w:lvlJc w:val="left"/>
      <w:lvlText w:val="(%1)"/>
      <w:numFmt w:val="lowerLetter"/>
      <w:start w:val="1"/>
    </w:lvl>
  </w:abstractNum>
  <w:abstractNum w:abstractNumId="32">
    <w:nsid w:val="288F1A34"/>
    <w:multiLevelType w:val="hybridMultilevel"/>
    <w:lvl w:ilvl="0">
      <w:lvlJc w:val="left"/>
      <w:lvlText w:val="(%1)"/>
      <w:numFmt w:val="lowerLetter"/>
      <w:start w:val="5"/>
    </w:lvl>
  </w:abstractNum>
  <w:abstractNum w:abstractNumId="33">
    <w:nsid w:val="2A155DBC"/>
    <w:multiLevelType w:val="hybridMultilevel"/>
    <w:lvl w:ilvl="0">
      <w:lvlJc w:val="left"/>
      <w:lvlText w:val="(%1)"/>
      <w:numFmt w:val="decimal"/>
      <w:start w:val="1"/>
    </w:lvl>
  </w:abstractNum>
  <w:abstractNum w:abstractNumId="34">
    <w:nsid w:val="1D9F6E5F"/>
    <w:multiLevelType w:val="hybridMultilevel"/>
    <w:lvl w:ilvl="0">
      <w:lvlJc w:val="left"/>
      <w:lvlText w:val="(%1)"/>
      <w:numFmt w:val="lowerLetter"/>
      <w:start w:val="1"/>
    </w:lvl>
  </w:abstractNum>
  <w:abstractNum w:abstractNumId="35">
    <w:nsid w:val="97E1B4E"/>
    <w:multiLevelType w:val="hybridMultilevel"/>
    <w:lvl w:ilvl="0">
      <w:lvlJc w:val="left"/>
      <w:lvlText w:val="%1."/>
      <w:numFmt w:val="decimal"/>
      <w:start w:val="1"/>
    </w:lvl>
    <w:lvl w:ilvl="1">
      <w:lvlJc w:val="left"/>
      <w:lvlText w:val="(%2)"/>
      <w:numFmt w:val="lowerLetter"/>
      <w:start w:val="1"/>
    </w:lvl>
  </w:abstractNum>
  <w:abstractNum w:abstractNumId="36">
    <w:nsid w:val="51088277"/>
    <w:multiLevelType w:val="hybridMultilevel"/>
    <w:lvl w:ilvl="0">
      <w:lvlJc w:val="left"/>
      <w:lvlText w:val="(%1)"/>
      <w:numFmt w:val="lowerLetter"/>
      <w:start w:val="2"/>
    </w:lvl>
  </w:abstractNum>
  <w:abstractNum w:abstractNumId="37">
    <w:nsid w:val="1CA0C5FA"/>
    <w:multiLevelType w:val="hybridMultilevel"/>
    <w:lvl w:ilvl="0">
      <w:lvlJc w:val="left"/>
      <w:lvlText w:val="(%1)"/>
      <w:numFmt w:val="decimal"/>
      <w:start w:val="1"/>
    </w:lvl>
  </w:abstractNum>
  <w:abstractNum w:abstractNumId="38">
    <w:nsid w:val="53584BCB"/>
    <w:multiLevelType w:val="hybridMultilevel"/>
    <w:lvl w:ilvl="0">
      <w:lvlJc w:val="left"/>
      <w:lvlText w:val="(%1)"/>
      <w:numFmt w:val="lowerLetter"/>
      <w:start w:val="13"/>
    </w:lvl>
  </w:abstractNum>
  <w:abstractNum w:abstractNumId="39">
    <w:nsid w:val="415E286C"/>
    <w:multiLevelType w:val="hybridMultilevel"/>
    <w:lvl w:ilvl="0">
      <w:lvlJc w:val="left"/>
      <w:lvlText w:val="(%1)"/>
      <w:numFmt w:val="decimal"/>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1)"/>
      <w:numFmt w:val="decimal"/>
      <w:start w:val="1"/>
    </w:lvl>
  </w:abstractNum>
  <w:abstractNum w:abstractNumId="43">
    <w:nsid w:val="5C10FE21"/>
    <w:multiLevelType w:val="hybridMultilevel"/>
    <w:lvl w:ilvl="0">
      <w:lvlJc w:val="left"/>
      <w:lvlText w:val="(%1)"/>
      <w:numFmt w:val="decimal"/>
      <w:start w:val="1"/>
    </w:lvl>
  </w:abstractNum>
  <w:abstractNum w:abstractNumId="44">
    <w:nsid w:val="E7FFA2B"/>
    <w:multiLevelType w:val="hybridMultilevel"/>
    <w:lvl w:ilvl="0">
      <w:lvlJc w:val="left"/>
      <w:lvlText w:val="(%1)"/>
      <w:numFmt w:val="decimal"/>
      <w:start w:val="6"/>
    </w:lvl>
  </w:abstractNum>
  <w:abstractNum w:abstractNumId="45">
    <w:nsid w:val="3C5991AA"/>
    <w:multiLevelType w:val="hybridMultilevel"/>
    <w:lvl w:ilvl="0">
      <w:lvlJc w:val="left"/>
      <w:lvlText w:val="(%1)"/>
      <w:numFmt w:val="lowerLetter"/>
      <w:start w:val="1"/>
    </w:lvl>
  </w:abstractNum>
  <w:abstractNum w:abstractNumId="46">
    <w:nsid w:val="4BD8591A"/>
    <w:multiLevelType w:val="hybridMultilevel"/>
    <w:lvl w:ilvl="0">
      <w:lvlJc w:val="left"/>
      <w:lvlText w:val="(%1)"/>
      <w:numFmt w:val="lowerLetter"/>
      <w:start w:val="2"/>
    </w:lvl>
  </w:abstractNum>
  <w:abstractNum w:abstractNumId="47">
    <w:nsid w:val="78DF6A55"/>
    <w:multiLevelType w:val="hybridMultilevel"/>
    <w:lvl w:ilvl="0">
      <w:lvlJc w:val="left"/>
      <w:lvlText w:val="(%1)"/>
      <w:numFmt w:val="lowerRoman"/>
      <w:start w:val="1"/>
    </w:lvl>
  </w:abstractNum>
  <w:abstractNum w:abstractNumId="48">
    <w:nsid w:val="39B7AAA2"/>
    <w:multiLevelType w:val="hybridMultilevel"/>
    <w:lvl w:ilvl="0">
      <w:lvlJc w:val="left"/>
      <w:lvlText w:val="•"/>
      <w:numFmt w:val="bullet"/>
      <w:start w:val="1"/>
    </w:lvl>
  </w:abstractNum>
  <w:abstractNum w:abstractNumId="49">
    <w:nsid w:val="2B0D8DBE"/>
    <w:multiLevelType w:val="hybridMultilevel"/>
    <w:lvl w:ilvl="0">
      <w:lvlJc w:val="left"/>
      <w:lvlText w:val="(%1)"/>
      <w:numFmt w:val="decimal"/>
      <w:start w:val="1"/>
    </w:lvl>
  </w:abstractNum>
  <w:abstractNum w:abstractNumId="50">
    <w:nsid w:val="6C80EC70"/>
    <w:multiLevelType w:val="hybridMultilevel"/>
    <w:lvl w:ilvl="0">
      <w:lvlJc w:val="left"/>
      <w:lvlText w:val="(%1)"/>
      <w:numFmt w:val="decimal"/>
      <w:start w:val="1"/>
    </w:lvl>
  </w:abstractNum>
  <w:abstractNum w:abstractNumId="51">
    <w:nsid w:val="379E21B5"/>
    <w:multiLevelType w:val="hybridMultilevel"/>
    <w:lvl w:ilvl="0">
      <w:lvlJc w:val="left"/>
      <w:lvlText w:val="(%1)"/>
      <w:numFmt w:val="decimal"/>
      <w:start w:val="1"/>
    </w:lvl>
  </w:abstractNum>
  <w:abstractNum w:abstractNumId="52">
    <w:nsid w:val="69E373"/>
    <w:multiLevelType w:val="hybridMultilevel"/>
    <w:lvl w:ilvl="0">
      <w:lvlJc w:val="left"/>
      <w:lvlText w:val="(%1)"/>
      <w:numFmt w:val="decimal"/>
      <w:start w:val="1"/>
    </w:lvl>
  </w:abstractNum>
  <w:abstractNum w:abstractNumId="53">
    <w:nsid w:val="2C27173B"/>
    <w:multiLevelType w:val="hybridMultilevel"/>
    <w:lvl w:ilvl="0">
      <w:lvlJc w:val="left"/>
      <w:lvlText w:val="(%1)"/>
      <w:numFmt w:val="decimal"/>
      <w:start w:val="1"/>
    </w:lvl>
  </w:abstractNum>
  <w:abstractNum w:abstractNumId="54">
    <w:nsid w:val="4C9B0904"/>
    <w:multiLevelType w:val="hybridMultilevel"/>
    <w:lvl w:ilvl="0">
      <w:lvlJc w:val="left"/>
      <w:lvlText w:val="(%1)"/>
      <w:numFmt w:val="decimal"/>
      <w:start w:val="1"/>
    </w:lvl>
  </w:abstractNum>
  <w:abstractNum w:abstractNumId="55">
    <w:nsid w:val="6AA7B75C"/>
    <w:multiLevelType w:val="hybridMultilevel"/>
    <w:lvl w:ilvl="0">
      <w:lvlJc w:val="left"/>
      <w:lvlText w:val="(%1)"/>
      <w:numFmt w:val="decimal"/>
      <w:start w:val="1"/>
    </w:lvl>
  </w:abstractNum>
  <w:abstractNum w:abstractNumId="56">
    <w:nsid w:val="1DF029D3"/>
    <w:multiLevelType w:val="hybridMultilevel"/>
    <w:lvl w:ilvl="0">
      <w:lvlJc w:val="left"/>
      <w:lvlText w:val="(%1)"/>
      <w:numFmt w:val="lowerLetter"/>
      <w:start w:val="4"/>
    </w:lvl>
  </w:abstractNum>
  <w:abstractNum w:abstractNumId="57">
    <w:nsid w:val="5675FF36"/>
    <w:multiLevelType w:val="hybridMultilevel"/>
    <w:lvl w:ilvl="0">
      <w:lvlJc w:val="left"/>
      <w:lvlText w:val="(%1)"/>
      <w:numFmt w:val="lowerLetter"/>
      <w:start w:val="1"/>
    </w:lvl>
  </w:abstractNum>
  <w:abstractNum w:abstractNumId="58">
    <w:nsid w:val="3DD15094"/>
    <w:multiLevelType w:val="hybridMultilevel"/>
    <w:lvl w:ilvl="0">
      <w:lvlJc w:val="left"/>
      <w:lvlText w:val="(%1)"/>
      <w:numFmt w:val="lowerLetter"/>
      <w:start w:val="2"/>
    </w:lvl>
  </w:abstractNum>
  <w:abstractNum w:abstractNumId="59">
    <w:nsid w:val="3DB012B3"/>
    <w:multiLevelType w:val="hybridMultilevel"/>
    <w:lvl w:ilvl="0">
      <w:lvlJc w:val="left"/>
      <w:lvlText w:val="(%1)"/>
      <w:numFmt w:val="decimal"/>
      <w:start w:val="1"/>
    </w:lvl>
  </w:abstractNum>
  <w:abstractNum w:abstractNumId="60">
    <w:nsid w:val="2708C9AF"/>
    <w:multiLevelType w:val="hybridMultilevel"/>
    <w:lvl w:ilvl="0">
      <w:lvlJc w:val="left"/>
      <w:lvlText w:val="(%1)"/>
      <w:numFmt w:val="lowerLetter"/>
      <w:start w:val="13"/>
    </w:lvl>
  </w:abstractNum>
  <w:abstractNum w:abstractNumId="61">
    <w:nsid w:val="5B25ACE2"/>
    <w:multiLevelType w:val="hybridMultilevel"/>
    <w:lvl w:ilvl="0">
      <w:lvlJc w:val="left"/>
      <w:lvlText w:val="(%1)"/>
      <w:numFmt w:val="decimal"/>
      <w:start w:val="1"/>
    </w:lvl>
  </w:abstractNum>
  <w:abstractNum w:abstractNumId="62">
    <w:nsid w:val="175DFCF0"/>
    <w:multiLevelType w:val="hybridMultilevel"/>
    <w:lvl w:ilvl="0">
      <w:lvlJc w:val="left"/>
      <w:lvlText w:val="$"/>
      <w:numFmt w:val="bullet"/>
      <w:start w:val="1"/>
    </w:lvl>
  </w:abstractNum>
  <w:abstractNum w:abstractNumId="63">
    <w:nsid w:val="4F97E3E4"/>
    <w:multiLevelType w:val="hybridMultilevel"/>
    <w:lvl w:ilvl="0">
      <w:lvlJc w:val="left"/>
      <w:lvlText w:val="$"/>
      <w:numFmt w:val="bullet"/>
      <w:start w:val="1"/>
    </w:lvl>
  </w:abstractNum>
  <w:abstractNum w:abstractNumId="64">
    <w:nsid w:val="53B0A9E"/>
    <w:multiLevelType w:val="hybridMultilevel"/>
    <w:lvl w:ilvl="0">
      <w:lvlJc w:val="left"/>
      <w:lvlText w:val="(%1)"/>
      <w:numFmt w:val="decimal"/>
      <w:start w:val="1"/>
    </w:lvl>
  </w:abstractNum>
  <w:abstractNum w:abstractNumId="65">
    <w:nsid w:val="34FD6B4F"/>
    <w:multiLevelType w:val="hybridMultilevel"/>
    <w:lvl w:ilvl="0">
      <w:lvlJc w:val="left"/>
      <w:lvlText w:val="(%1)"/>
      <w:numFmt w:val="decimal"/>
      <w:start w:val="1"/>
    </w:lvl>
  </w:abstractNum>
  <w:abstractNum w:abstractNumId="66">
    <w:nsid w:val="5915FF32"/>
    <w:multiLevelType w:val="hybridMultilevel"/>
    <w:lvl w:ilvl="0">
      <w:lvlJc w:val="left"/>
      <w:lvlText w:val="(%1)"/>
      <w:numFmt w:val="lowerLetter"/>
      <w:start w:val="1"/>
    </w:lvl>
  </w:abstractNum>
  <w:abstractNum w:abstractNumId="67">
    <w:nsid w:val="56438D15"/>
    <w:multiLevelType w:val="hybridMultilevel"/>
    <w:lvl w:ilvl="0">
      <w:lvlJc w:val="left"/>
      <w:lvlText w:val="(%1)"/>
      <w:numFmt w:val="lowerLetter"/>
      <w:start w:val="2"/>
    </w:lvl>
  </w:abstractNum>
  <w:abstractNum w:abstractNumId="68">
    <w:nsid w:val="519E3149"/>
    <w:multiLevelType w:val="hybridMultilevel"/>
    <w:lvl w:ilvl="0">
      <w:lvlJc w:val="left"/>
      <w:lvlText w:val="•"/>
      <w:numFmt w:val="bullet"/>
      <w:start w:val="1"/>
    </w:lvl>
  </w:abstractNum>
  <w:abstractNum w:abstractNumId="69">
    <w:nsid w:val="2C6E4AFD"/>
    <w:multiLevelType w:val="hybridMultilevel"/>
    <w:lvl w:ilvl="0">
      <w:lvlJc w:val="left"/>
      <w:lvlText w:val="(%1)"/>
      <w:numFmt w:val="decimal"/>
      <w:start w:val="1"/>
    </w:lvl>
  </w:abstractNum>
  <w:abstractNum w:abstractNumId="70">
    <w:nsid w:val="17A1B582"/>
    <w:multiLevelType w:val="hybridMultilevel"/>
    <w:lvl w:ilvl="0">
      <w:lvlJc w:val="left"/>
      <w:lvlText w:val="(%1)"/>
      <w:numFmt w:val="decimal"/>
      <w:start w:val="1"/>
    </w:lvl>
  </w:abstractNum>
  <w:abstractNum w:abstractNumId="71">
    <w:nsid w:val="4DF72E4E"/>
    <w:multiLevelType w:val="hybridMultilevel"/>
    <w:lvl w:ilvl="0">
      <w:lvlJc w:val="left"/>
      <w:lvlText w:val="(%1)"/>
      <w:numFmt w:val="decimal"/>
      <w:start w:val="1"/>
    </w:lvl>
  </w:abstractNum>
  <w:abstractNum w:abstractNumId="72">
    <w:nsid w:val="5046B5A9"/>
    <w:multiLevelType w:val="hybridMultilevel"/>
    <w:lvl w:ilvl="0">
      <w:lvlJc w:val="left"/>
      <w:lvlText w:val="(%1)"/>
      <w:numFmt w:val="decimal"/>
      <w:start w:val="1"/>
    </w:lvl>
  </w:abstractNum>
  <w:abstractNum w:abstractNumId="73">
    <w:nsid w:val="5D888A08"/>
    <w:multiLevelType w:val="hybridMultilevel"/>
    <w:lvl w:ilvl="0">
      <w:lvlJc w:val="left"/>
      <w:lvlText w:val="(%1)"/>
      <w:numFmt w:val="decimal"/>
      <w:start w:val="1"/>
    </w:lvl>
  </w:abstractNum>
  <w:abstractNum w:abstractNumId="74">
    <w:nsid w:val="2A082C70"/>
    <w:multiLevelType w:val="hybridMultilevel"/>
    <w:lvl w:ilvl="0">
      <w:lvlJc w:val="left"/>
      <w:lvlText w:val="%1."/>
      <w:numFmt w:val="decimal"/>
      <w:start w:val="10"/>
    </w:lvl>
    <w:lvl w:ilvl="1">
      <w:lvlJc w:val="left"/>
      <w:lvlText w:val="(%2)"/>
      <w:numFmt w:val="lowerLetter"/>
      <w:start w:val="1"/>
    </w:lvl>
  </w:abstractNum>
  <w:abstractNum w:abstractNumId="75">
    <w:nsid w:val="5EC6AFD4"/>
    <w:multiLevelType w:val="hybridMultilevel"/>
    <w:lvl w:ilvl="0">
      <w:lvlJc w:val="left"/>
      <w:lvlText w:val="(%1)"/>
      <w:numFmt w:val="decimal"/>
      <w:start w:val="1"/>
    </w:lvl>
  </w:abstractNum>
  <w:abstractNum w:abstractNumId="76">
    <w:nsid w:val="19E21BB2"/>
    <w:multiLevelType w:val="hybridMultilevel"/>
    <w:lvl w:ilvl="0">
      <w:lvlJc w:val="left"/>
      <w:lvlText w:val="(%1)"/>
      <w:numFmt w:val="decimal"/>
      <w:start w:val="1"/>
    </w:lvl>
  </w:abstractNum>
  <w:abstractNum w:abstractNumId="77">
    <w:nsid w:val="75E0858A"/>
    <w:multiLevelType w:val="hybridMultilevel"/>
    <w:lvl w:ilvl="0">
      <w:lvlJc w:val="left"/>
      <w:lvlText w:val="(%1)"/>
      <w:numFmt w:val="lowerLetter"/>
      <w:start w:val="4"/>
    </w:lvl>
  </w:abstractNum>
  <w:abstractNum w:abstractNumId="78">
    <w:nsid w:val="57A61A29"/>
    <w:multiLevelType w:val="hybridMultilevel"/>
    <w:lvl w:ilvl="0">
      <w:lvlJc w:val="left"/>
      <w:lvlText w:val="(%1)"/>
      <w:numFmt w:val="lowerRoman"/>
      <w:start w:val="3"/>
    </w:lvl>
  </w:abstractNum>
  <w:abstractNum w:abstractNumId="79">
    <w:nsid w:val="5399C654"/>
    <w:multiLevelType w:val="hybridMultilevel"/>
    <w:lvl w:ilvl="0">
      <w:lvlJc w:val="left"/>
      <w:lvlText w:val="(%1)"/>
      <w:numFmt w:val="decimal"/>
      <w:start w:val="1"/>
    </w:lvl>
  </w:abstractNum>
  <w:abstractNum w:abstractNumId="80">
    <w:nsid w:val="20EE1348"/>
    <w:multiLevelType w:val="hybridMultilevel"/>
    <w:lvl w:ilvl="0">
      <w:lvlJc w:val="left"/>
      <w:lvlText w:val="•"/>
      <w:numFmt w:val="bullet"/>
      <w:start w:val="1"/>
    </w:lvl>
  </w:abstractNum>
  <w:abstractNum w:abstractNumId="81">
    <w:nsid w:val="4427069A"/>
    <w:multiLevelType w:val="hybridMultilevel"/>
    <w:lvl w:ilvl="0">
      <w:lvlJc w:val="left"/>
      <w:lvlText w:val="#"/>
      <w:numFmt w:val="bullet"/>
      <w:start w:val="1"/>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1)"/>
      <w:numFmt w:val="lowerLetter"/>
      <w:start w:val="1"/>
    </w:lvl>
  </w:abstractNum>
  <w:abstractNum w:abstractNumId="85">
    <w:nsid w:val="57D2F10E"/>
    <w:multiLevelType w:val="hybridMultilevel"/>
    <w:lvl w:ilvl="0">
      <w:lvlJc w:val="left"/>
      <w:lvlText w:val="(%1)"/>
      <w:numFmt w:val="lowerLetter"/>
      <w:start w:val="3"/>
    </w:lvl>
  </w:abstractNum>
  <w:abstractNum w:abstractNumId="86">
    <w:nsid w:val="BFFAE18"/>
    <w:multiLevelType w:val="hybridMultilevel"/>
    <w:lvl w:ilvl="0">
      <w:lvlJc w:val="left"/>
      <w:lvlText w:val="(%1)"/>
      <w:numFmt w:val="lowerRoman"/>
      <w:start w:val="1"/>
    </w:lvl>
  </w:abstractNum>
  <w:abstractNum w:abstractNumId="87">
    <w:nsid w:val="E3E47A8"/>
    <w:multiLevelType w:val="hybridMultilevel"/>
    <w:lvl w:ilvl="0">
      <w:lvlJc w:val="left"/>
      <w:lvlText w:val="(%1)"/>
      <w:numFmt w:val="lowerLetter"/>
      <w:start w:val="4"/>
    </w:lvl>
  </w:abstractNum>
  <w:abstractNum w:abstractNumId="88">
    <w:nsid w:val="2E48F044"/>
    <w:multiLevelType w:val="hybridMultilevel"/>
    <w:lvl w:ilvl="0">
      <w:lvlJc w:val="left"/>
      <w:lvlText w:val="(%1)"/>
      <w:numFmt w:val="lowerLetter"/>
      <w:start w:val="7"/>
    </w:lvl>
  </w:abstractNum>
  <w:abstractNum w:abstractNumId="89">
    <w:nsid w:val="49D0FEAC"/>
    <w:multiLevelType w:val="hybridMultilevel"/>
    <w:lvl w:ilvl="0">
      <w:lvlJc w:val="left"/>
      <w:lvlText w:val="(%1)"/>
      <w:numFmt w:val="lowerLetter"/>
      <w:start w:val="1"/>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2"/>
    </w:lvl>
  </w:abstractNum>
  <w:abstractNum w:abstractNumId="92">
    <w:nsid w:val="24F6AB8E"/>
    <w:multiLevelType w:val="hybridMultilevel"/>
    <w:lvl w:ilvl="0">
      <w:lvlJc w:val="left"/>
      <w:lvlText w:val="(%1)"/>
      <w:numFmt w:val="lowerRoman"/>
      <w:start w:val="1"/>
    </w:lvl>
  </w:abstractNum>
  <w:abstractNum w:abstractNumId="93">
    <w:nsid w:val="634C574C"/>
    <w:multiLevelType w:val="hybridMultilevel"/>
    <w:lvl w:ilvl="0">
      <w:lvlJc w:val="left"/>
      <w:lvlText w:val="(%1)"/>
      <w:numFmt w:val="decimal"/>
      <w:start w:val="1"/>
    </w:lvl>
  </w:abstractNum>
  <w:abstractNum w:abstractNumId="94">
    <w:nsid w:val="24E99DD7"/>
    <w:multiLevelType w:val="hybridMultilevel"/>
    <w:lvl w:ilvl="0">
      <w:lvlJc w:val="left"/>
      <w:lvlText w:val="(%1)"/>
      <w:numFmt w:val="lowerRoman"/>
      <w:start w:val="3"/>
    </w:lvl>
  </w:abstractNum>
  <w:abstractNum w:abstractNumId="95">
    <w:nsid w:val="2A31B62D"/>
    <w:multiLevelType w:val="hybridMultilevel"/>
    <w:lvl w:ilvl="0">
      <w:lvlJc w:val="left"/>
      <w:lvlText w:val="(%1)"/>
      <w:numFmt w:val="lowerRoman"/>
      <w:start w:val="10"/>
    </w:lvl>
  </w:abstractNum>
  <w:abstractNum w:abstractNumId="96">
    <w:nsid w:val="1849C29B"/>
    <w:multiLevelType w:val="hybridMultilevel"/>
    <w:lvl w:ilvl="0">
      <w:lvlJc w:val="left"/>
      <w:lvlText w:val="(%1)"/>
      <w:numFmt w:val="lowerLetter"/>
      <w:start w:val="4"/>
    </w:lvl>
  </w:abstractNum>
  <w:abstractNum w:abstractNumId="97">
    <w:nsid w:val="7DFF9D09"/>
    <w:multiLevelType w:val="hybridMultilevel"/>
    <w:lvl w:ilvl="0">
      <w:lvlJc w:val="left"/>
      <w:lvlText w:val="(%1)"/>
      <w:numFmt w:val="lowerLetter"/>
      <w:start w:val="6"/>
    </w:lvl>
  </w:abstractNum>
  <w:abstractNum w:abstractNumId="98">
    <w:nsid w:val="754342"/>
    <w:multiLevelType w:val="hybridMultilevel"/>
    <w:lvl w:ilvl="0">
      <w:lvlJc w:val="left"/>
      <w:lvlText w:val="(%1)"/>
      <w:numFmt w:val="lowerLetter"/>
      <w:start w:val="1"/>
    </w:lvl>
  </w:abstractNum>
  <w:abstractNum w:abstractNumId="99">
    <w:nsid w:val="69E7F3E5"/>
    <w:multiLevelType w:val="hybridMultilevel"/>
    <w:lvl w:ilvl="0">
      <w:lvlJc w:val="left"/>
      <w:lvlText w:val="(%1)"/>
      <w:numFmt w:val="lowerRoman"/>
      <w:start w:val="2"/>
    </w:lvl>
  </w:abstractNum>
  <w:abstractNum w:abstractNumId="100">
    <w:nsid w:val="2A6DE806"/>
    <w:multiLevelType w:val="hybridMultilevel"/>
    <w:lvl w:ilvl="0">
      <w:lvlJc w:val="left"/>
      <w:lvlText w:val="(%1)"/>
      <w:numFmt w:val="lowerRoman"/>
      <w:start w:val="3"/>
    </w:lvl>
  </w:abstractNum>
  <w:abstractNum w:abstractNumId="101">
    <w:nsid w:val="1816F8C4"/>
    <w:multiLevelType w:val="hybridMultilevel"/>
    <w:lvl w:ilvl="0">
      <w:lvlJc w:val="left"/>
      <w:lvlText w:val="(%1)"/>
      <w:numFmt w:val="lowerLetter"/>
      <w:start w:val="3"/>
    </w:lvl>
  </w:abstractNum>
  <w:abstractNum w:abstractNumId="102">
    <w:nsid w:val="37DF2233"/>
    <w:multiLevelType w:val="hybridMultilevel"/>
    <w:lvl w:ilvl="0">
      <w:lvlJc w:val="left"/>
      <w:lvlText w:val="(%1)"/>
      <w:numFmt w:val="lowerRoman"/>
      <w:start w:val="1"/>
    </w:lvl>
  </w:abstractNum>
  <w:abstractNum w:abstractNumId="103">
    <w:nsid w:val="7AB49DAF"/>
    <w:multiLevelType w:val="hybridMultilevel"/>
    <w:lvl w:ilvl="0">
      <w:lvlJc w:val="left"/>
      <w:lvlText w:val="(%1)"/>
      <w:numFmt w:val="lowerLetter"/>
      <w:start w:val="4"/>
    </w:lvl>
  </w:abstractNum>
  <w:abstractNum w:abstractNumId="104">
    <w:nsid w:val="759F82CD"/>
    <w:multiLevelType w:val="hybridMultilevel"/>
    <w:lvl w:ilvl="0">
      <w:lvlJc w:val="left"/>
      <w:lvlText w:val="(%1)"/>
      <w:numFmt w:val="lowerLetter"/>
      <w:start w:val="5"/>
    </w:lvl>
  </w:abstractNum>
  <w:abstractNum w:abstractNumId="105">
    <w:nsid w:val="61E74EA3"/>
    <w:multiLevelType w:val="hybridMultilevel"/>
    <w:lvl w:ilvl="0">
      <w:lvlJc w:val="left"/>
      <w:lvlText w:val="(%1)"/>
      <w:numFmt w:val="lowerLetter"/>
      <w:start w:val="1"/>
    </w:lvl>
  </w:abstractNum>
  <w:abstractNum w:abstractNumId="106">
    <w:nsid w:val="597B4D84"/>
    <w:multiLevelType w:val="hybridMultilevel"/>
    <w:lvl w:ilvl="0">
      <w:lvlJc w:val="left"/>
      <w:lvlText w:val="(%1)"/>
      <w:numFmt w:val="lowerRoman"/>
      <w:start w:val="1"/>
    </w:lvl>
  </w:abstractNum>
  <w:abstractNum w:abstractNumId="107">
    <w:nsid w:val="F819E7F"/>
    <w:multiLevelType w:val="hybridMultilevel"/>
    <w:lvl w:ilvl="0">
      <w:lvlJc w:val="left"/>
      <w:lvlText w:val="(%1)"/>
      <w:numFmt w:val="lowerLetter"/>
      <w:start w:val="2"/>
    </w:lvl>
  </w:abstractNum>
  <w:abstractNum w:abstractNumId="108">
    <w:nsid w:val="57C7D42D"/>
    <w:multiLevelType w:val="hybridMultilevel"/>
    <w:lvl w:ilvl="0">
      <w:lvlJc w:val="left"/>
      <w:lvlText w:val="(%1)"/>
      <w:numFmt w:val="lowerLetter"/>
      <w:start w:val="3"/>
    </w:lvl>
  </w:abstractNum>
  <w:abstractNum w:abstractNumId="109">
    <w:nsid w:val="312167AD"/>
    <w:multiLevelType w:val="hybridMultilevel"/>
    <w:lvl w:ilvl="0">
      <w:lvlJc w:val="left"/>
      <w:lvlText w:val="(%1)"/>
      <w:numFmt w:val="lowerLetter"/>
      <w:start w:val="1"/>
    </w:lvl>
  </w:abstractNum>
  <w:abstractNum w:abstractNumId="110">
    <w:nsid w:val="631B64D4"/>
    <w:multiLevelType w:val="hybridMultilevel"/>
    <w:lvl w:ilvl="0">
      <w:lvlJc w:val="left"/>
      <w:lvlText w:val="(%1)"/>
      <w:numFmt w:val="lowerRoman"/>
      <w:start w:val="1"/>
    </w:lvl>
  </w:abstractNum>
  <w:abstractNum w:abstractNumId="111">
    <w:nsid w:val="78B5E776"/>
    <w:multiLevelType w:val="hybridMultilevel"/>
    <w:lvl w:ilvl="0">
      <w:lvlJc w:val="left"/>
      <w:lvlText w:val="(%1)"/>
      <w:numFmt w:val="lowerLetter"/>
      <w:start w:val="2"/>
    </w:lvl>
  </w:abstractNum>
  <w:abstractNum w:abstractNumId="112">
    <w:nsid w:val="75486E47"/>
    <w:multiLevelType w:val="hybridMultilevel"/>
    <w:lvl w:ilvl="0">
      <w:lvlJc w:val="left"/>
      <w:lvlText w:val="(%1)"/>
      <w:numFmt w:val="lowerRoman"/>
      <w:start w:val="1"/>
    </w:lvl>
  </w:abstractNum>
  <w:abstractNum w:abstractNumId="113">
    <w:nsid w:val="6E534CDE"/>
    <w:multiLevelType w:val="hybridMultilevel"/>
    <w:lvl w:ilvl="0">
      <w:lvlJc w:val="left"/>
      <w:lvlText w:val="(%1)"/>
      <w:numFmt w:val="lowerLetter"/>
      <w:start w:val="3"/>
    </w:lvl>
  </w:abstractNum>
  <w:abstractNum w:abstractNumId="114">
    <w:nsid w:val="1A0DDE32"/>
    <w:multiLevelType w:val="hybridMultilevel"/>
    <w:lvl w:ilvl="0">
      <w:lvlJc w:val="left"/>
      <w:lvlText w:val="(%1)"/>
      <w:numFmt w:val="lowerRoman"/>
      <w:start w:val="1"/>
    </w:lvl>
  </w:abstractNum>
  <w:abstractNum w:abstractNumId="115">
    <w:nsid w:val="65968C1C"/>
    <w:multiLevelType w:val="hybridMultilevel"/>
    <w:lvl w:ilvl="0">
      <w:lvlJc w:val="left"/>
      <w:lvlText w:val="(%1)"/>
      <w:numFmt w:val="lowerRoman"/>
      <w:start w:val="2"/>
    </w:lvl>
  </w:abstractNum>
  <w:abstractNum w:abstractNumId="116">
    <w:nsid w:val="46263DEC"/>
    <w:multiLevelType w:val="hybridMultilevel"/>
    <w:lvl w:ilvl="0">
      <w:lvlJc w:val="left"/>
      <w:lvlText w:val="(%1)"/>
      <w:numFmt w:val="upperLetter"/>
      <w:start w:val="1"/>
    </w:lvl>
  </w:abstractNum>
  <w:abstractNum w:abstractNumId="117">
    <w:nsid w:val="260D8C4A"/>
    <w:multiLevelType w:val="hybridMultilevel"/>
    <w:lvl w:ilvl="0">
      <w:lvlJc w:val="left"/>
      <w:lvlText w:val="(%1)"/>
      <w:numFmt w:val="lowerRoman"/>
      <w:start w:val="5"/>
    </w:lvl>
  </w:abstractNum>
  <w:abstractNum w:abstractNumId="118">
    <w:nsid w:val="73D4D3C4"/>
    <w:multiLevelType w:val="hybridMultilevel"/>
    <w:lvl w:ilvl="0">
      <w:lvlJc w:val="left"/>
      <w:lvlText w:val="(%1)"/>
      <w:numFmt w:val="lowerLetter"/>
      <w:start w:val="4"/>
    </w:lvl>
  </w:abstractNum>
  <w:abstractNum w:abstractNumId="119">
    <w:nsid w:val="746F2E30"/>
    <w:multiLevelType w:val="hybridMultilevel"/>
    <w:lvl w:ilvl="0">
      <w:lvlJc w:val="left"/>
      <w:lvlText w:val="(%1)"/>
      <w:numFmt w:val="lowerRoman"/>
      <w:start w:val="1"/>
    </w:lvl>
  </w:abstractNum>
  <w:abstractNum w:abstractNumId="120">
    <w:nsid w:val="6FDE8AF6"/>
    <w:multiLevelType w:val="hybridMultilevel"/>
    <w:lvl w:ilvl="0">
      <w:lvlJc w:val="left"/>
      <w:lvlText w:val="(%1)"/>
      <w:numFmt w:val="upperLetter"/>
      <w:start w:val="1"/>
    </w:lvl>
  </w:abstractNum>
  <w:abstractNum w:abstractNumId="121">
    <w:nsid w:val="3FC32E20"/>
    <w:multiLevelType w:val="hybridMultilevel"/>
    <w:lvl w:ilvl="0">
      <w:lvlJc w:val="left"/>
      <w:lvlText w:val="(%1)"/>
      <w:numFmt w:val="decimal"/>
      <w:start w:val="1"/>
    </w:lvl>
  </w:abstractNum>
  <w:abstractNum w:abstractNumId="122">
    <w:nsid w:val="49C0E823"/>
    <w:multiLevelType w:val="hybridMultilevel"/>
    <w:lvl w:ilvl="0">
      <w:lvlJc w:val="left"/>
      <w:lvlText w:val="(%1)"/>
      <w:numFmt w:val="decimal"/>
      <w:start w:val="2"/>
    </w:lvl>
  </w:abstractNum>
  <w:abstractNum w:abstractNumId="123">
    <w:nsid w:val="14D53685"/>
    <w:multiLevelType w:val="hybridMultilevel"/>
    <w:lvl w:ilvl="0">
      <w:lvlJc w:val="left"/>
      <w:lvlText w:val="(%1)"/>
      <w:numFmt w:val="upperLetter"/>
      <w:start w:val="6"/>
    </w:lvl>
  </w:abstractNum>
  <w:abstractNum w:abstractNumId="124">
    <w:nsid w:val="230F856C"/>
    <w:multiLevelType w:val="hybridMultilevel"/>
    <w:lvl w:ilvl="0">
      <w:lvlJc w:val="left"/>
      <w:lvlText w:val="(%1)"/>
      <w:numFmt w:val="upperLetter"/>
      <w:start w:val="13"/>
    </w:lvl>
  </w:abstractNum>
  <w:abstractNum w:abstractNumId="125">
    <w:nsid w:val="6EAA85FB"/>
    <w:multiLevelType w:val="hybridMultilevel"/>
    <w:lvl w:ilvl="0">
      <w:lvlJc w:val="left"/>
      <w:lvlText w:val="(%1)"/>
      <w:numFmt w:val="lowerRoman"/>
      <w:start w:val="3"/>
    </w:lvl>
  </w:abstractNum>
  <w:abstractNum w:abstractNumId="126">
    <w:nsid w:val="3F06ECB2"/>
    <w:multiLevelType w:val="hybridMultilevel"/>
    <w:lvl w:ilvl="0">
      <w:lvlJc w:val="left"/>
      <w:lvlText w:val="(%1)"/>
      <w:numFmt w:val="upperLetter"/>
      <w:start w:val="1"/>
    </w:lvl>
  </w:abstractNum>
  <w:abstractNum w:abstractNumId="127">
    <w:nsid w:val="3B594807"/>
    <w:multiLevelType w:val="hybridMultilevel"/>
    <w:lvl w:ilvl="0">
      <w:lvlJc w:val="left"/>
      <w:lvlText w:val="(%1)"/>
      <w:numFmt w:val="lowerRoman"/>
      <w:start w:val="4"/>
    </w:lvl>
  </w:abstractNum>
  <w:abstractNum w:abstractNumId="128">
    <w:nsid w:val="6CAA2304"/>
    <w:multiLevelType w:val="hybridMultilevel"/>
    <w:lvl w:ilvl="0">
      <w:lvlJc w:val="left"/>
      <w:lvlText w:val="(%1)"/>
      <w:numFmt w:val="upperLetter"/>
      <w:start w:val="1"/>
    </w:lvl>
  </w:abstractNum>
  <w:abstractNum w:abstractNumId="129">
    <w:nsid w:val="3F7C2FF4"/>
    <w:multiLevelType w:val="hybridMultilevel"/>
    <w:lvl w:ilvl="0">
      <w:lvlJc w:val="left"/>
      <w:lvlText w:val="(%1)"/>
      <w:numFmt w:val="upperLetter"/>
      <w:start w:val="2"/>
    </w:lvl>
  </w:abstractNum>
  <w:abstractNum w:abstractNumId="130">
    <w:nsid w:val="25413BEC"/>
    <w:multiLevelType w:val="hybridMultilevel"/>
    <w:lvl w:ilvl="0">
      <w:lvlJc w:val="left"/>
      <w:lvlText w:val="(%1)"/>
      <w:numFmt w:val="lowerLetter"/>
      <w:start w:val="5"/>
    </w:lvl>
  </w:abstractNum>
  <w:abstractNum w:abstractNumId="131">
    <w:nsid w:val="17180B0B"/>
    <w:multiLevelType w:val="hybridMultilevel"/>
    <w:lvl w:ilvl="0">
      <w:lvlJc w:val="left"/>
      <w:lvlText w:val="(%1)"/>
      <w:numFmt w:val="lowerRoman"/>
      <w:start w:val="1"/>
    </w:lvl>
  </w:abstractNum>
  <w:abstractNum w:abstractNumId="132">
    <w:nsid w:val="579328B9"/>
    <w:multiLevelType w:val="hybridMultilevel"/>
    <w:lvl w:ilvl="0">
      <w:lvlJc w:val="left"/>
      <w:lvlText w:val="(%1)"/>
      <w:numFmt w:val="upperLetter"/>
      <w:start w:val="1"/>
    </w:lvl>
  </w:abstractNum>
  <w:abstractNum w:abstractNumId="133">
    <w:nsid w:val="5D205E20"/>
    <w:multiLevelType w:val="hybridMultilevel"/>
    <w:lvl w:ilvl="0">
      <w:lvlJc w:val="left"/>
      <w:lvlText w:val="(%1)"/>
      <w:numFmt w:val="upperLetter"/>
      <w:start w:val="5"/>
    </w:lvl>
  </w:abstractNum>
  <w:abstractNum w:abstractNumId="134">
    <w:nsid w:val="11CCA8BA"/>
    <w:multiLevelType w:val="hybridMultilevel"/>
    <w:lvl w:ilvl="0">
      <w:lvlJc w:val="left"/>
      <w:lvlText w:val="(%1)"/>
      <w:numFmt w:val="lowerRoman"/>
      <w:start w:val="2"/>
    </w:lvl>
  </w:abstractNum>
  <w:abstractNum w:abstractNumId="135">
    <w:nsid w:val="4D32AB86"/>
    <w:multiLevelType w:val="hybridMultilevel"/>
    <w:lvl w:ilvl="0">
      <w:lvlJc w:val="left"/>
      <w:lvlText w:val="(%1)"/>
      <w:numFmt w:val="lowerLetter"/>
      <w:start w:val="2"/>
    </w:lvl>
  </w:abstractNum>
  <w:abstractNum w:abstractNumId="136">
    <w:nsid w:val="3F07ACC3"/>
    <w:multiLevelType w:val="hybridMultilevel"/>
    <w:lvl w:ilvl="0">
      <w:lvlJc w:val="left"/>
      <w:lvlText w:val="(%1)"/>
      <w:numFmt w:val="decimal"/>
      <w:start w:val="1"/>
    </w:lvl>
  </w:abstractNum>
  <w:abstractNum w:abstractNumId="137">
    <w:nsid w:val="6B47F63E"/>
    <w:multiLevelType w:val="hybridMultilevel"/>
    <w:lvl w:ilvl="0">
      <w:lvlJc w:val="left"/>
      <w:lvlText w:val="(%1)"/>
      <w:numFmt w:val="lowerLetter"/>
      <w:start w:val="2"/>
    </w:lvl>
  </w:abstractNum>
  <w:abstractNum w:abstractNumId="138">
    <w:nsid w:val="5CB44A05"/>
    <w:multiLevelType w:val="hybridMultilevel"/>
    <w:lvl w:ilvl="0">
      <w:lvlJc w:val="left"/>
      <w:lvlText w:val="(%1)"/>
      <w:numFmt w:val="lowerLetter"/>
      <w:start w:val="2"/>
    </w:lvl>
  </w:abstractNum>
  <w:abstractNum w:abstractNumId="139">
    <w:nsid w:val="16CF80F1"/>
    <w:multiLevelType w:val="hybridMultilevel"/>
    <w:lvl w:ilvl="0">
      <w:lvlJc w:val="left"/>
      <w:lvlText w:val="%1."/>
      <w:numFmt w:val="decimal"/>
      <w:start w:val="1"/>
    </w:lvl>
  </w:abstractNum>
  <w:abstractNum w:abstractNumId="140">
    <w:nsid w:val="1C695DEC"/>
    <w:multiLevelType w:val="hybridMultilevel"/>
    <w:lvl w:ilvl="0">
      <w:lvlJc w:val="left"/>
      <w:lvlText w:val="%1."/>
      <w:numFmt w:val="decimal"/>
      <w:start w:val="2"/>
    </w:lvl>
  </w:abstractNum>
  <w:abstractNum w:abstractNumId="141">
    <w:nsid w:val="3FCFAED9"/>
    <w:multiLevelType w:val="hybridMultilevel"/>
    <w:lvl w:ilvl="0">
      <w:lvlJc w:val="left"/>
      <w:lvlText w:val="%1."/>
      <w:numFmt w:val="decimal"/>
      <w:start w:val="3"/>
    </w:lvl>
  </w:abstractNum>
  <w:abstractNum w:abstractNumId="142">
    <w:nsid w:val="F856867"/>
    <w:multiLevelType w:val="hybridMultilevel"/>
    <w:lvl w:ilvl="0">
      <w:lvlJc w:val="left"/>
      <w:lvlText w:val="%1."/>
      <w:numFmt w:val="decimal"/>
      <w:start w:val="4"/>
    </w:lvl>
  </w:abstractNum>
  <w:abstractNum w:abstractNumId="143">
    <w:nsid w:val="11B1CC33"/>
    <w:multiLevelType w:val="hybridMultilevel"/>
    <w:lvl w:ilvl="0">
      <w:lvlJc w:val="left"/>
      <w:lvlText w:val="%1."/>
      <w:numFmt w:val="decimal"/>
      <w:start w:val="5"/>
    </w:lvl>
  </w:abstractNum>
  <w:abstractNum w:abstractNumId="144">
    <w:nsid w:val="2E22FBB7"/>
    <w:multiLevelType w:val="hybridMultilevel"/>
    <w:lvl w:ilvl="0">
      <w:lvlJc w:val="left"/>
      <w:lvlText w:val="•"/>
      <w:numFmt w:val="bullet"/>
      <w:start w:val="1"/>
    </w:lvl>
  </w:abstractNum>
  <w:abstractNum w:abstractNumId="145">
    <w:nsid w:val="29934699"/>
    <w:multiLevelType w:val="hybridMultilevel"/>
    <w:lvl w:ilvl="0">
      <w:lvlJc w:val="left"/>
      <w:lvlText w:val="•"/>
      <w:numFmt w:val="bullet"/>
      <w:start w:val="1"/>
    </w:lvl>
  </w:abstractNum>
  <w:abstractNum w:abstractNumId="146">
    <w:nsid w:val="77485850"/>
    <w:multiLevelType w:val="hybridMultilevel"/>
    <w:lvl w:ilvl="0">
      <w:lvlJc w:val="left"/>
      <w:lvlText w:val="%1."/>
      <w:numFmt w:val="upperLetter"/>
      <w:start w:val="2"/>
    </w:lvl>
  </w:abstractNum>
  <w:abstractNum w:abstractNumId="147">
    <w:nsid w:val="744939A3"/>
    <w:multiLevelType w:val="hybridMultilevel"/>
    <w:lvl w:ilvl="0">
      <w:lvlJc w:val="left"/>
      <w:lvlText w:val="*"/>
      <w:numFmt w:val="bullet"/>
      <w:start w:val="1"/>
    </w:lvl>
  </w:abstractNum>
  <w:abstractNum w:abstractNumId="148">
    <w:nsid w:val="4FA0D2E3"/>
    <w:multiLevelType w:val="hybridMultilevel"/>
    <w:lvl w:ilvl="0">
      <w:lvlJc w:val="left"/>
      <w:lvlText w:val="%1."/>
      <w:numFmt w:val="decimal"/>
      <w:start w:val="1"/>
    </w:lvl>
  </w:abstractNum>
  <w:abstractNum w:abstractNumId="149">
    <w:nsid w:val="6B1D2C14"/>
    <w:multiLevelType w:val="hybridMultilevel"/>
    <w:lvl w:ilvl="0">
      <w:lvlJc w:val="left"/>
      <w:lvlText w:val="%1."/>
      <w:numFmt w:val="decimal"/>
      <w:start w:val="2"/>
    </w:lvl>
  </w:abstractNum>
  <w:abstractNum w:abstractNumId="150">
    <w:nsid w:val="68B867D3"/>
    <w:multiLevelType w:val="hybridMultilevel"/>
    <w:lvl w:ilvl="0">
      <w:lvlJc w:val="left"/>
      <w:lvlText w:val="%1."/>
      <w:numFmt w:val="decimal"/>
      <w:start w:val="3"/>
    </w:lvl>
  </w:abstractNum>
  <w:abstractNum w:abstractNumId="151">
    <w:nsid w:val="3F7F5DD9"/>
    <w:multiLevelType w:val="hybridMultilevel"/>
    <w:lvl w:ilvl="0">
      <w:lvlJc w:val="left"/>
      <w:lvlText w:val="(%1)"/>
      <w:numFmt w:val="lowerRoman"/>
      <w:start w:val="1"/>
    </w:lvl>
  </w:abstractNum>
  <w:abstractNum w:abstractNumId="152">
    <w:nsid w:val="2AE05A34"/>
    <w:multiLevelType w:val="hybridMultilevel"/>
    <w:lvl w:ilvl="0">
      <w:lvlJc w:val="left"/>
      <w:lvlText w:val="(%1)"/>
      <w:numFmt w:val="lowerRoman"/>
      <w:start w:val="3"/>
    </w:lvl>
  </w:abstractNum>
  <w:abstractNum w:abstractNumId="153">
    <w:nsid w:val="32794FF7"/>
    <w:multiLevelType w:val="hybridMultilevel"/>
    <w:lvl w:ilvl="0">
      <w:lvlJc w:val="left"/>
      <w:lvlText w:val="%1."/>
      <w:numFmt w:val="decimal"/>
      <w:start w:val="4"/>
    </w:lvl>
  </w:abstractNum>
  <w:abstractNum w:abstractNumId="154">
    <w:nsid w:val="5454945E"/>
    <w:multiLevelType w:val="hybridMultilevel"/>
    <w:lvl w:ilvl="0">
      <w:lvlJc w:val="left"/>
      <w:lvlText w:val="%1."/>
      <w:numFmt w:val="decimal"/>
      <w:start w:val="5"/>
    </w:lvl>
  </w:abstractNum>
  <w:abstractNum w:abstractNumId="155">
    <w:nsid w:val="4DEFDFA0"/>
    <w:multiLevelType w:val="hybridMultilevel"/>
    <w:lvl w:ilvl="0">
      <w:lvlJc w:val="left"/>
      <w:lvlText w:val="%1."/>
      <w:numFmt w:val="decimal"/>
      <w:start w:val="6"/>
    </w:lvl>
  </w:abstractNum>
  <w:abstractNum w:abstractNumId="156">
    <w:nsid w:val="2123D5F2"/>
    <w:multiLevelType w:val="hybridMultilevel"/>
    <w:lvl w:ilvl="0">
      <w:lvlJc w:val="left"/>
      <w:lvlText w:val="%1."/>
      <w:numFmt w:val="decimal"/>
      <w:start w:val="8"/>
    </w:lvl>
  </w:abstractNum>
  <w:abstractNum w:abstractNumId="157">
    <w:nsid w:val="135B8110"/>
    <w:multiLevelType w:val="hybridMultilevel"/>
    <w:lvl w:ilvl="0">
      <w:lvlJc w:val="left"/>
      <w:lvlText w:val="%1."/>
      <w:numFmt w:val="decimal"/>
      <w:start w:val="9"/>
    </w:lvl>
  </w:abstractNum>
  <w:abstractNum w:abstractNumId="158">
    <w:nsid w:val="94927A8"/>
    <w:multiLevelType w:val="hybridMultilevel"/>
    <w:lvl w:ilvl="0">
      <w:lvlJc w:val="left"/>
      <w:lvlText w:val="%1."/>
      <w:numFmt w:val="decimal"/>
      <w:start w:val="10"/>
    </w:lvl>
  </w:abstractNum>
  <w:abstractNum w:abstractNumId="159">
    <w:nsid w:val="DCDF8F6"/>
    <w:multiLevelType w:val="hybridMultilevel"/>
    <w:lvl w:ilvl="0">
      <w:lvlJc w:val="left"/>
      <w:lvlText w:val="%1."/>
      <w:numFmt w:val="decimal"/>
      <w:start w:val="1"/>
    </w:lvl>
  </w:abstractNum>
  <w:abstractNum w:abstractNumId="160">
    <w:nsid w:val="52D7B105"/>
    <w:multiLevelType w:val="hybridMultilevel"/>
    <w:lvl w:ilvl="0">
      <w:lvlJc w:val="left"/>
      <w:lvlText w:val="%1."/>
      <w:numFmt w:val="decimal"/>
      <w:start w:val="2"/>
    </w:lvl>
  </w:abstractNum>
  <w:abstractNum w:abstractNumId="161">
    <w:nsid w:val="2E8A6394"/>
    <w:multiLevelType w:val="hybridMultilevel"/>
    <w:lvl w:ilvl="0">
      <w:lvlJc w:val="left"/>
      <w:lvlText w:val="%1."/>
      <w:numFmt w:val="decimal"/>
      <w:start w:val="3"/>
    </w:lvl>
  </w:abstractNum>
  <w:abstractNum w:abstractNumId="162">
    <w:nsid w:val="24E60401"/>
    <w:multiLevelType w:val="hybridMultilevel"/>
    <w:lvl w:ilvl="0">
      <w:lvlJc w:val="left"/>
      <w:lvlText w:val="%1."/>
      <w:numFmt w:val="upperLetter"/>
      <w:start w:val="2"/>
    </w:lvl>
  </w:abstractNum>
  <w:abstractNum w:abstractNumId="163">
    <w:nsid w:val="2A6AD9BE"/>
    <w:multiLevelType w:val="hybridMultilevel"/>
    <w:lvl w:ilvl="0">
      <w:lvlJc w:val="left"/>
      <w:lvlText w:val="*"/>
      <w:numFmt w:val="bullet"/>
      <w:start w:val="1"/>
    </w:lvl>
  </w:abstractNum>
  <w:abstractNum w:abstractNumId="164">
    <w:nsid w:val="BAAC1B4"/>
    <w:multiLevelType w:val="hybridMultilevel"/>
    <w:lvl w:ilvl="0">
      <w:lvlJc w:val="left"/>
      <w:lvlText w:val="%1."/>
      <w:numFmt w:val="decimal"/>
      <w:start w:val="1"/>
    </w:lvl>
  </w:abstractNum>
  <w:abstractNum w:abstractNumId="165">
    <w:nsid w:val="36B2ACBC"/>
    <w:multiLevelType w:val="hybridMultilevel"/>
    <w:lvl w:ilvl="0">
      <w:lvlJc w:val="left"/>
      <w:lvlText w:val="%1."/>
      <w:numFmt w:val="decimal"/>
      <w:start w:val="2"/>
    </w:lvl>
  </w:abstractNum>
  <w:abstractNum w:abstractNumId="166">
    <w:nsid w:val="779D8544"/>
    <w:multiLevelType w:val="hybridMultilevel"/>
    <w:lvl w:ilvl="0">
      <w:lvlJc w:val="left"/>
      <w:lvlText w:val="(%1)"/>
      <w:numFmt w:val="lowerRoman"/>
      <w:start w:val="1"/>
    </w:lvl>
  </w:abstractNum>
  <w:abstractNum w:abstractNumId="167">
    <w:nsid w:val="4AB26E78"/>
    <w:multiLevelType w:val="hybridMultilevel"/>
    <w:lvl w:ilvl="0">
      <w:lvlJc w:val="left"/>
      <w:lvlText w:val="%1."/>
      <w:numFmt w:val="decimal"/>
      <w:start w:val="3"/>
    </w:lvl>
  </w:abstractNum>
  <w:abstractNum w:abstractNumId="168">
    <w:nsid w:val="21FAA2FA"/>
    <w:multiLevelType w:val="hybridMultilevel"/>
    <w:lvl w:ilvl="0">
      <w:lvlJc w:val="left"/>
      <w:lvlText w:val="%1."/>
      <w:numFmt w:val="decimal"/>
      <w:start w:val="4"/>
    </w:lvl>
  </w:abstractNum>
  <w:abstractNum w:abstractNumId="169">
    <w:nsid w:val="5451CF49"/>
    <w:multiLevelType w:val="hybridMultilevel"/>
    <w:lvl w:ilvl="0">
      <w:lvlJc w:val="left"/>
      <w:lvlText w:val="%1."/>
      <w:numFmt w:val="decimal"/>
      <w:start w:val="7"/>
    </w:lvl>
  </w:abstractNum>
  <w:abstractNum w:abstractNumId="170">
    <w:nsid w:val="6181EF69"/>
    <w:multiLevelType w:val="hybridMultilevel"/>
    <w:lvl w:ilvl="0">
      <w:lvlJc w:val="left"/>
      <w:lvlText w:val="%1."/>
      <w:numFmt w:val="decimal"/>
      <w:start w:val="8"/>
    </w:lvl>
  </w:abstractNum>
  <w:abstractNum w:abstractNumId="171">
    <w:nsid w:val="3E6400E6"/>
    <w:multiLevelType w:val="hybridMultilevel"/>
    <w:lvl w:ilvl="0">
      <w:lvlJc w:val="left"/>
      <w:lvlText w:val="%1."/>
      <w:numFmt w:val="decimal"/>
      <w:start w:val="1"/>
    </w:lvl>
  </w:abstractNum>
  <w:abstractNum w:abstractNumId="172">
    <w:nsid w:val="14217E23"/>
    <w:multiLevelType w:val="hybridMultilevel"/>
    <w:lvl w:ilvl="0">
      <w:lvlJc w:val="left"/>
      <w:lvlText w:val="%1."/>
      <w:numFmt w:val="decimal"/>
      <w:start w:val="2"/>
    </w:lvl>
    <w:lvl w:ilvl="1">
      <w:lvlJc w:val="left"/>
      <w:lvlText w:val="(%2)"/>
      <w:numFmt w:val="lowerRoman"/>
      <w:start w:val="1"/>
    </w:lvl>
  </w:abstractNum>
  <w:abstractNum w:abstractNumId="173">
    <w:nsid w:val="710757D0"/>
    <w:multiLevelType w:val="hybridMultilevel"/>
    <w:lvl w:ilvl="0">
      <w:lvlJc w:val="left"/>
      <w:lvlText w:val="%1."/>
      <w:numFmt w:val="decimal"/>
      <w:start w:val="3"/>
    </w:lvl>
  </w:abstractNum>
  <w:abstractNum w:abstractNumId="174">
    <w:nsid w:val="5015CD1A"/>
    <w:multiLevelType w:val="hybridMultilevel"/>
    <w:lvl w:ilvl="0">
      <w:lvlJc w:val="left"/>
      <w:lvlText w:val="%1."/>
      <w:numFmt w:val="decimal"/>
      <w:start w:val="5"/>
    </w:lvl>
  </w:abstractNum>
  <w:abstractNum w:abstractNumId="175">
    <w:nsid w:val="424479DA"/>
    <w:multiLevelType w:val="hybridMultilevel"/>
    <w:lvl w:ilvl="0">
      <w:lvlJc w:val="left"/>
      <w:lvlText w:val="%1."/>
      <w:numFmt w:val="decimal"/>
      <w:start w:val="6"/>
    </w:lvl>
  </w:abstractNum>
  <w:abstractNum w:abstractNumId="176">
    <w:nsid w:val="1A9A9E69"/>
    <w:multiLevelType w:val="hybridMultilevel"/>
    <w:lvl w:ilvl="0">
      <w:lvlJc w:val="left"/>
      <w:lvlText w:val="%1."/>
      <w:numFmt w:val="decimal"/>
      <w:start w:val="7"/>
    </w:lvl>
  </w:abstractNum>
  <w:abstractNum w:abstractNumId="177">
    <w:nsid w:val="475E256A"/>
    <w:multiLevelType w:val="hybridMultilevel"/>
    <w:lvl w:ilvl="0">
      <w:lvlJc w:val="left"/>
      <w:lvlText w:val="%1."/>
      <w:numFmt w:val="decimal"/>
      <w:start w:val="1"/>
    </w:lvl>
    <w:lvl w:ilvl="1">
      <w:lvlJc w:val="left"/>
      <w:lvlText w:val="(%2)"/>
      <w:numFmt w:val="lowerLetter"/>
      <w:start w:val="1"/>
    </w:lvl>
  </w:abstractNum>
  <w:abstractNum w:abstractNumId="178">
    <w:nsid w:val="368DB37E"/>
    <w:multiLevelType w:val="hybridMultilevel"/>
    <w:lvl w:ilvl="0">
      <w:lvlJc w:val="left"/>
      <w:lvlText w:val="%1."/>
      <w:numFmt w:val="decimal"/>
      <w:start w:val="1"/>
    </w:lvl>
    <w:lvl w:ilvl="1">
      <w:lvlJc w:val="left"/>
      <w:lvlText w:val="(%2)"/>
      <w:numFmt w:val="lowerLetter"/>
      <w:start w:val="1"/>
    </w:lvl>
  </w:abstractNum>
  <w:abstractNum w:abstractNumId="179">
    <w:nsid w:val="6A3B714C"/>
    <w:multiLevelType w:val="hybridMultilevel"/>
    <w:lvl w:ilvl="0">
      <w:lvlJc w:val="left"/>
      <w:lvlText w:val="%1."/>
      <w:numFmt w:val="decimal"/>
      <w:start w:val="1"/>
    </w:lvl>
    <w:lvl w:ilvl="1">
      <w:lvlJc w:val="left"/>
      <w:lvlText w:val="(%2)"/>
      <w:numFmt w:val="lowerLetter"/>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82" Type="http://schemas.openxmlformats.org/officeDocument/2006/relationships/image" Target="media/image261.png"/><Relationship Id="rId295" Type="http://schemas.openxmlformats.org/officeDocument/2006/relationships/image" Target="media/image262.png"/><Relationship Id="rId305" Type="http://schemas.openxmlformats.org/officeDocument/2006/relationships/image" Target="media/image263.png"/><Relationship Id="rId319" Type="http://schemas.openxmlformats.org/officeDocument/2006/relationships/image" Target="media/image264.png"/><Relationship Id="rId332" Type="http://schemas.openxmlformats.org/officeDocument/2006/relationships/image" Target="media/image265.png"/><Relationship Id="rId342" Type="http://schemas.openxmlformats.org/officeDocument/2006/relationships/image" Target="media/image266.png"/><Relationship Id="rId350" Type="http://schemas.openxmlformats.org/officeDocument/2006/relationships/image" Target="media/image267.png"/><Relationship Id="rId361" Type="http://schemas.openxmlformats.org/officeDocument/2006/relationships/image" Target="media/image268.png"/><Relationship Id="rId373" Type="http://schemas.openxmlformats.org/officeDocument/2006/relationships/image" Target="media/image269.png"/><Relationship Id="rId382" Type="http://schemas.openxmlformats.org/officeDocument/2006/relationships/image" Target="media/image270.png"/><Relationship Id="rId395" Type="http://schemas.openxmlformats.org/officeDocument/2006/relationships/image" Target="media/image271.png"/><Relationship Id="rId405" Type="http://schemas.openxmlformats.org/officeDocument/2006/relationships/image" Target="media/image272.png"/><Relationship Id="rId413" Type="http://schemas.openxmlformats.org/officeDocument/2006/relationships/image" Target="media/image273.png"/><Relationship Id="rId425" Type="http://schemas.openxmlformats.org/officeDocument/2006/relationships/image" Target="media/image274.png"/><Relationship Id="rId437" Type="http://schemas.openxmlformats.org/officeDocument/2006/relationships/image" Target="media/image275.png"/><Relationship Id="rId451" Type="http://schemas.openxmlformats.org/officeDocument/2006/relationships/image" Target="media/image276.png"/><Relationship Id="rId462" Type="http://schemas.openxmlformats.org/officeDocument/2006/relationships/image" Target="media/image277.png"/><Relationship Id="rId476" Type="http://schemas.openxmlformats.org/officeDocument/2006/relationships/image" Target="media/image278.png"/><Relationship Id="rId490" Type="http://schemas.openxmlformats.org/officeDocument/2006/relationships/image" Target="media/image279.png"/><Relationship Id="rId506" Type="http://schemas.openxmlformats.org/officeDocument/2006/relationships/image" Target="media/image280.png"/><Relationship Id="rId521" Type="http://schemas.openxmlformats.org/officeDocument/2006/relationships/image" Target="media/image281.png"/><Relationship Id="rId536" Type="http://schemas.openxmlformats.org/officeDocument/2006/relationships/image" Target="media/image282.png"/><Relationship Id="rId552" Type="http://schemas.openxmlformats.org/officeDocument/2006/relationships/image" Target="media/image283.png"/><Relationship Id="rId553" Type="http://schemas.openxmlformats.org/officeDocument/2006/relationships/image" Target="media/image284.png"/><Relationship Id="rId554" Type="http://schemas.openxmlformats.org/officeDocument/2006/relationships/image" Target="media/image285.png"/><Relationship Id="rId555" Type="http://schemas.openxmlformats.org/officeDocument/2006/relationships/image" Target="media/image286.png"/><Relationship Id="rId556" Type="http://schemas.openxmlformats.org/officeDocument/2006/relationships/image" Target="media/image287.png"/><Relationship Id="rId557" Type="http://schemas.openxmlformats.org/officeDocument/2006/relationships/image" Target="media/image288.png"/><Relationship Id="rId558" Type="http://schemas.openxmlformats.org/officeDocument/2006/relationships/image" Target="media/image289.png"/><Relationship Id="rId559" Type="http://schemas.openxmlformats.org/officeDocument/2006/relationships/image" Target="media/image290.png"/><Relationship Id="rId560" Type="http://schemas.openxmlformats.org/officeDocument/2006/relationships/image" Target="media/image291.png"/><Relationship Id="rId561" Type="http://schemas.openxmlformats.org/officeDocument/2006/relationships/image" Target="media/image292.png"/><Relationship Id="rId562" Type="http://schemas.openxmlformats.org/officeDocument/2006/relationships/image" Target="media/image293.png"/><Relationship Id="rId563" Type="http://schemas.openxmlformats.org/officeDocument/2006/relationships/image" Target="media/image294.png"/><Relationship Id="rId564" Type="http://schemas.openxmlformats.org/officeDocument/2006/relationships/image" Target="media/image295.png"/><Relationship Id="rId565" Type="http://schemas.openxmlformats.org/officeDocument/2006/relationships/image" Target="media/image296.png"/><Relationship Id="rId566" Type="http://schemas.openxmlformats.org/officeDocument/2006/relationships/image" Target="media/image297.png"/><Relationship Id="rId567" Type="http://schemas.openxmlformats.org/officeDocument/2006/relationships/image" Target="media/image298.png"/><Relationship Id="rId568" Type="http://schemas.openxmlformats.org/officeDocument/2006/relationships/image" Target="media/image299.png"/><Relationship Id="rId569" Type="http://schemas.openxmlformats.org/officeDocument/2006/relationships/image" Target="media/image300.png"/><Relationship Id="rId570" Type="http://schemas.openxmlformats.org/officeDocument/2006/relationships/image" Target="media/image301.jpeg"/><Relationship Id="rId571" Type="http://schemas.openxmlformats.org/officeDocument/2006/relationships/image" Target="media/image302.jpeg"/><Relationship Id="rId572" Type="http://schemas.openxmlformats.org/officeDocument/2006/relationships/image" Target="media/image303.jpeg"/><Relationship Id="rId573" Type="http://schemas.openxmlformats.org/officeDocument/2006/relationships/image" Target="media/image304.jpeg"/><Relationship Id="rId574" Type="http://schemas.openxmlformats.org/officeDocument/2006/relationships/image" Target="media/image305.png"/><Relationship Id="rId575" Type="http://schemas.openxmlformats.org/officeDocument/2006/relationships/image" Target="media/image306.png"/><Relationship Id="rId576" Type="http://schemas.openxmlformats.org/officeDocument/2006/relationships/image" Target="media/image307.png"/><Relationship Id="rId577" Type="http://schemas.openxmlformats.org/officeDocument/2006/relationships/image" Target="media/image308.png"/><Relationship Id="rId578" Type="http://schemas.openxmlformats.org/officeDocument/2006/relationships/image" Target="media/image309.png"/><Relationship Id="rId579" Type="http://schemas.openxmlformats.org/officeDocument/2006/relationships/image" Target="media/image310.png"/><Relationship Id="rId580" Type="http://schemas.openxmlformats.org/officeDocument/2006/relationships/image" Target="media/image311.png"/><Relationship Id="rId581" Type="http://schemas.openxmlformats.org/officeDocument/2006/relationships/image" Target="media/image312.png"/><Relationship Id="rId582" Type="http://schemas.openxmlformats.org/officeDocument/2006/relationships/image" Target="media/image313.png"/><Relationship Id="rId583" Type="http://schemas.openxmlformats.org/officeDocument/2006/relationships/image" Target="media/image314.png"/><Relationship Id="rId584" Type="http://schemas.openxmlformats.org/officeDocument/2006/relationships/image" Target="media/image315.png"/><Relationship Id="rId585" Type="http://schemas.openxmlformats.org/officeDocument/2006/relationships/image" Target="media/image316.png"/><Relationship Id="rId586" Type="http://schemas.openxmlformats.org/officeDocument/2006/relationships/image" Target="media/image317.png"/><Relationship Id="rId587" Type="http://schemas.openxmlformats.org/officeDocument/2006/relationships/image" Target="media/image318.jpeg"/><Relationship Id="rId588" Type="http://schemas.openxmlformats.org/officeDocument/2006/relationships/image" Target="media/image319.jpeg"/><Relationship Id="rId589" Type="http://schemas.openxmlformats.org/officeDocument/2006/relationships/image" Target="media/image320.jpeg"/><Relationship Id="rId590" Type="http://schemas.openxmlformats.org/officeDocument/2006/relationships/image" Target="media/image321.jpeg"/><Relationship Id="rId591" Type="http://schemas.openxmlformats.org/officeDocument/2006/relationships/image" Target="media/image322.png"/><Relationship Id="rId592" Type="http://schemas.openxmlformats.org/officeDocument/2006/relationships/image" Target="media/image323.png"/><Relationship Id="rId593" Type="http://schemas.openxmlformats.org/officeDocument/2006/relationships/image" Target="media/image324.jpeg"/><Relationship Id="rId594" Type="http://schemas.openxmlformats.org/officeDocument/2006/relationships/image" Target="media/image325.jpeg"/><Relationship Id="rId595" Type="http://schemas.openxmlformats.org/officeDocument/2006/relationships/image" Target="media/image326.jpeg"/><Relationship Id="rId596" Type="http://schemas.openxmlformats.org/officeDocument/2006/relationships/image" Target="media/image327.jpeg"/><Relationship Id="rId597" Type="http://schemas.openxmlformats.org/officeDocument/2006/relationships/image" Target="media/image328.jpeg"/><Relationship Id="rId598" Type="http://schemas.openxmlformats.org/officeDocument/2006/relationships/image" Target="media/image329.jpeg"/><Relationship Id="rId599" Type="http://schemas.openxmlformats.org/officeDocument/2006/relationships/image" Target="media/image330.jpeg"/><Relationship Id="rId600" Type="http://schemas.openxmlformats.org/officeDocument/2006/relationships/image" Target="media/image331.jpeg"/><Relationship Id="rId601" Type="http://schemas.openxmlformats.org/officeDocument/2006/relationships/image" Target="media/image332.jpeg"/><Relationship Id="rId602" Type="http://schemas.openxmlformats.org/officeDocument/2006/relationships/image" Target="media/image333.jpeg"/><Relationship Id="rId603" Type="http://schemas.openxmlformats.org/officeDocument/2006/relationships/image" Target="media/image334.jpeg"/><Relationship Id="rId604" Type="http://schemas.openxmlformats.org/officeDocument/2006/relationships/image" Target="media/image335.png"/><Relationship Id="rId605" Type="http://schemas.openxmlformats.org/officeDocument/2006/relationships/image" Target="media/image336.jpeg"/><Relationship Id="rId606" Type="http://schemas.openxmlformats.org/officeDocument/2006/relationships/image" Target="media/image337.jpeg"/><Relationship Id="rId607" Type="http://schemas.openxmlformats.org/officeDocument/2006/relationships/image" Target="media/image338.jpeg"/><Relationship Id="rId608" Type="http://schemas.openxmlformats.org/officeDocument/2006/relationships/image" Target="media/image339.jpeg"/><Relationship Id="rId609" Type="http://schemas.openxmlformats.org/officeDocument/2006/relationships/image" Target="media/image340.jpeg"/><Relationship Id="rId610" Type="http://schemas.openxmlformats.org/officeDocument/2006/relationships/image" Target="media/image341.png"/><Relationship Id="rId611" Type="http://schemas.openxmlformats.org/officeDocument/2006/relationships/image" Target="media/image342.png"/><Relationship Id="rId612" Type="http://schemas.openxmlformats.org/officeDocument/2006/relationships/image" Target="media/image343.png"/><Relationship Id="rId613" Type="http://schemas.openxmlformats.org/officeDocument/2006/relationships/image" Target="media/image344.png"/><Relationship Id="rId614" Type="http://schemas.openxmlformats.org/officeDocument/2006/relationships/image" Target="media/image345.png"/><Relationship Id="rId615" Type="http://schemas.openxmlformats.org/officeDocument/2006/relationships/image" Target="media/image346.png"/><Relationship Id="rId616" Type="http://schemas.openxmlformats.org/officeDocument/2006/relationships/image" Target="media/image347.png"/><Relationship Id="rId617" Type="http://schemas.openxmlformats.org/officeDocument/2006/relationships/image" Target="media/image348.png"/><Relationship Id="rId268" Type="http://schemas.openxmlformats.org/officeDocument/2006/relationships/hyperlink" Target="http://www.sec.gov/Archives/edgar/data/4515/000119312513408263/d605556dex21.htm" TargetMode="External"/><Relationship Id="rId269" Type="http://schemas.openxmlformats.org/officeDocument/2006/relationships/hyperlink" Target="http://www.sec.gov/Archives/edgar/data/4515/000119312515418305/d110614dex21.htm" TargetMode="External"/><Relationship Id="rId270" Type="http://schemas.openxmlformats.org/officeDocument/2006/relationships/hyperlink" Target="http://www.sec.gov/Archives/edgar/data/4515/000119312513466973/d640718dex31.htm" TargetMode="External"/><Relationship Id="rId271" Type="http://schemas.openxmlformats.org/officeDocument/2006/relationships/hyperlink" Target="http://www.sec.gov/Archives/edgar/data/6201/000119312518191662/d594984dex31.htm" TargetMode="External"/><Relationship Id="rId272" Type="http://schemas.openxmlformats.org/officeDocument/2006/relationships/hyperlink" Target="http://www.sec.gov/Archives/edgar/data/4515/000000620114000004/d682697dex33.htm" TargetMode="External"/><Relationship Id="rId273" Type="http://schemas.openxmlformats.org/officeDocument/2006/relationships/hyperlink" Target="http://www.sec.gov/Archives/edgar/data/4515/000000620114000004/d682697dex34.htm" TargetMode="External"/><Relationship Id="rId274" Type="http://schemas.openxmlformats.org/officeDocument/2006/relationships/hyperlink" Target="https://www.sec.gov/Archives/edgar/data/6201/000119312521364315/d244625dex31.htm" TargetMode="External"/><Relationship Id="rId275" Type="http://schemas.openxmlformats.org/officeDocument/2006/relationships/hyperlink" Target="https://www.sec.gov/Archives/edgar/data/6201/000000620122000026/exhibit41q42110-k.htm" TargetMode="External"/><Relationship Id="rId276" Type="http://schemas.openxmlformats.org/officeDocument/2006/relationships/hyperlink" Target="http://www.sec.gov/Archives/edgar/data/4515/000119312514343482/d790263dex41.htm" TargetMode="External"/><Relationship Id="rId277" Type="http://schemas.openxmlformats.org/officeDocument/2006/relationships/hyperlink" Target="http://www.sec.gov/Archives/edgar/data/4515/000119312514343482/d790263dex42.htm" TargetMode="External"/><Relationship Id="rId278" Type="http://schemas.openxmlformats.org/officeDocument/2006/relationships/hyperlink" Target="http://www.sec.gov/Archives/edgar/data/4515/000119312514343482/d790263dex43.htm" TargetMode="External"/><Relationship Id="rId279" Type="http://schemas.openxmlformats.org/officeDocument/2006/relationships/hyperlink" Target="http://www.sec.gov/Archives/edgar/data/4515/000119312514343482/d790263dex44.htm" TargetMode="External"/><Relationship Id="rId280" Type="http://schemas.openxmlformats.org/officeDocument/2006/relationships/hyperlink" Target="http://www.sec.gov/Archives/edgar/data/4515/000119312515261937/d945812dex106.htm" TargetMode="External"/><Relationship Id="rId281" Type="http://schemas.openxmlformats.org/officeDocument/2006/relationships/hyperlink" Target="http://www.sec.gov/Archives/edgar/data/4515/000119312514343482/d790263dex49.htm" TargetMode="External"/><Relationship Id="rId283" Type="http://schemas.openxmlformats.org/officeDocument/2006/relationships/hyperlink" Target="http://www.sec.gov/Archives/edgar/data/4515/000119312514343482/d790263dex410.htm" TargetMode="External"/><Relationship Id="rId284" Type="http://schemas.openxmlformats.org/officeDocument/2006/relationships/hyperlink" Target="http://www.sec.gov/Archives/edgar/data/4515/000119312514343482/d790263dex411.htm" TargetMode="External"/><Relationship Id="rId285" Type="http://schemas.openxmlformats.org/officeDocument/2006/relationships/hyperlink" Target="http://www.sec.gov/Archives/edgar/data/4515/000119312514343482/d790263dex414.htm" TargetMode="External"/><Relationship Id="rId286" Type="http://schemas.openxmlformats.org/officeDocument/2006/relationships/hyperlink" Target="http://www.sec.gov/Archives/edgar/data/4515/000119312514343482/d790263dex415.htm" TargetMode="External"/><Relationship Id="rId287" Type="http://schemas.openxmlformats.org/officeDocument/2006/relationships/hyperlink" Target="http://www.sec.gov/Archives/edgar/data/4515/000119312515418305/d110614dex43.htm" TargetMode="External"/><Relationship Id="rId288" Type="http://schemas.openxmlformats.org/officeDocument/2006/relationships/hyperlink" Target="http://www.sec.gov/Archives/edgar/data/4515/000119312515093938/d890456dex42.htm" TargetMode="External"/><Relationship Id="rId289" Type="http://schemas.openxmlformats.org/officeDocument/2006/relationships/hyperlink" Target="http://www.sec.gov/Archives/edgar/data/4515/000119312515093938/d890456dex43.htm" TargetMode="External"/><Relationship Id="rId290" Type="http://schemas.openxmlformats.org/officeDocument/2006/relationships/hyperlink" Target="http://www.sec.gov/Archives/edgar/data/4515/000119312515093938/d890456dex44.htm" TargetMode="External"/><Relationship Id="rId291" Type="http://schemas.openxmlformats.org/officeDocument/2006/relationships/hyperlink" Target="http://www.sec.gov/Archives/edgar/data/4515/000119312515093938/d890456dex49.htm" TargetMode="External"/><Relationship Id="rId292" Type="http://schemas.openxmlformats.org/officeDocument/2006/relationships/hyperlink" Target="http://www.sec.gov/Archives/edgar/data/4515/000119312515093938/d890456dex410.htm" TargetMode="External"/><Relationship Id="rId293" Type="http://schemas.openxmlformats.org/officeDocument/2006/relationships/hyperlink" Target="http://www.sec.gov/Archives/edgar/data/4515/000119312515093938/d890456dex411.htm" TargetMode="External"/><Relationship Id="rId294" Type="http://schemas.openxmlformats.org/officeDocument/2006/relationships/hyperlink" Target="http://www.sec.gov/Archives/edgar/data/4515/000119312515093938/d890456dex414.htm" TargetMode="External"/><Relationship Id="rId296" Type="http://schemas.openxmlformats.org/officeDocument/2006/relationships/hyperlink" Target="http://www.sec.gov/Archives/edgar/data/4515/000119312515093938/d890456dex415.htm" TargetMode="External"/><Relationship Id="rId297" Type="http://schemas.openxmlformats.org/officeDocument/2006/relationships/hyperlink" Target="http://www.sec.gov/Archives/edgar/data/4515/000119312515327525/d69559dex42.htm" TargetMode="External"/><Relationship Id="rId298" Type="http://schemas.openxmlformats.org/officeDocument/2006/relationships/hyperlink" Target="http://www.sec.gov/Archives/edgar/data/4515/000119312515327525/d69559dex43.htm" TargetMode="External"/><Relationship Id="rId299" Type="http://schemas.openxmlformats.org/officeDocument/2006/relationships/hyperlink" Target="http://www.sec.gov/Archives/edgar/data/4515/000119312515327525/d69559dex44.htm" TargetMode="External"/><Relationship Id="rId300" Type="http://schemas.openxmlformats.org/officeDocument/2006/relationships/hyperlink" Target="http://www.sec.gov/Archives/edgar/data/4515/000119312515327525/d69559dex45.htm" TargetMode="External"/><Relationship Id="rId301" Type="http://schemas.openxmlformats.org/officeDocument/2006/relationships/hyperlink" Target="http://www.sec.gov/Archives/edgar/data/4515/000119312515327525/d69559dex46.htm" TargetMode="External"/><Relationship Id="rId302" Type="http://schemas.openxmlformats.org/officeDocument/2006/relationships/hyperlink" Target="http://www.sec.gov/Archives/edgar/data/4515/000119312515327525/d69559dex412.htm" TargetMode="External"/><Relationship Id="rId303" Type="http://schemas.openxmlformats.org/officeDocument/2006/relationships/hyperlink" Target="http://www.sec.gov/Archives/edgar/data/4515/000119312515327525/d69559dex413.htm" TargetMode="External"/><Relationship Id="rId304" Type="http://schemas.openxmlformats.org/officeDocument/2006/relationships/hyperlink" Target="http://www.sec.gov/Archives/edgar/data/4515/000119312515327525/d69559dex414.htm" TargetMode="External"/><Relationship Id="rId306" Type="http://schemas.openxmlformats.org/officeDocument/2006/relationships/hyperlink" Target="http://www.sec.gov/Archives/edgar/data/701345/000119312513171448/d526546dex412.htm" TargetMode="External"/><Relationship Id="rId307" Type="http://schemas.openxmlformats.org/officeDocument/2006/relationships/hyperlink" Target="http://www.sec.gov/Archives/edgar/data/4515/000119312515418305/d110614dex102.htm" TargetMode="External"/><Relationship Id="rId308" Type="http://schemas.openxmlformats.org/officeDocument/2006/relationships/hyperlink" Target="http://www.sec.gov/Archives/edgar/data/701345/000119312513171448/d526546dex413.htm" TargetMode="External"/><Relationship Id="rId309" Type="http://schemas.openxmlformats.org/officeDocument/2006/relationships/hyperlink" Target="http://www.sec.gov/Archives/edgar/data/701345/000119312513171448/d526546dex414.htm" TargetMode="External"/><Relationship Id="rId310" Type="http://schemas.openxmlformats.org/officeDocument/2006/relationships/hyperlink" Target="http://www.sec.gov/Archives/edgar/data/701345/000119312513250235/d548366dex48.htm" TargetMode="External"/><Relationship Id="rId311" Type="http://schemas.openxmlformats.org/officeDocument/2006/relationships/hyperlink" Target="http://www.sec.gov/Archives/edgar/data/701345/000119312513250235/d548366dex49.htm" TargetMode="External"/><Relationship Id="rId312" Type="http://schemas.openxmlformats.org/officeDocument/2006/relationships/hyperlink" Target="http://www.sec.gov/Archives/edgar/data/4515/000000620114000011/d715288dex105.htm" TargetMode="External"/><Relationship Id="rId313" Type="http://schemas.openxmlformats.org/officeDocument/2006/relationships/hyperlink" Target="http://www.sec.gov/Archives/edgar/data/701345/000119312513250235/d548366dex410.htm" TargetMode="External"/><Relationship Id="rId314" Type="http://schemas.openxmlformats.org/officeDocument/2006/relationships/hyperlink" Target="http://www.sec.gov/Archives/edgar/data/701345/000119312513250235/d548366dex411.htm" TargetMode="External"/><Relationship Id="rId315" Type="http://schemas.openxmlformats.org/officeDocument/2006/relationships/hyperlink" Target="http://www.sec.gov/Archives/edgar/data/701345/000095012310116213/p18414exv4w14.htm" TargetMode="External"/><Relationship Id="rId316" Type="http://schemas.openxmlformats.org/officeDocument/2006/relationships/hyperlink" Target="http://www.sec.gov/Archives/edgar/data/701345/000095012310116213/p18414exv4w15.htm" TargetMode="External"/><Relationship Id="rId317" Type="http://schemas.openxmlformats.org/officeDocument/2006/relationships/hyperlink" Target="http://www.sec.gov/Archives/edgar/data/4515/000000620114000011/d715288dex101.htm" TargetMode="External"/><Relationship Id="rId318" Type="http://schemas.openxmlformats.org/officeDocument/2006/relationships/hyperlink" Target="http://www.sec.gov/Archives/edgar/data/701345/000095012311063424/p18939exv4w18.htm" TargetMode="External"/><Relationship Id="rId320" Type="http://schemas.openxmlformats.org/officeDocument/2006/relationships/hyperlink" Target="http://www.sec.gov/Archives/edgar/data/701345/000095012311063424/p18939exv4w19.htm" TargetMode="External"/><Relationship Id="rId321" Type="http://schemas.openxmlformats.org/officeDocument/2006/relationships/hyperlink" Target="http://www.sec.gov/Archives/edgar/data/701345/000095012311063424/p18939exv4w23.htm" TargetMode="External"/><Relationship Id="rId322" Type="http://schemas.openxmlformats.org/officeDocument/2006/relationships/hyperlink" Target="http://www.sec.gov/Archives/edgar/data/4515/000000620114000011/d715288dex102.htm" TargetMode="External"/><Relationship Id="rId323" Type="http://schemas.openxmlformats.org/officeDocument/2006/relationships/hyperlink" Target="http://www.sec.gov/Archives/edgar/data/701345/000119312512236751/d354045dex418.htm" TargetMode="External"/><Relationship Id="rId324" Type="http://schemas.openxmlformats.org/officeDocument/2006/relationships/hyperlink" Target="http://www.sec.gov/Archives/edgar/data/701345/000119312512236751/d354045dex419.htm" TargetMode="External"/><Relationship Id="rId325" Type="http://schemas.openxmlformats.org/officeDocument/2006/relationships/hyperlink" Target="http://www.sec.gov/Archives/edgar/data/4515/000000620114000011/d715288dex103.htm" TargetMode="External"/><Relationship Id="rId326" Type="http://schemas.openxmlformats.org/officeDocument/2006/relationships/hyperlink" Target="http://www.sec.gov/Archives/edgar/data/701345/000119312512501957/d452985dex412.htm" TargetMode="External"/><Relationship Id="rId327" Type="http://schemas.openxmlformats.org/officeDocument/2006/relationships/hyperlink" Target="http://www.sec.gov/Archives/edgar/data/4515/000000620114000011/d715288dex104.htm" TargetMode="External"/><Relationship Id="rId328" Type="http://schemas.openxmlformats.org/officeDocument/2006/relationships/hyperlink" Target="http://www.sec.gov/Archives/edgar/data/4515/000119312515418305/d110614dex103.htm" TargetMode="External"/><Relationship Id="rId329" Type="http://schemas.openxmlformats.org/officeDocument/2006/relationships/hyperlink" Target="http://www.sec.gov/Archives/edgar/data/4515/000119312516433815/d126794dex42.htm" TargetMode="External"/><Relationship Id="rId330" Type="http://schemas.openxmlformats.org/officeDocument/2006/relationships/hyperlink" Target="http://www.sec.gov/Archives/edgar/data/4515/000119312516433815/d126794dex43.htm" TargetMode="External"/><Relationship Id="rId331" Type="http://schemas.openxmlformats.org/officeDocument/2006/relationships/hyperlink" Target="http://www.sec.gov/Archives/edgar/data/4515/000119312516433815/d126794dex44.htm" TargetMode="External"/><Relationship Id="rId333" Type="http://schemas.openxmlformats.org/officeDocument/2006/relationships/hyperlink" Target="http://www.sec.gov/Archives/edgar/data/4515/000119312516433815/d126794dex45.htm" TargetMode="External"/><Relationship Id="rId334" Type="http://schemas.openxmlformats.org/officeDocument/2006/relationships/hyperlink" Target="http://www.sec.gov/Archives/edgar/data/4515/000119312516433815/d126794dex46.htm" TargetMode="External"/><Relationship Id="rId335" Type="http://schemas.openxmlformats.org/officeDocument/2006/relationships/hyperlink" Target="http://www.sec.gov/Archives/edgar/data/4515/000119312516433815/d126794dex412.htm" TargetMode="External"/><Relationship Id="rId336" Type="http://schemas.openxmlformats.org/officeDocument/2006/relationships/hyperlink" Target="http://www.sec.gov/Archives/edgar/data/4515/000119312516433815/d126794dex413.htm" TargetMode="External"/><Relationship Id="rId337" Type="http://schemas.openxmlformats.org/officeDocument/2006/relationships/hyperlink" Target="http://www.sec.gov/Archives/edgar/data/4515/000119312516433815/d126794dex414.htm" TargetMode="External"/><Relationship Id="rId338" Type="http://schemas.openxmlformats.org/officeDocument/2006/relationships/hyperlink" Target="http://www.sec.gov/Archives/edgar/data/4515/000119312516592083/d177635dex42.htm" TargetMode="External"/><Relationship Id="rId339" Type="http://schemas.openxmlformats.org/officeDocument/2006/relationships/hyperlink" Target="http://www.sec.gov/Archives/edgar/data/4515/000119312516592083/d177635dex43.htm" TargetMode="External"/><Relationship Id="rId340" Type="http://schemas.openxmlformats.org/officeDocument/2006/relationships/hyperlink" Target="http://www.sec.gov/Archives/edgar/data/4515/000119312516592083/d177635dex44.htm" TargetMode="External"/><Relationship Id="rId341" Type="http://schemas.openxmlformats.org/officeDocument/2006/relationships/hyperlink" Target="http://www.sec.gov/Archives/edgar/data/4515/000119312516592083/d177635dex49.htm" TargetMode="External"/><Relationship Id="rId343" Type="http://schemas.openxmlformats.org/officeDocument/2006/relationships/hyperlink" Target="http://www.sec.gov/Archives/edgar/data/4515/000119312516592083/d177635dex414.htm" TargetMode="External"/><Relationship Id="rId344" Type="http://schemas.openxmlformats.org/officeDocument/2006/relationships/hyperlink" Target="http://www.sec.gov/Archives/edgar/data/4515/000119312516592083/d177635dex415.htm" TargetMode="External"/><Relationship Id="rId345" Type="http://schemas.openxmlformats.org/officeDocument/2006/relationships/hyperlink" Target="http://www.sec.gov/Archives/edgar/data/4515/000119312516646353/d210431dex42.htm" TargetMode="External"/><Relationship Id="rId346" Type="http://schemas.openxmlformats.org/officeDocument/2006/relationships/hyperlink" Target="http://www.sec.gov/Archives/edgar/data/4515/000119312516646353/d210431dex43.htm" TargetMode="External"/><Relationship Id="rId347" Type="http://schemas.openxmlformats.org/officeDocument/2006/relationships/hyperlink" Target="http://www.sec.gov/Archives/edgar/data/4515/000119312516646353/d210431dex46.htm" TargetMode="External"/><Relationship Id="rId348" Type="http://schemas.openxmlformats.org/officeDocument/2006/relationships/hyperlink" Target="http://www.sec.gov/Archives/edgar/data/4515/000119312516646353/d210431dex412.htm" TargetMode="External"/><Relationship Id="rId349" Type="http://schemas.openxmlformats.org/officeDocument/2006/relationships/hyperlink" Target="http://www.sec.gov/Archives/edgar/data/4515/000119312516730454/d359659dex42.htm" TargetMode="External"/><Relationship Id="rId351" Type="http://schemas.openxmlformats.org/officeDocument/2006/relationships/hyperlink" Target="http://www.sec.gov/Archives/edgar/data/4515/000119312516730454/d359659dex43.htm" TargetMode="External"/><Relationship Id="rId352" Type="http://schemas.openxmlformats.org/officeDocument/2006/relationships/hyperlink" Target="http://www.sec.gov/Archives/edgar/data/4515/000119312516730454/d359659dex44.htm" TargetMode="External"/><Relationship Id="rId353" Type="http://schemas.openxmlformats.org/officeDocument/2006/relationships/hyperlink" Target="http://www.sec.gov/Archives/edgar/data/4515/000119312517304687/d466899dex43.htm" TargetMode="External"/><Relationship Id="rId354" Type="http://schemas.openxmlformats.org/officeDocument/2006/relationships/hyperlink" Target="http://www.sec.gov/Archives/edgar/data/4515/000119312516730454/d359659dex49.htm" TargetMode="External"/><Relationship Id="rId355" Type="http://schemas.openxmlformats.org/officeDocument/2006/relationships/hyperlink" Target="http://www.sec.gov/Archives/edgar/data/4515/000119312516730454/d359659dex414.htm" TargetMode="External"/><Relationship Id="rId356" Type="http://schemas.openxmlformats.org/officeDocument/2006/relationships/hyperlink" Target="http://www.sec.gov/Archives/edgar/data/4515/000119312516730454/d359659dex415.htm" TargetMode="External"/><Relationship Id="rId357" Type="http://schemas.openxmlformats.org/officeDocument/2006/relationships/hyperlink" Target="http://www.sec.gov/Archives/edgar/data/4515/000119312517011067/d319419dex42.htm" TargetMode="External"/><Relationship Id="rId358" Type="http://schemas.openxmlformats.org/officeDocument/2006/relationships/hyperlink" Target="http://www.sec.gov/Archives/edgar/data/4515/000119312517011067/d319419dex43.htm" TargetMode="External"/><Relationship Id="rId359" Type="http://schemas.openxmlformats.org/officeDocument/2006/relationships/hyperlink" Target="http://www.sec.gov/Archives/edgar/data/4515/000119312517011067/d319419dex44.htm" TargetMode="External"/><Relationship Id="rId360" Type="http://schemas.openxmlformats.org/officeDocument/2006/relationships/hyperlink" Target="http://www.sec.gov/Archives/edgar/data/4515/000119312517011067/d319419dex45.htm" TargetMode="External"/><Relationship Id="rId362" Type="http://schemas.openxmlformats.org/officeDocument/2006/relationships/hyperlink" Target="http://www.sec.gov/Archives/edgar/data/4515/000119312517011067/d319419dex412.htm" TargetMode="External"/><Relationship Id="rId363" Type="http://schemas.openxmlformats.org/officeDocument/2006/relationships/hyperlink" Target="http://www.sec.gov/Archives/edgar/data/4515/000119312517011067/d319419dex418.htm" TargetMode="External"/><Relationship Id="rId364" Type="http://schemas.openxmlformats.org/officeDocument/2006/relationships/hyperlink" Target="http://www.sec.gov/Archives/edgar/data/4515/000119312517011067/d319419dex419.htm" TargetMode="External"/><Relationship Id="rId365" Type="http://schemas.openxmlformats.org/officeDocument/2006/relationships/hyperlink" Target="http://www.sec.gov/Archives/edgar/data/4515/000119312517011067/d319419dex420.htm" TargetMode="External"/><Relationship Id="rId366" Type="http://schemas.openxmlformats.org/officeDocument/2006/relationships/hyperlink" Target="http://www.sec.gov/Archives/edgar/data/4515/000119312517140927/d358913dex420.htm" TargetMode="External"/><Relationship Id="rId367" Type="http://schemas.openxmlformats.org/officeDocument/2006/relationships/hyperlink" Target="http://www.sec.gov/Archives/edgar/data/4515/000119312517140927/d358913dex421.htm" TargetMode="External"/><Relationship Id="rId368" Type="http://schemas.openxmlformats.org/officeDocument/2006/relationships/hyperlink" Target="http://www.sec.gov/Archives/edgar/data/4515/000119312517140927/d358913dex422.htm" TargetMode="External"/><Relationship Id="rId369" Type="http://schemas.openxmlformats.org/officeDocument/2006/relationships/hyperlink" Target="http://www.sec.gov/Archives/edgar/data/4515/000119312517140927/d358913dex423.htm" TargetMode="External"/><Relationship Id="rId370" Type="http://schemas.openxmlformats.org/officeDocument/2006/relationships/hyperlink" Target="http://www.sec.gov/Archives/edgar/data/4515/000119312517052055/d366751dex41.htm" TargetMode="External"/><Relationship Id="rId371" Type="http://schemas.openxmlformats.org/officeDocument/2006/relationships/hyperlink" Target="http://www.sec.gov/Archives/edgar/data/4515/000119312517052055/d366751dex42.htm" TargetMode="External"/><Relationship Id="rId372" Type="http://schemas.openxmlformats.org/officeDocument/2006/relationships/hyperlink" Target="http://www.sec.gov/Archives/edgar/data/4515/000119312517257245/d376721dex42.htm" TargetMode="External"/><Relationship Id="rId374" Type="http://schemas.openxmlformats.org/officeDocument/2006/relationships/hyperlink" Target="http://www.sec.gov/Archives/edgar/data/4515/000119312517257245/d376721dex43.htm" TargetMode="External"/><Relationship Id="rId375" Type="http://schemas.openxmlformats.org/officeDocument/2006/relationships/hyperlink" Target="http://www.sec.gov/Archives/edgar/data/4515/000119312517257245/d376721dex44.htm" TargetMode="External"/><Relationship Id="rId376" Type="http://schemas.openxmlformats.org/officeDocument/2006/relationships/hyperlink" Target="http://www.sec.gov/Archives/edgar/data/4515/000119312517257245/d376721dex49.htm" TargetMode="External"/><Relationship Id="rId377" Type="http://schemas.openxmlformats.org/officeDocument/2006/relationships/hyperlink" Target="http://www.sec.gov/Archives/edgar/data/4515/000119312517257245/d376721dex414.htm" TargetMode="External"/><Relationship Id="rId378" Type="http://schemas.openxmlformats.org/officeDocument/2006/relationships/hyperlink" Target="http://www.sec.gov/Archives/edgar/data/4515/000119312517257245/d376721dex415.htm" TargetMode="External"/><Relationship Id="rId379" Type="http://schemas.openxmlformats.org/officeDocument/2006/relationships/hyperlink" Target="http://www.sec.gov/Archives/edgar/data/4515/000119312517304687/d466899dex42.htm" TargetMode="External"/><Relationship Id="rId380" Type="http://schemas.openxmlformats.org/officeDocument/2006/relationships/hyperlink" Target="http://www.sec.gov/Archives/edgar/data/4515/000119312517304687/d466899dex44.htm" TargetMode="External"/><Relationship Id="rId381" Type="http://schemas.openxmlformats.org/officeDocument/2006/relationships/hyperlink" Target="http://www.sec.gov/Archives/edgar/data/4515/000119312517305920/d463889dex46.htm#toc463889_35" TargetMode="External"/><Relationship Id="rId383" Type="http://schemas.openxmlformats.org/officeDocument/2006/relationships/hyperlink" Target="http://www.sec.gov/Archives/edgar/data/4515/000119312517304687/d466899dex48.htm" TargetMode="External"/><Relationship Id="rId384" Type="http://schemas.openxmlformats.org/officeDocument/2006/relationships/hyperlink" Target="http://www.sec.gov/Archives/edgar/data/4515/000119312517305920/d463889dex42.htm" TargetMode="External"/><Relationship Id="rId385" Type="http://schemas.openxmlformats.org/officeDocument/2006/relationships/hyperlink" Target="http://www.sec.gov/Archives/edgar/data/4515/000119312517305920/d463889dex43.htm" TargetMode="External"/><Relationship Id="rId386" Type="http://schemas.openxmlformats.org/officeDocument/2006/relationships/hyperlink" Target="http://www.sec.gov/Archives/edgar/data/4515/000119312517305920/d463889dex46.htm" TargetMode="External"/><Relationship Id="rId387" Type="http://schemas.openxmlformats.org/officeDocument/2006/relationships/hyperlink" Target="http://www.sec.gov/Archives/edgar/data/4515/000119312517305920/d463889dex46.htm#ex4_6" TargetMode="External"/><Relationship Id="rId388" Type="http://schemas.openxmlformats.org/officeDocument/2006/relationships/hyperlink" Target="http://www.sec.gov/Archives/edgar/data/4515/000119312517305920/d463889dex46.htm#ex4_6b" TargetMode="External"/><Relationship Id="rId389" Type="http://schemas.openxmlformats.org/officeDocument/2006/relationships/hyperlink" Target="http://www.sec.gov/Archives/edgar/data/4515/000119312517305920/d463889dex46.htm#ex4_6a" TargetMode="External"/><Relationship Id="rId390" Type="http://schemas.openxmlformats.org/officeDocument/2006/relationships/hyperlink" Target="http://www.sec.gov/Archives/edgar/data/4515/000119312517305920/d463889dex42.htm#ex4_2toc463889_35" TargetMode="External"/><Relationship Id="rId391" Type="http://schemas.openxmlformats.org/officeDocument/2006/relationships/hyperlink" Target="http://www.sec.gov/Archives/edgar/data/4515/000119312517305920/d463889dex412.htm" TargetMode="External"/><Relationship Id="rId392" Type="http://schemas.openxmlformats.org/officeDocument/2006/relationships/hyperlink" Target="http://www.sec.gov/Archives/edgar/data/4515/000119312518165266/d589456dex42.htm" TargetMode="External"/><Relationship Id="rId393" Type="http://schemas.openxmlformats.org/officeDocument/2006/relationships/hyperlink" Target="http://www.sec.gov/Archives/edgar/data/4515/000119312518165266/d589456dex46.htm" TargetMode="External"/><Relationship Id="rId394" Type="http://schemas.openxmlformats.org/officeDocument/2006/relationships/hyperlink" Target="https://www.sec.gov/Archives/edgar/data/0000004515/000119312521328161/d229111dex42.htm" TargetMode="External"/><Relationship Id="rId396" Type="http://schemas.openxmlformats.org/officeDocument/2006/relationships/hyperlink" Target="https://www.sec.gov/Archives/edgar/data/0000004515/000119312521328161/d229111dex43.htm" TargetMode="External"/><Relationship Id="rId397" Type="http://schemas.openxmlformats.org/officeDocument/2006/relationships/hyperlink" Target="https://www.sec.gov/Archives/edgar/data/0000004515/000119312521328161/d229111dex414.htm" TargetMode="External"/><Relationship Id="rId398" Type="http://schemas.openxmlformats.org/officeDocument/2006/relationships/hyperlink" Target="https://www.sec.gov/Archives/edgar/data/0000004515/000119312521328161/d229111dex415.htm" TargetMode="External"/><Relationship Id="rId399" Type="http://schemas.openxmlformats.org/officeDocument/2006/relationships/hyperlink" Target="https://www.sec.gov/Archives/edgar/data/6201/000119312521364315/d244625dex41.htm" TargetMode="External"/><Relationship Id="rId400" Type="http://schemas.openxmlformats.org/officeDocument/2006/relationships/hyperlink" Target="http://www.sec.gov/Archives/edgar/data/4515/000119312519222562/d774498dex42.htm" TargetMode="External"/><Relationship Id="rId401" Type="http://schemas.openxmlformats.org/officeDocument/2006/relationships/hyperlink" Target="http://www.sec.gov/Archives/edgar/data/4515/000119312519222562/d774498dex43.htm" TargetMode="External"/><Relationship Id="rId402" Type="http://schemas.openxmlformats.org/officeDocument/2006/relationships/hyperlink" Target="http://www.sec.gov/Archives/edgar/data/4515/000119312519222562/d774498dex44.htm" TargetMode="External"/><Relationship Id="rId403" Type="http://schemas.openxmlformats.org/officeDocument/2006/relationships/hyperlink" Target="http://www.sec.gov/Archives/edgar/data/4515/000119312519222562/d774498dex45.htm" TargetMode="External"/><Relationship Id="rId404" Type="http://schemas.openxmlformats.org/officeDocument/2006/relationships/hyperlink" Target="http://www.sec.gov/Archives/edgar/data/4515/000119312519222562/d774498dex412.htm" TargetMode="External"/><Relationship Id="rId406" Type="http://schemas.openxmlformats.org/officeDocument/2006/relationships/hyperlink" Target="http://www.sec.gov/Archives/edgar/data/4515/000119312519222562/d774498dex418.htm" TargetMode="External"/><Relationship Id="rId407" Type="http://schemas.openxmlformats.org/officeDocument/2006/relationships/hyperlink" Target="http://www.sec.gov/Archives/edgar/data/4515/000119312519222562/d774498dex419.htm" TargetMode="External"/><Relationship Id="rId408" Type="http://schemas.openxmlformats.org/officeDocument/2006/relationships/hyperlink" Target="https://www.sec.gov/Archives/edgar/data/0000004515/000119312521328161/d229111dex44.htm" TargetMode="External"/><Relationship Id="rId409" Type="http://schemas.openxmlformats.org/officeDocument/2006/relationships/hyperlink" Target="https://www.sec.gov/Archives/edgar/data/0000004515/000119312521328161/d229111dex49.htm" TargetMode="External"/><Relationship Id="rId410" Type="http://schemas.openxmlformats.org/officeDocument/2006/relationships/hyperlink" Target="http://www.sec.gov/Archives/edgar/data/4515/000119312519222562/d774498dex420.htm" TargetMode="External"/><Relationship Id="rId411" Type="http://schemas.openxmlformats.org/officeDocument/2006/relationships/hyperlink" Target="https://www.sec.gov/Archives/edgar/data/4515/000119312519152852/d728811dex41.htm" TargetMode="External"/><Relationship Id="rId412" Type="http://schemas.openxmlformats.org/officeDocument/2006/relationships/hyperlink" Target="https://www.sec.gov/Archives/edgar/data/4515/000119312520050082/d894981dex41.htm" TargetMode="External"/><Relationship Id="rId414" Type="http://schemas.openxmlformats.org/officeDocument/2006/relationships/hyperlink" Target="https://www.sec.gov/Archives/edgar/data/4515/000119312520179004/d948088dex41.htm" TargetMode="External"/><Relationship Id="rId415" Type="http://schemas.openxmlformats.org/officeDocument/2006/relationships/hyperlink" Target="https://www.sec.gov/Archives/edgar/data/4515/000119312520179004/d948088dex42.htm" TargetMode="External"/><Relationship Id="rId416" Type="http://schemas.openxmlformats.org/officeDocument/2006/relationships/hyperlink" Target="https://www.sec.gov/Archives/edgar/data/4515/000119312520185457/d32513dex41.htm" TargetMode="External"/><Relationship Id="rId417" Type="http://schemas.openxmlformats.org/officeDocument/2006/relationships/hyperlink" Target="https://www.sec.gov/Archives/edgar/data/4515/000000620120000101/ex41q32010-q.htm" TargetMode="External"/><Relationship Id="rId418" Type="http://schemas.openxmlformats.org/officeDocument/2006/relationships/hyperlink" Target="https://www.sec.gov/Archives/edgar/data/4515/000000620120000101/ex43q32010-q.htm" TargetMode="External"/><Relationship Id="rId419" Type="http://schemas.openxmlformats.org/officeDocument/2006/relationships/hyperlink" Target="https://www.sec.gov/Archives/edgar/data/4515/000000620120000066/ex43q12010q.htm" TargetMode="External"/><Relationship Id="rId420" Type="http://schemas.openxmlformats.org/officeDocument/2006/relationships/hyperlink" Target="https://www.sec.gov/Archives/edgar/data/4515/000000620120000101/ex45q32010-q.htm" TargetMode="External"/><Relationship Id="rId421" Type="http://schemas.openxmlformats.org/officeDocument/2006/relationships/hyperlink" Target="https://www.sec.gov/Archives/edgar/data/4515/000000620121000014/exhibit4182q42010-k.htm" TargetMode="External"/><Relationship Id="rId422" Type="http://schemas.openxmlformats.org/officeDocument/2006/relationships/hyperlink" Target="https://www.sec.gov/Archives/edgar/data/4515/000000620121000080/ex41q221aapsp3-warrantagre.htm" TargetMode="External"/><Relationship Id="rId423" Type="http://schemas.openxmlformats.org/officeDocument/2006/relationships/hyperlink" Target="https://www.sec.gov/Archives/edgar/data/4515/000000620121000054/ex43q121aadvantagexindentu.htm" TargetMode="External"/><Relationship Id="rId424" Type="http://schemas.openxmlformats.org/officeDocument/2006/relationships/hyperlink" Target="https://www.sec.gov/Archives/edgar/data/4515/000000620120000066/ex105q12010q.htm" TargetMode="External"/><Relationship Id="rId426" Type="http://schemas.openxmlformats.org/officeDocument/2006/relationships/hyperlink" Target="https://www.sec.gov/Archives/edgar/data/4515/000000620120000066/ex106q12010q.htm" TargetMode="External"/><Relationship Id="rId427" Type="http://schemas.openxmlformats.org/officeDocument/2006/relationships/hyperlink" Target="https://www.sec.gov/Archives/edgar/data/4515/000000620121000014/exhibit103q42010-k.htm" TargetMode="External"/><Relationship Id="rId428" Type="http://schemas.openxmlformats.org/officeDocument/2006/relationships/hyperlink" Target="https://www.sec.gov/Archives/edgar/data/4515/000000620121000014/exhibit104q42010-k.htm" TargetMode="External"/><Relationship Id="rId429" Type="http://schemas.openxmlformats.org/officeDocument/2006/relationships/hyperlink" Target="https://www.sec.gov/Archives/edgar/data/6201/000000620122000071/ex103q222ust-aaxagreementa.htm" TargetMode="External"/><Relationship Id="rId430" Type="http://schemas.openxmlformats.org/officeDocument/2006/relationships/hyperlink" Target="https://www.sec.gov/Archives/edgar/data/4515/000000620120000101/ex101q32010-q.htm" TargetMode="External"/><Relationship Id="rId431" Type="http://schemas.openxmlformats.org/officeDocument/2006/relationships/hyperlink" Target="https://www.sec.gov/Archives/edgar/data/4515/000000620121000014/exhibit106q42010-k.htm" TargetMode="External"/><Relationship Id="rId432" Type="http://schemas.openxmlformats.org/officeDocument/2006/relationships/hyperlink" Target="https://www.sec.gov/Archives/edgar/data/4515/000000620121000014/exhibit107q42010-k.htm" TargetMode="External"/><Relationship Id="rId433" Type="http://schemas.openxmlformats.org/officeDocument/2006/relationships/hyperlink" Target="http://www.sec.gov/Archives/edgar/data/4515/000119312517051216/d286458dex101.htm" TargetMode="External"/><Relationship Id="rId434" Type="http://schemas.openxmlformats.org/officeDocument/2006/relationships/hyperlink" Target="http://www.sec.gov/Archives/edgar/data/4515/000000620118000009/ex10210k2017.htm" TargetMode="External"/><Relationship Id="rId435" Type="http://schemas.openxmlformats.org/officeDocument/2006/relationships/hyperlink" Target="http://www.sec.gov/Archives/edgar/data/4515/000119312515261937/d945812dex104.htm" TargetMode="External"/><Relationship Id="rId436" Type="http://schemas.openxmlformats.org/officeDocument/2006/relationships/hyperlink" Target="http://www.sec.gov/Archives/edgar/data/4515/000119312516474605/d78287dex106.htm" TargetMode="External"/><Relationship Id="rId438" Type="http://schemas.openxmlformats.org/officeDocument/2006/relationships/hyperlink" Target="http://www.sec.gov/Archives/edgar/data/4515/000119312516742263/d247546dex101.htm" TargetMode="External"/><Relationship Id="rId439" Type="http://schemas.openxmlformats.org/officeDocument/2006/relationships/hyperlink" Target="https://www.sec.gov/Archives/edgar/data/4515/000000620121000054/ex108q121boeing787accommod.htm" TargetMode="External"/><Relationship Id="rId440" Type="http://schemas.openxmlformats.org/officeDocument/2006/relationships/hyperlink" Target="https://www.sec.gov/Archives/edgar/data/4515/000000620121000054/ex109q121amendment1accomod.htm" TargetMode="External"/><Relationship Id="rId441" Type="http://schemas.openxmlformats.org/officeDocument/2006/relationships/hyperlink" Target="https://www.sec.gov/Archives/edgar/data/4515/000000620121000080/ex103q221amendment2lettera.htm" TargetMode="External"/><Relationship Id="rId442" Type="http://schemas.openxmlformats.org/officeDocument/2006/relationships/hyperlink" Target="https://www.sec.gov/Archives/edgar/data/4515/000000620121000098/ex101q321amendmentno3.htm" TargetMode="External"/><Relationship Id="rId443" Type="http://schemas.openxmlformats.org/officeDocument/2006/relationships/hyperlink" Target="https://www.sec.gov/Archives/edgar/data/4515/000000620121000054/ex10121boeingschedulerevis.htm" TargetMode="External"/><Relationship Id="rId444" Type="http://schemas.openxmlformats.org/officeDocument/2006/relationships/hyperlink" Target="https://www.sec.gov/Archives/edgar/data/4515/000000620121000080/ex104q221supplementalagree.htm" TargetMode="External"/><Relationship Id="rId445" Type="http://schemas.openxmlformats.org/officeDocument/2006/relationships/hyperlink" Target="https://www.sec.gov/Archives/edgar/data/6201/000000620122000026/exhibit1019q42110-k.htm" TargetMode="External"/><Relationship Id="rId446" Type="http://schemas.openxmlformats.org/officeDocument/2006/relationships/hyperlink" Target="https://www.sec.gov/Archives/edgar/data/6201/000000620122000046/ex101q122supplementalagree.htm" TargetMode="External"/><Relationship Id="rId447" Type="http://schemas.openxmlformats.org/officeDocument/2006/relationships/hyperlink" Target="http://www.sec.gov/Archives/edgar/data/4515/000119312517239325/d416225dex102.htm" TargetMode="External"/><Relationship Id="rId448" Type="http://schemas.openxmlformats.org/officeDocument/2006/relationships/hyperlink" Target="https://www.sec.gov/Archives/edgar/data/4515/000000620118000016/ex10110qq118.htm" TargetMode="External"/><Relationship Id="rId449" Type="http://schemas.openxmlformats.org/officeDocument/2006/relationships/hyperlink" Target="https://www.sec.gov/Archives/edgar/data/4515/000000620118000039/ex10110qq318.htm" TargetMode="External"/><Relationship Id="rId450" Type="http://schemas.openxmlformats.org/officeDocument/2006/relationships/hyperlink" Target="https://www.sec.gov/Archives/edgar/data/4515/000000620119000009/ex10910k2018.htm" TargetMode="External"/><Relationship Id="rId452" Type="http://schemas.openxmlformats.org/officeDocument/2006/relationships/hyperlink" Target="https://www.sec.gov/Archives/edgar/data/4515/000000620120000023/ex101010k2019.htm" TargetMode="External"/><Relationship Id="rId453" Type="http://schemas.openxmlformats.org/officeDocument/2006/relationships/hyperlink" Target="http://www.sec.gov/Archives/edgar/data/4515/000119312515261937/d945812dex105.htm" TargetMode="External"/><Relationship Id="rId454" Type="http://schemas.openxmlformats.org/officeDocument/2006/relationships/hyperlink" Target="http://www.sec.gov/Archives/edgar/data/4515/000119312516474605/d78287dex108.htm" TargetMode="External"/><Relationship Id="rId455" Type="http://schemas.openxmlformats.org/officeDocument/2006/relationships/hyperlink" Target="http://www.sec.gov/Archives/edgar/data/4515/000119312517140927/d358913dex102.htm" TargetMode="External"/><Relationship Id="rId456" Type="http://schemas.openxmlformats.org/officeDocument/2006/relationships/hyperlink" Target="http://www.sec.gov/Archives/edgar/data/4515/000000620118000009/ex101110k2017.htm" TargetMode="External"/><Relationship Id="rId457" Type="http://schemas.openxmlformats.org/officeDocument/2006/relationships/hyperlink" Target="http://www.sec.gov/Archives/edgar/data/4515/000000620118000027/ex10310qq218.htm" TargetMode="External"/><Relationship Id="rId458" Type="http://schemas.openxmlformats.org/officeDocument/2006/relationships/hyperlink" Target="https://www.sec.gov/Archives/edgar/data/4515/000000620119000009/ex101510k2018.htm" TargetMode="External"/><Relationship Id="rId459" Type="http://schemas.openxmlformats.org/officeDocument/2006/relationships/hyperlink" Target="https://www.sec.gov/Archives/edgar/data/4515/000000620120000023/ex101710k2019.htm" TargetMode="External"/><Relationship Id="rId460" Type="http://schemas.openxmlformats.org/officeDocument/2006/relationships/hyperlink" Target="http://www.sec.gov/Archives/edgar/data/4515/000119312516654354/d204187dex102.htm" TargetMode="External"/><Relationship Id="rId461" Type="http://schemas.openxmlformats.org/officeDocument/2006/relationships/hyperlink" Target="http://www.sec.gov/Archives/edgar/data/4515/000119312517051216/d286458dex1081.htm" TargetMode="External"/><Relationship Id="rId463" Type="http://schemas.openxmlformats.org/officeDocument/2006/relationships/hyperlink" Target="http://www.sec.gov/Archives/edgar/data/4515/000000620118000009/ex101510k2017.htm" TargetMode="External"/><Relationship Id="rId464" Type="http://schemas.openxmlformats.org/officeDocument/2006/relationships/hyperlink" Target="http://www.sec.gov/Archives/edgar/data/4515/000000620118000009/ex101610k2017.htm" TargetMode="External"/><Relationship Id="rId465" Type="http://schemas.openxmlformats.org/officeDocument/2006/relationships/hyperlink" Target="http://www.sec.gov/Archives/edgar/data/4515/000000620119000009/ex102010k2018.htm" TargetMode="External"/><Relationship Id="rId466" Type="http://schemas.openxmlformats.org/officeDocument/2006/relationships/hyperlink" Target="https://www.sec.gov/Archives/edgar/data/4515/000000620120000023/ex102310k2019.htm" TargetMode="External"/><Relationship Id="rId467" Type="http://schemas.openxmlformats.org/officeDocument/2006/relationships/hyperlink" Target="https://www.sec.gov/Archives/edgar/data/6201/000000620122000026/ex1038purchaseagreementno3.htm" TargetMode="External"/><Relationship Id="rId468" Type="http://schemas.openxmlformats.org/officeDocument/2006/relationships/hyperlink" Target="https://www.sec.gov/Archives/edgar/data/6201/000000620122000026/ex1039supplementalagreemen.htm" TargetMode="External"/><Relationship Id="rId469" Type="http://schemas.openxmlformats.org/officeDocument/2006/relationships/hyperlink" Target="https://www.sec.gov/Archives/edgar/data/6201/000000620122000026/ex1040supplementalagreemen.htm" TargetMode="External"/><Relationship Id="rId470" Type="http://schemas.openxmlformats.org/officeDocument/2006/relationships/hyperlink" Target="https://www.sec.gov/Archives/edgar/data/6201/000000620122000026/ex1041supplementalagreemen.htm" TargetMode="External"/><Relationship Id="rId471" Type="http://schemas.openxmlformats.org/officeDocument/2006/relationships/hyperlink" Target="https://www.sec.gov/Archives/edgar/data/6201/000000620122000026/ex1042supplementalagreemen.htm" TargetMode="External"/><Relationship Id="rId472" Type="http://schemas.openxmlformats.org/officeDocument/2006/relationships/hyperlink" Target="https://www.sec.gov/Archives/edgar/data/6201/000000620122000026/ex1043supplementalagreemen.htm" TargetMode="External"/><Relationship Id="rId473" Type="http://schemas.openxmlformats.org/officeDocument/2006/relationships/hyperlink" Target="https://www.sec.gov/Archives/edgar/data/6201/000000620122000026/ex1044supplementalagreemen.htm" TargetMode="External"/><Relationship Id="rId474" Type="http://schemas.openxmlformats.org/officeDocument/2006/relationships/hyperlink" Target="https://www.sec.gov/Archives/edgar/data/6201/000000620122000026/ex1045supplementalagreemen.htm" TargetMode="External"/><Relationship Id="rId475" Type="http://schemas.openxmlformats.org/officeDocument/2006/relationships/hyperlink" Target="https://www.sec.gov/Archives/edgar/data/6201/000000620122000026/ex1046supplementalagreemen.htm" TargetMode="External"/><Relationship Id="rId477" Type="http://schemas.openxmlformats.org/officeDocument/2006/relationships/hyperlink" Target="https://www.sec.gov/Archives/edgar/data/6201/000000620122000026/ex1047supplementalagreemen.htm" TargetMode="External"/><Relationship Id="rId478" Type="http://schemas.openxmlformats.org/officeDocument/2006/relationships/hyperlink" Target="http://www.sec.gov/Archives/edgar/data/4515/000000620118000027/ex10110qq218.htm" TargetMode="External"/><Relationship Id="rId479" Type="http://schemas.openxmlformats.org/officeDocument/2006/relationships/hyperlink" Target="http://www.sec.gov/Archives/edgar/data/4515/000000620119000053/ex101q21910q.htm" TargetMode="External"/><Relationship Id="rId480" Type="http://schemas.openxmlformats.org/officeDocument/2006/relationships/hyperlink" Target="http://www.sec.gov/Archives/edgar/data/4515/000000620119000067/ex101q31910q.htm" TargetMode="External"/><Relationship Id="rId481" Type="http://schemas.openxmlformats.org/officeDocument/2006/relationships/hyperlink" Target="https://www.sec.gov/Archives/edgar/data/4515/000000620120000066/ex101q12010q.htm" TargetMode="External"/><Relationship Id="rId482" Type="http://schemas.openxmlformats.org/officeDocument/2006/relationships/hyperlink" Target="https://www.sec.gov/Archives/edgar/data/4515/000000620121000014/a1046a320agreement.htm" TargetMode="External"/><Relationship Id="rId483" Type="http://schemas.openxmlformats.org/officeDocument/2006/relationships/hyperlink" Target="https://www.sec.gov/Archives/edgar/data/4515/000000620121000014/a1047amendmentno1tothea320.htm" TargetMode="External"/><Relationship Id="rId484" Type="http://schemas.openxmlformats.org/officeDocument/2006/relationships/hyperlink" Target="https://www.sec.gov/Archives/edgar/data/4515/000000620121000014/a1048amendmentno2tothea320.htm" TargetMode="External"/><Relationship Id="rId485" Type="http://schemas.openxmlformats.org/officeDocument/2006/relationships/hyperlink" Target="https://www.sec.gov/Archives/edgar/data/4515/000000620121000014/a1049amendmentno3tothea320.htm" TargetMode="External"/><Relationship Id="rId486" Type="http://schemas.openxmlformats.org/officeDocument/2006/relationships/hyperlink" Target="https://www.sec.gov/Archives/edgar/data/4515/000000620121000014/a1050amendmentno4tothea320.htm" TargetMode="External"/><Relationship Id="rId487" Type="http://schemas.openxmlformats.org/officeDocument/2006/relationships/hyperlink" Target="https://www.sec.gov/Archives/edgar/data/4515/000000620121000014/a1051amendmentno5tothea320.htm" TargetMode="External"/><Relationship Id="rId488" Type="http://schemas.openxmlformats.org/officeDocument/2006/relationships/hyperlink" Target="https://www.sec.gov/Archives/edgar/data/4515/000000620121000014/a1052amendmentno6tothea320.htm" TargetMode="External"/><Relationship Id="rId489" Type="http://schemas.openxmlformats.org/officeDocument/2006/relationships/hyperlink" Target="https://www.sec.gov/Archives/edgar/data/4515/000000620121000014/a1053amendmentno7tothea320.htm" TargetMode="External"/><Relationship Id="rId491" Type="http://schemas.openxmlformats.org/officeDocument/2006/relationships/hyperlink" Target="https://www.sec.gov/Archives/edgar/data/4515/000000620121000014/a1054amendmentno8tothea320.htm" TargetMode="External"/><Relationship Id="rId492" Type="http://schemas.openxmlformats.org/officeDocument/2006/relationships/hyperlink" Target="https://www.sec.gov/Archives/edgar/data/4515/000000620121000014/a1055amendmentno9tothea320.htm" TargetMode="External"/><Relationship Id="rId493" Type="http://schemas.openxmlformats.org/officeDocument/2006/relationships/hyperlink" Target="https://www.sec.gov/Archives/edgar/data/4515/000000620121000014/a1056amendmentno10tothea32.htm" TargetMode="External"/><Relationship Id="rId494" Type="http://schemas.openxmlformats.org/officeDocument/2006/relationships/hyperlink" Target="http://www.sec.gov/Archives/edgar/data/4515/000000620119000053/ex102q21910q.htm" TargetMode="External"/><Relationship Id="rId495" Type="http://schemas.openxmlformats.org/officeDocument/2006/relationships/hyperlink" Target="https://www.sec.gov/Archives/edgar/data/4515/000000620120000089/ex103q22010q.htm" TargetMode="External"/><Relationship Id="rId496" Type="http://schemas.openxmlformats.org/officeDocument/2006/relationships/hyperlink" Target="https://www.sec.gov/Archives/edgar/data/4515/000000620120000101/ex102q32010-q.htm" TargetMode="External"/><Relationship Id="rId497" Type="http://schemas.openxmlformats.org/officeDocument/2006/relationships/hyperlink" Target="https://www.sec.gov/Archives/edgar/data/4515/000000620121000098/ex102q321amendmentno15.htm" TargetMode="External"/><Relationship Id="rId498" Type="http://schemas.openxmlformats.org/officeDocument/2006/relationships/hyperlink" Target="https://www.sec.gov/Archives/edgar/data/4515/000000620121000014/exhibit1060q42010-k.htm" TargetMode="External"/><Relationship Id="rId499" Type="http://schemas.openxmlformats.org/officeDocument/2006/relationships/hyperlink" Target="https://www.sec.gov/Archives/edgar/data/6201/000000620122000026/ex1069purchaseagreementno0.htm" TargetMode="External"/><Relationship Id="rId500" Type="http://schemas.openxmlformats.org/officeDocument/2006/relationships/hyperlink" Target="https://www.sec.gov/Archives/edgar/data/6201/000000620122000026/ex1070supplementalagreemen.htm" TargetMode="External"/><Relationship Id="rId501" Type="http://schemas.openxmlformats.org/officeDocument/2006/relationships/hyperlink" Target="https://www.sec.gov/Archives/edgar/data/6201/000000620122000026/ex1071supplementalagreemen.htm" TargetMode="External"/><Relationship Id="rId502" Type="http://schemas.openxmlformats.org/officeDocument/2006/relationships/hyperlink" Target="https://www.sec.gov/Archives/edgar/data/6201/000000620122000026/ex1072supplementalagreemen.htm" TargetMode="External"/><Relationship Id="rId503" Type="http://schemas.openxmlformats.org/officeDocument/2006/relationships/hyperlink" Target="https://www.sec.gov/Archives/edgar/data/6201/000000620122000026/ex1073letteragreementtomax.htm" TargetMode="External"/><Relationship Id="rId504" Type="http://schemas.openxmlformats.org/officeDocument/2006/relationships/hyperlink" Target="https://www.sec.gov/Archives/edgar/data/6201/000000620122000026/ex1074supplementalagreemen.htm" TargetMode="External"/><Relationship Id="rId505" Type="http://schemas.openxmlformats.org/officeDocument/2006/relationships/hyperlink" Target="https://www.sec.gov/Archives/edgar/data/6201/000000620122000026/ex1075supplementalagreemen.htm" TargetMode="External"/><Relationship Id="rId507" Type="http://schemas.openxmlformats.org/officeDocument/2006/relationships/hyperlink" Target="https://www.sec.gov/Archives/edgar/data/6201/000000620122000026/ex1076supplementalagreemen.htm" TargetMode="External"/><Relationship Id="rId508" Type="http://schemas.openxmlformats.org/officeDocument/2006/relationships/hyperlink" Target="https://www.sec.gov/Archives/edgar/data/6201/000000620122000026/ex1077supplementalagreemen.htm" TargetMode="External"/><Relationship Id="rId509" Type="http://schemas.openxmlformats.org/officeDocument/2006/relationships/hyperlink" Target="http://www.sec.gov/Archives/edgar/data/4515/000000620118000009/ex104510k2017.htm" TargetMode="External"/><Relationship Id="rId510" Type="http://schemas.openxmlformats.org/officeDocument/2006/relationships/hyperlink" Target="http://www.sec.gov/Archives/edgar/data/4515/000000620118000027/ex10210qq218.htm" TargetMode="External"/><Relationship Id="rId511" Type="http://schemas.openxmlformats.org/officeDocument/2006/relationships/hyperlink" Target="http://www.sec.gov/Archives/edgar/data/4515/000000620119000023/ex10110q2019.htm" TargetMode="External"/><Relationship Id="rId512" Type="http://schemas.openxmlformats.org/officeDocument/2006/relationships/hyperlink" Target="https://www.sec.gov/Archives/edgar/data/4515/000000620120000101/ex103q32010-q.htm" TargetMode="External"/><Relationship Id="rId513" Type="http://schemas.openxmlformats.org/officeDocument/2006/relationships/hyperlink" Target="https://www.sec.gov/Archives/edgar/data/4515/000000620121000014/exhibit1074q42010-k.htm" TargetMode="External"/><Relationship Id="rId514" Type="http://schemas.openxmlformats.org/officeDocument/2006/relationships/hyperlink" Target="https://www.sec.gov/Archives/edgar/data/4515/000000620121000014/exhibit1075q42010-k.htm" TargetMode="External"/><Relationship Id="rId515" Type="http://schemas.openxmlformats.org/officeDocument/2006/relationships/hyperlink" Target="https://www.sec.gov/Archives/edgar/data/4515/000000620121000014/exhibit1076q42010-k.htm" TargetMode="External"/><Relationship Id="rId516" Type="http://schemas.openxmlformats.org/officeDocument/2006/relationships/hyperlink" Target="https://www.sec.gov/Archives/edgar/data/4515/000000620121000014/exhibit1077q42010-k.htm" TargetMode="External"/><Relationship Id="rId517" Type="http://schemas.openxmlformats.org/officeDocument/2006/relationships/hyperlink" Target="https://www.sec.gov/Archives/edgar/data/4515/000000620121000014/exhibit1078q42010-k.htm" TargetMode="External"/><Relationship Id="rId518" Type="http://schemas.openxmlformats.org/officeDocument/2006/relationships/hyperlink" Target="https://www.sec.gov/Archives/edgar/data/4515/000000620121000014/exhibit1079q42010-k.htm" TargetMode="External"/><Relationship Id="rId519" Type="http://schemas.openxmlformats.org/officeDocument/2006/relationships/hyperlink" Target="https://www.sec.gov/Archives/edgar/data/4515/000000620121000054/ex105q121compiledredacteds.htm" TargetMode="External"/><Relationship Id="rId520" Type="http://schemas.openxmlformats.org/officeDocument/2006/relationships/hyperlink" Target="https://www.sec.gov/Archives/edgar/data/4515/000000620121000054/ex106q121compiledredacteds.htm" TargetMode="External"/><Relationship Id="rId522" Type="http://schemas.openxmlformats.org/officeDocument/2006/relationships/hyperlink" Target="https://www.sec.gov/Archives/edgar/data/4515/000000620121000054/ex107q121compiledredacteds.htm" TargetMode="External"/><Relationship Id="rId523" Type="http://schemas.openxmlformats.org/officeDocument/2006/relationships/hyperlink" Target="https://www.sec.gov/Archives/edgar/data/4515/000000620121000080/ex105q221supplementalagree.htm" TargetMode="External"/><Relationship Id="rId524" Type="http://schemas.openxmlformats.org/officeDocument/2006/relationships/hyperlink" Target="https://www.sec.gov/Archives/edgar/data/6201/000000620122000026/exhibit1092q42110-k.htm" TargetMode="External"/><Relationship Id="rId525" Type="http://schemas.openxmlformats.org/officeDocument/2006/relationships/hyperlink" Target="https://www.sec.gov/Archives/edgar/data/6201/000000620122000046/ex102q122supplementalagree.htm" TargetMode="External"/><Relationship Id="rId526" Type="http://schemas.openxmlformats.org/officeDocument/2006/relationships/hyperlink" Target="https://www.sec.gov/Archives/edgar/data/6201/000000620122000046/ex103q122supplementalagree.htm" TargetMode="External"/><Relationship Id="rId527" Type="http://schemas.openxmlformats.org/officeDocument/2006/relationships/hyperlink" Target="https://www.sec.gov/Archives/edgar/data/6201/000000620122000071/ex101q222supplementalagree.htm" TargetMode="External"/><Relationship Id="rId528" Type="http://schemas.openxmlformats.org/officeDocument/2006/relationships/hyperlink" Target="https://www.sec.gov/Archives/edgar/data/6201/000000620122000071/ex102q222supplementalagree.htm" TargetMode="External"/><Relationship Id="rId529" Type="http://schemas.openxmlformats.org/officeDocument/2006/relationships/hyperlink" Target="https://www.sec.gov/Archives/edgar/data/6201/000000620122000086/ex101q322supplementalagree.htm" TargetMode="External"/><Relationship Id="rId530" Type="http://schemas.openxmlformats.org/officeDocument/2006/relationships/hyperlink" Target="https://www.sec.gov/Archives/edgar/data/6201/000000620122000086/ex102q322supplementalagree.htm" TargetMode="External"/><Relationship Id="rId531" Type="http://schemas.openxmlformats.org/officeDocument/2006/relationships/hyperlink" Target="https://www.sec.gov/Archives/edgar/data/6201/000000620122000026/ex1095consentagreement.htm" TargetMode="External"/><Relationship Id="rId532" Type="http://schemas.openxmlformats.org/officeDocument/2006/relationships/hyperlink" Target="http://www.sec.gov/Archives/edgar/data/6201/000000620109000009/ex10127.htm" TargetMode="External"/><Relationship Id="rId533" Type="http://schemas.openxmlformats.org/officeDocument/2006/relationships/hyperlink" Target="http://www.sec.gov/Archives/edgar/data/6201/000000620109000009/ex10128.htm" TargetMode="External"/><Relationship Id="rId534" Type="http://schemas.openxmlformats.org/officeDocument/2006/relationships/hyperlink" Target="http://www.sec.gov/Archives/edgar/data/6201/000000620109000009/ex10129.htm" TargetMode="External"/><Relationship Id="rId535" Type="http://schemas.openxmlformats.org/officeDocument/2006/relationships/hyperlink" Target="http://www.sec.gov/Archives/edgar/data/6201/000119312513462268/d639480dex41.htm" TargetMode="External"/><Relationship Id="rId537" Type="http://schemas.openxmlformats.org/officeDocument/2006/relationships/hyperlink" Target="http://www.sec.gov/Archives/edgar/data/4515/000000620118000009/ex106410k2017.htm" TargetMode="External"/><Relationship Id="rId538" Type="http://schemas.openxmlformats.org/officeDocument/2006/relationships/hyperlink" Target="http://www.sec.gov/Archives/edgar/data/4515/000000620114000004/d682697dex10125.htm" TargetMode="External"/><Relationship Id="rId539" Type="http://schemas.openxmlformats.org/officeDocument/2006/relationships/hyperlink" Target="http://www.sec.gov/Archives/edgar/data/4515/000000620114000004/d682697dex10127.htm" TargetMode="External"/><Relationship Id="rId540" Type="http://schemas.openxmlformats.org/officeDocument/2006/relationships/hyperlink" Target="http://www.sec.gov/Archives/edgar/data/4515/000000620114000004/d682697dex10129.htm" TargetMode="External"/><Relationship Id="rId541" Type="http://schemas.openxmlformats.org/officeDocument/2006/relationships/hyperlink" Target="http://www.sec.gov/Archives/edgar/data/4515/000119312513466973/d640718dex109.htm" TargetMode="External"/><Relationship Id="rId542" Type="http://schemas.openxmlformats.org/officeDocument/2006/relationships/hyperlink" Target="http://www.sec.gov/Archives/edgar/data/701345/000095012311063744/p18922exv4w1.htm" TargetMode="External"/><Relationship Id="rId543" Type="http://schemas.openxmlformats.org/officeDocument/2006/relationships/hyperlink" Target="http://www.sec.gov/Archives/edgar/data/4515/000000620114000014/d759439dex108.htm" TargetMode="External"/><Relationship Id="rId544" Type="http://schemas.openxmlformats.org/officeDocument/2006/relationships/hyperlink" Target="http://www.sec.gov/Archives/edgar/data/701345/000095015308000353/p75006exv10w106.htm" TargetMode="External"/><Relationship Id="rId545" Type="http://schemas.openxmlformats.org/officeDocument/2006/relationships/hyperlink" Target="http://www.sec.gov/Archives/edgar/data/701345/000095015307002500/p74691exv10w1.htm" TargetMode="External"/><Relationship Id="rId546" Type="http://schemas.openxmlformats.org/officeDocument/2006/relationships/hyperlink" Target="http://www.sec.gov/Archives/edgar/data/4515/000119312517150428/d369665dex101.htm" TargetMode="External"/><Relationship Id="rId547" Type="http://schemas.openxmlformats.org/officeDocument/2006/relationships/hyperlink" Target="http://www.sec.gov/Archives/edgar/data/4515/000119312516566426/d189148dex101.htm" TargetMode="External"/><Relationship Id="rId548" Type="http://schemas.openxmlformats.org/officeDocument/2006/relationships/hyperlink" Target="https://www.sec.gov/Archives/edgar/data/4515/000000620121000080/ex101aapsp3-psp3agreement.htm" TargetMode="External"/><Relationship Id="rId549" Type="http://schemas.openxmlformats.org/officeDocument/2006/relationships/hyperlink" Target="https://www.sec.gov/Archives/edgar/data/4515/000000620121000080/ex102aapsp3-promissorynote.htm" TargetMode="External"/><Relationship Id="rId550" Type="http://schemas.openxmlformats.org/officeDocument/2006/relationships/hyperlink" Target="https://www.sec.gov/Archives/edgar/data/4515/000000620121000054/ex104q121aadvantagexcredit.htm" TargetMode="External"/><Relationship Id="rId551" Type="http://schemas.openxmlformats.org/officeDocument/2006/relationships/hyperlink" Target="http://www.sec.gov/Archives/edgar/data/4515/000119312513466973/d640718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2023-02-22T07:14:26Z</dcterms:created>
  <dcterms:modified xsi:type="dcterms:W3CDTF">2023-02-22T07:14:26Z</dcterms:modified>
</cp:coreProperties>
</file>