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3, 2022</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6"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180" w:type="dxa"/>
            <w:vAlign w:val="bottom"/>
          </w:tcPr>
          <w:p>
            <w:pPr>
              <w:spacing w:after="0"/>
              <w:rPr>
                <w:sz w:val="19"/>
                <w:szCs w:val="19"/>
                <w:color w:val="auto"/>
              </w:rPr>
            </w:pPr>
          </w:p>
        </w:tc>
        <w:tc>
          <w:tcPr>
            <w:tcW w:w="286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rPr>
              <w:t>Delaware</w:t>
            </w:r>
          </w:p>
        </w:tc>
        <w:tc>
          <w:tcPr>
            <w:tcW w:w="2500" w:type="dxa"/>
            <w:vAlign w:val="bottom"/>
          </w:tcPr>
          <w:p>
            <w:pPr>
              <w:jc w:val="center"/>
              <w:ind w:left="776"/>
              <w:spacing w:after="0"/>
              <w:rPr>
                <w:sz w:val="20"/>
                <w:szCs w:val="20"/>
                <w:color w:val="auto"/>
              </w:rPr>
            </w:pPr>
            <w:r>
              <w:rPr>
                <w:rFonts w:ascii="Arial" w:cs="Arial" w:eastAsia="Arial" w:hAnsi="Arial"/>
                <w:sz w:val="18"/>
                <w:szCs w:val="18"/>
                <w:b w:val="1"/>
                <w:bCs w:val="1"/>
                <w:color w:val="auto"/>
                <w:w w:val="99"/>
              </w:rPr>
              <w:t>1-8400</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Pr>
          <w:p>
            <w:pPr>
              <w:jc w:val="center"/>
              <w:ind w:left="1096"/>
              <w:spacing w:after="0"/>
              <w:rPr>
                <w:sz w:val="20"/>
                <w:szCs w:val="20"/>
                <w:color w:val="auto"/>
              </w:rPr>
            </w:pPr>
            <w:r>
              <w:rPr>
                <w:rFonts w:ascii="Arial" w:cs="Arial" w:eastAsia="Arial" w:hAnsi="Arial"/>
                <w:sz w:val="18"/>
                <w:szCs w:val="18"/>
                <w:b w:val="1"/>
                <w:bCs w:val="1"/>
                <w:color w:val="auto"/>
                <w:w w:val="99"/>
              </w:rPr>
              <w:t>75-1825172</w:t>
            </w:r>
          </w:p>
        </w:tc>
        <w:tc>
          <w:tcPr>
            <w:tcW w:w="1180" w:type="dxa"/>
            <w:vAlign w:val="bottom"/>
          </w:tcPr>
          <w:p>
            <w:pPr>
              <w:spacing w:after="0"/>
              <w:rPr>
                <w:sz w:val="19"/>
                <w:szCs w:val="19"/>
                <w:color w:val="auto"/>
              </w:rPr>
            </w:pPr>
          </w:p>
        </w:tc>
      </w:tr>
      <w:tr>
        <w:trPr>
          <w:trHeight w:val="235"/>
        </w:trPr>
        <w:tc>
          <w:tcPr>
            <w:tcW w:w="1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center"/>
              <w:ind w:right="1094"/>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2500" w:type="dxa"/>
            <w:vAlign w:val="bottom"/>
            <w:tcBorders>
              <w:bottom w:val="single" w:sz="8" w:color="auto"/>
            </w:tcBorders>
          </w:tcPr>
          <w:p>
            <w:pPr>
              <w:jc w:val="center"/>
              <w:ind w:left="776"/>
              <w:spacing w:after="0"/>
              <w:rPr>
                <w:sz w:val="20"/>
                <w:szCs w:val="20"/>
                <w:color w:val="auto"/>
              </w:rPr>
            </w:pPr>
            <w:r>
              <w:rPr>
                <w:rFonts w:ascii="Arial" w:cs="Arial" w:eastAsia="Arial" w:hAnsi="Arial"/>
                <w:sz w:val="18"/>
                <w:szCs w:val="18"/>
                <w:b w:val="1"/>
                <w:bCs w:val="1"/>
                <w:color w:val="auto"/>
                <w:w w:val="99"/>
              </w:rPr>
              <w:t>1-2691</w:t>
            </w:r>
          </w:p>
        </w:tc>
        <w:tc>
          <w:tcPr>
            <w:tcW w:w="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Borders>
              <w:bottom w:val="single" w:sz="8" w:color="auto"/>
            </w:tcBorders>
          </w:tcPr>
          <w:p>
            <w:pPr>
              <w:jc w:val="center"/>
              <w:ind w:left="1096"/>
              <w:spacing w:after="0"/>
              <w:rPr>
                <w:sz w:val="20"/>
                <w:szCs w:val="20"/>
                <w:color w:val="auto"/>
              </w:rPr>
            </w:pPr>
            <w:r>
              <w:rPr>
                <w:rFonts w:ascii="Arial" w:cs="Arial" w:eastAsia="Arial" w:hAnsi="Arial"/>
                <w:sz w:val="18"/>
                <w:szCs w:val="18"/>
                <w:b w:val="1"/>
                <w:bCs w:val="1"/>
                <w:color w:val="auto"/>
                <w:w w:val="99"/>
              </w:rPr>
              <w:t>13-1502798</w:t>
            </w:r>
          </w:p>
        </w:tc>
        <w:tc>
          <w:tcPr>
            <w:tcW w:w="1180" w:type="dxa"/>
            <w:vAlign w:val="bottom"/>
            <w:tcBorders>
              <w:bottom w:val="single" w:sz="8" w:color="auto"/>
            </w:tcBorders>
          </w:tcPr>
          <w:p>
            <w:pPr>
              <w:spacing w:after="0"/>
              <w:rPr>
                <w:sz w:val="20"/>
                <w:szCs w:val="20"/>
                <w:color w:val="auto"/>
              </w:rPr>
            </w:pPr>
          </w:p>
        </w:tc>
      </w:tr>
      <w:tr>
        <w:trPr>
          <w:trHeight w:val="194"/>
        </w:trPr>
        <w:tc>
          <w:tcPr>
            <w:tcW w:w="4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699"/>
        </w:trPr>
        <w:tc>
          <w:tcPr>
            <w:tcW w:w="1180" w:type="dxa"/>
            <w:vAlign w:val="bottom"/>
          </w:tcPr>
          <w:p>
            <w:pPr>
              <w:spacing w:after="0"/>
              <w:rPr>
                <w:sz w:val="24"/>
                <w:szCs w:val="24"/>
                <w:color w:val="auto"/>
              </w:rPr>
            </w:pPr>
          </w:p>
        </w:tc>
        <w:tc>
          <w:tcPr>
            <w:tcW w:w="6420" w:type="dxa"/>
            <w:vAlign w:val="bottom"/>
            <w:gridSpan w:val="6"/>
          </w:tcPr>
          <w:p>
            <w:pPr>
              <w:ind w:left="1540"/>
              <w:spacing w:after="0"/>
              <w:rPr>
                <w:sz w:val="20"/>
                <w:szCs w:val="20"/>
                <w:color w:val="auto"/>
              </w:rPr>
            </w:pPr>
            <w:r>
              <w:rPr>
                <w:rFonts w:ascii="Arial" w:cs="Arial" w:eastAsia="Arial" w:hAnsi="Arial"/>
                <w:sz w:val="18"/>
                <w:szCs w:val="18"/>
                <w:b w:val="1"/>
                <w:bCs w:val="1"/>
                <w:color w:val="auto"/>
              </w:rPr>
              <w:t>1 Skyview Drive, Fort Worth, Texas</w:t>
            </w:r>
          </w:p>
        </w:tc>
        <w:tc>
          <w:tcPr>
            <w:tcW w:w="2420" w:type="dxa"/>
            <w:vAlign w:val="bottom"/>
          </w:tcPr>
          <w:p>
            <w:pPr>
              <w:jc w:val="center"/>
              <w:ind w:right="556"/>
              <w:spacing w:after="0"/>
              <w:rPr>
                <w:sz w:val="20"/>
                <w:szCs w:val="20"/>
                <w:color w:val="auto"/>
              </w:rPr>
            </w:pPr>
            <w:r>
              <w:rPr>
                <w:rFonts w:ascii="Arial" w:cs="Arial" w:eastAsia="Arial" w:hAnsi="Arial"/>
                <w:sz w:val="18"/>
                <w:szCs w:val="18"/>
                <w:b w:val="1"/>
                <w:bCs w:val="1"/>
                <w:color w:val="auto"/>
                <w:w w:val="99"/>
              </w:rPr>
              <w:t>76155</w:t>
            </w:r>
          </w:p>
        </w:tc>
        <w:tc>
          <w:tcPr>
            <w:tcW w:w="1180" w:type="dxa"/>
            <w:vAlign w:val="bottom"/>
          </w:tcPr>
          <w:p>
            <w:pPr>
              <w:spacing w:after="0"/>
              <w:rPr>
                <w:sz w:val="24"/>
                <w:szCs w:val="24"/>
                <w:color w:val="auto"/>
              </w:rPr>
            </w:pPr>
          </w:p>
        </w:tc>
      </w:tr>
      <w:tr>
        <w:trPr>
          <w:trHeight w:val="235"/>
        </w:trPr>
        <w:tc>
          <w:tcPr>
            <w:tcW w:w="1180" w:type="dxa"/>
            <w:vAlign w:val="bottom"/>
          </w:tcPr>
          <w:p>
            <w:pPr>
              <w:spacing w:after="0"/>
              <w:rPr>
                <w:sz w:val="20"/>
                <w:szCs w:val="20"/>
                <w:color w:val="auto"/>
              </w:rPr>
            </w:pPr>
          </w:p>
        </w:tc>
        <w:tc>
          <w:tcPr>
            <w:tcW w:w="5360" w:type="dxa"/>
            <w:vAlign w:val="bottom"/>
            <w:tcBorders>
              <w:bottom w:val="single" w:sz="8" w:color="auto"/>
            </w:tcBorders>
            <w:gridSpan w:val="3"/>
          </w:tcPr>
          <w:p>
            <w:pPr>
              <w:ind w:left="1540"/>
              <w:spacing w:after="0"/>
              <w:rPr>
                <w:sz w:val="20"/>
                <w:szCs w:val="20"/>
                <w:color w:val="auto"/>
              </w:rPr>
            </w:pPr>
            <w:r>
              <w:rPr>
                <w:rFonts w:ascii="Arial" w:cs="Arial" w:eastAsia="Arial" w:hAnsi="Arial"/>
                <w:sz w:val="18"/>
                <w:szCs w:val="18"/>
                <w:b w:val="1"/>
                <w:bCs w:val="1"/>
                <w:color w:val="auto"/>
              </w:rPr>
              <w:t>1 Skyview Drive, Fort Worth, Texas</w:t>
            </w:r>
          </w:p>
        </w:tc>
        <w:tc>
          <w:tcPr>
            <w:tcW w:w="420" w:type="dxa"/>
            <w:vAlign w:val="bottom"/>
          </w:tcPr>
          <w:p>
            <w:pPr>
              <w:spacing w:after="0"/>
              <w:rPr>
                <w:sz w:val="20"/>
                <w:szCs w:val="20"/>
                <w:color w:val="auto"/>
              </w:rPr>
            </w:pPr>
          </w:p>
        </w:tc>
        <w:tc>
          <w:tcPr>
            <w:tcW w:w="640" w:type="dxa"/>
            <w:vAlign w:val="bottom"/>
            <w:tcBorders>
              <w:bottom w:val="single" w:sz="8" w:color="auto"/>
            </w:tcBorders>
            <w:gridSpan w:val="2"/>
          </w:tcPr>
          <w:p>
            <w:pPr>
              <w:spacing w:after="0"/>
              <w:rPr>
                <w:sz w:val="20"/>
                <w:szCs w:val="20"/>
                <w:color w:val="auto"/>
              </w:rPr>
            </w:pPr>
          </w:p>
        </w:tc>
        <w:tc>
          <w:tcPr>
            <w:tcW w:w="2420" w:type="dxa"/>
            <w:vAlign w:val="bottom"/>
            <w:tcBorders>
              <w:bottom w:val="single" w:sz="8" w:color="auto"/>
            </w:tcBorders>
          </w:tcPr>
          <w:p>
            <w:pPr>
              <w:jc w:val="center"/>
              <w:ind w:right="556"/>
              <w:spacing w:after="0"/>
              <w:rPr>
                <w:sz w:val="20"/>
                <w:szCs w:val="20"/>
                <w:color w:val="auto"/>
              </w:rPr>
            </w:pPr>
            <w:r>
              <w:rPr>
                <w:rFonts w:ascii="Arial" w:cs="Arial" w:eastAsia="Arial" w:hAnsi="Arial"/>
                <w:sz w:val="18"/>
                <w:szCs w:val="18"/>
                <w:b w:val="1"/>
                <w:bCs w:val="1"/>
                <w:color w:val="auto"/>
                <w:w w:val="99"/>
              </w:rPr>
              <w:t>76155</w:t>
            </w:r>
          </w:p>
        </w:tc>
        <w:tc>
          <w:tcPr>
            <w:tcW w:w="1180" w:type="dxa"/>
            <w:vAlign w:val="bottom"/>
          </w:tcPr>
          <w:p>
            <w:pPr>
              <w:spacing w:after="0"/>
              <w:rPr>
                <w:sz w:val="20"/>
                <w:szCs w:val="20"/>
                <w:color w:val="auto"/>
              </w:rPr>
            </w:pPr>
          </w:p>
        </w:tc>
      </w:tr>
      <w:tr>
        <w:trPr>
          <w:trHeight w:val="194"/>
        </w:trPr>
        <w:tc>
          <w:tcPr>
            <w:tcW w:w="1180" w:type="dxa"/>
            <w:vAlign w:val="bottom"/>
          </w:tcPr>
          <w:p>
            <w:pPr>
              <w:spacing w:after="0"/>
              <w:rPr>
                <w:sz w:val="16"/>
                <w:szCs w:val="16"/>
                <w:color w:val="auto"/>
              </w:rPr>
            </w:pPr>
          </w:p>
        </w:tc>
        <w:tc>
          <w:tcPr>
            <w:tcW w:w="6420" w:type="dxa"/>
            <w:vAlign w:val="bottom"/>
            <w:gridSpan w:val="6"/>
          </w:tcPr>
          <w:p>
            <w:pPr>
              <w:ind w:left="1340"/>
              <w:spacing w:after="0"/>
              <w:rPr>
                <w:sz w:val="20"/>
                <w:szCs w:val="20"/>
                <w:color w:val="auto"/>
              </w:rPr>
            </w:pPr>
            <w:r>
              <w:rPr>
                <w:rFonts w:ascii="Arial" w:cs="Arial" w:eastAsia="Arial" w:hAnsi="Arial"/>
                <w:sz w:val="14"/>
                <w:szCs w:val="14"/>
                <w:b w:val="1"/>
                <w:bCs w:val="1"/>
                <w:color w:val="auto"/>
              </w:rPr>
              <w:t>(Address of principal executive offices)</w:t>
            </w:r>
          </w:p>
        </w:tc>
        <w:tc>
          <w:tcPr>
            <w:tcW w:w="360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rPr>
              <w:t>(Zip Code)</w:t>
            </w:r>
          </w:p>
        </w:tc>
      </w:tr>
    </w:tbl>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5480" w:hanging="471"/>
        <w:spacing w:after="0"/>
        <w:tabs>
          <w:tab w:leader="none" w:pos="54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9" w:lineRule="exact"/>
        <w:rPr>
          <w:rFonts w:ascii="Arial" w:cs="Arial" w:eastAsia="Arial" w:hAnsi="Arial"/>
          <w:sz w:val="18"/>
          <w:szCs w:val="18"/>
          <w:b w:val="1"/>
          <w:bCs w:val="1"/>
          <w:color w:val="auto"/>
        </w:rPr>
      </w:pPr>
    </w:p>
    <w:p>
      <w:pPr>
        <w:ind w:left="5480" w:hanging="471"/>
        <w:spacing w:after="0"/>
        <w:tabs>
          <w:tab w:leader="none" w:pos="5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278-9000</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17780</wp:posOffset>
            </wp:positionV>
            <wp:extent cx="5854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31" w:lineRule="exact"/>
        <w:rPr>
          <w:sz w:val="24"/>
          <w:szCs w:val="24"/>
          <w:color w:val="auto"/>
        </w:rPr>
      </w:pPr>
    </w:p>
    <w:p>
      <w:pPr>
        <w:ind w:right="380"/>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50"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1"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42"/>
        </w:trPr>
        <w:tc>
          <w:tcPr>
            <w:tcW w:w="40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Common Stock, $0.01 par value per share</w:t>
            </w:r>
          </w:p>
        </w:tc>
        <w:tc>
          <w:tcPr>
            <w:tcW w:w="35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AAL</w:t>
            </w:r>
          </w:p>
        </w:tc>
        <w:tc>
          <w:tcPr>
            <w:tcW w:w="3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160"/>
        </w:trPr>
        <w:tc>
          <w:tcPr>
            <w:tcW w:w="4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Preferred Stock Purchase Rights</w:t>
            </w:r>
          </w:p>
        </w:tc>
        <w:tc>
          <w:tcPr>
            <w:tcW w:w="35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95"/>
        </w:trPr>
        <w:tc>
          <w:tcPr>
            <w:tcW w:w="4000" w:type="dxa"/>
            <w:vAlign w:val="bottom"/>
            <w:gridSpan w:val="2"/>
            <w:vMerge w:val="continue"/>
          </w:tcPr>
          <w:p>
            <w:pPr>
              <w:spacing w:after="0"/>
              <w:rPr>
                <w:sz w:val="8"/>
                <w:szCs w:val="8"/>
                <w:color w:val="auto"/>
              </w:rPr>
            </w:pPr>
          </w:p>
        </w:tc>
        <w:tc>
          <w:tcPr>
            <w:tcW w:w="3560" w:type="dxa"/>
            <w:vAlign w:val="bottom"/>
            <w:gridSpan w:val="2"/>
            <w:vMerge w:val="continue"/>
          </w:tcPr>
          <w:p>
            <w:pPr>
              <w:spacing w:after="0"/>
              <w:rPr>
                <w:sz w:val="8"/>
                <w:szCs w:val="8"/>
                <w:color w:val="auto"/>
              </w:rPr>
            </w:pP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70" w:lineRule="exact"/>
        <w:rPr>
          <w:sz w:val="24"/>
          <w:szCs w:val="24"/>
          <w:color w:val="auto"/>
        </w:rPr>
      </w:pPr>
    </w:p>
    <w:p>
      <w:pPr>
        <w:ind w:right="2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44"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40" w:lineRule="exact"/>
        <w:rPr>
          <w:sz w:val="24"/>
          <w:szCs w:val="24"/>
          <w:color w:val="auto"/>
        </w:rPr>
      </w:pPr>
    </w:p>
    <w:p>
      <w:pPr>
        <w:ind w:right="6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654685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63" w:right="359" w:bottom="1440" w:gutter="0" w:footer="0" w:header="0"/>
        </w:sectPr>
      </w:pPr>
    </w:p>
    <w:bookmarkStart w:id="1" w:name="page2"/>
    <w:bookmarkEnd w:id="1"/>
    <w:p>
      <w:pPr>
        <w:ind w:left="2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June 3, 2022, American Airlines Group Inc. (the “Company”) is presenting information relating to its financial and operational outlook at the Bernstein Strategic Decisions Conference. As previously announced, this presentation will be webcast, with the link available at the Company’s website at www.aa.com under “Investor Relations.”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the Company is providing investors an update regarding its financial and operational guidance for the second quarter of 2022. The Company expects an increase in second quarter revenue versus prior guidance, driven by continued strength in the demand and pricing environment. Based on its current forecast, the Company now expects its second quarter capacity (versus the second quarter of 2019) to come in at the low end of the Company’s prior guidance range.</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Continued increases in the price of jet fuel are expected to result in higher second quarter fuel costs versus prior guidance, while CASM excluding fuel and net special items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is up versus prior guidance due to slightly lower capacity and higher selling expenses. The aforementioned revenue strength is expected to more than offset these increased costs, resulting in an expected increase in pre-tax margin excluding net special items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versus prior guidance.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80" w:type="dxa"/>
            <w:vAlign w:val="bottom"/>
          </w:tcPr>
          <w:p>
            <w:pPr>
              <w:spacing w:after="0"/>
              <w:rPr>
                <w:sz w:val="20"/>
                <w:szCs w:val="20"/>
                <w:color w:val="auto"/>
              </w:rPr>
            </w:pPr>
          </w:p>
        </w:tc>
        <w:tc>
          <w:tcPr>
            <w:tcW w:w="514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rPr>
              <w:t>Estimated 2Q 2022 vs. 2Q 2019</w:t>
            </w:r>
          </w:p>
        </w:tc>
      </w:tr>
      <w:tr>
        <w:trPr>
          <w:trHeight w:val="223"/>
        </w:trPr>
        <w:tc>
          <w:tcPr>
            <w:tcW w:w="6080" w:type="dxa"/>
            <w:vAlign w:val="bottom"/>
          </w:tcPr>
          <w:p>
            <w:pPr>
              <w:spacing w:after="0"/>
              <w:rPr>
                <w:sz w:val="19"/>
                <w:szCs w:val="19"/>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Updated</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9"/>
              </w:rPr>
              <w:t>Prior</w:t>
            </w: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Seat Miles</w:t>
            </w:r>
          </w:p>
        </w:tc>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(7%) to (8%)</w:t>
            </w:r>
          </w:p>
        </w:tc>
        <w:tc>
          <w:tcPr>
            <w:tcW w:w="10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(6%) to (8%)</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11% to 13%</w:t>
            </w:r>
          </w:p>
        </w:tc>
        <w:tc>
          <w:tcPr>
            <w:tcW w:w="2520" w:type="dxa"/>
            <w:vAlign w:val="bottom"/>
          </w:tcPr>
          <w:p>
            <w:pPr>
              <w:jc w:val="center"/>
              <w:spacing w:after="0"/>
              <w:rPr>
                <w:sz w:val="20"/>
                <w:szCs w:val="20"/>
                <w:color w:val="auto"/>
              </w:rPr>
            </w:pPr>
            <w:r>
              <w:rPr>
                <w:rFonts w:ascii="Arial" w:cs="Arial" w:eastAsia="Arial" w:hAnsi="Arial"/>
                <w:sz w:val="18"/>
                <w:szCs w:val="18"/>
                <w:color w:val="auto"/>
                <w:w w:val="98"/>
              </w:rPr>
              <w:t>6% to 8%</w:t>
            </w:r>
          </w:p>
        </w:tc>
      </w:tr>
      <w:tr>
        <w:trPr>
          <w:trHeight w:val="230"/>
        </w:trPr>
        <w:tc>
          <w:tcPr>
            <w:tcW w:w="6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TRASM</w:t>
            </w:r>
            <w:r>
              <w:rPr>
                <w:rFonts w:ascii="Arial" w:cs="Arial" w:eastAsia="Arial" w:hAnsi="Arial"/>
                <w:sz w:val="23"/>
                <w:szCs w:val="23"/>
                <w:color w:val="auto"/>
                <w:vertAlign w:val="superscript"/>
              </w:rPr>
              <w:t>3</w:t>
            </w:r>
          </w:p>
        </w:tc>
        <w:tc>
          <w:tcPr>
            <w:tcW w:w="2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20% to 22%</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 to 16%</w:t>
            </w:r>
          </w:p>
        </w:tc>
      </w:tr>
      <w:tr>
        <w:trPr>
          <w:trHeight w:val="229"/>
        </w:trPr>
        <w:tc>
          <w:tcPr>
            <w:tcW w:w="6080" w:type="dxa"/>
            <w:vAlign w:val="bottom"/>
          </w:tcPr>
          <w:p>
            <w:pPr>
              <w:ind w:left="20"/>
              <w:spacing w:after="0" w:line="230" w:lineRule="exact"/>
              <w:rPr>
                <w:sz w:val="20"/>
                <w:szCs w:val="20"/>
                <w:color w:val="auto"/>
              </w:rPr>
            </w:pPr>
            <w:r>
              <w:rPr>
                <w:rFonts w:ascii="Arial" w:cs="Arial" w:eastAsia="Arial" w:hAnsi="Arial"/>
                <w:sz w:val="18"/>
                <w:szCs w:val="18"/>
                <w:color w:val="auto"/>
              </w:rPr>
              <w:t>CASM Excluding Fuel and Net Special Items</w:t>
            </w:r>
            <w:r>
              <w:rPr>
                <w:rFonts w:ascii="Arial" w:cs="Arial" w:eastAsia="Arial" w:hAnsi="Arial"/>
                <w:sz w:val="23"/>
                <w:szCs w:val="23"/>
                <w:color w:val="auto"/>
                <w:vertAlign w:val="superscript"/>
              </w:rPr>
              <w:t>1</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 to 11%</w:t>
            </w:r>
          </w:p>
        </w:tc>
        <w:tc>
          <w:tcPr>
            <w:tcW w:w="2520" w:type="dxa"/>
            <w:vAlign w:val="bottom"/>
          </w:tcPr>
          <w:p>
            <w:pPr>
              <w:jc w:val="center"/>
              <w:spacing w:after="0"/>
              <w:rPr>
                <w:sz w:val="20"/>
                <w:szCs w:val="20"/>
                <w:color w:val="auto"/>
              </w:rPr>
            </w:pPr>
            <w:r>
              <w:rPr>
                <w:rFonts w:ascii="Arial" w:cs="Arial" w:eastAsia="Arial" w:hAnsi="Arial"/>
                <w:sz w:val="18"/>
                <w:szCs w:val="18"/>
                <w:color w:val="auto"/>
              </w:rPr>
              <w:t>8% to 10%</w:t>
            </w:r>
          </w:p>
        </w:tc>
      </w:tr>
      <w:tr>
        <w:trPr>
          <w:trHeight w:val="229"/>
        </w:trPr>
        <w:tc>
          <w:tcPr>
            <w:tcW w:w="6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Average Fuel Price (incl. Taxes) ($/Gallon)</w:t>
            </w:r>
            <w:r>
              <w:rPr>
                <w:rFonts w:ascii="Arial" w:cs="Arial" w:eastAsia="Arial" w:hAnsi="Arial"/>
                <w:sz w:val="23"/>
                <w:szCs w:val="23"/>
                <w:color w:val="auto"/>
                <w:vertAlign w:val="superscript"/>
              </w:rPr>
              <w:t>4</w:t>
            </w:r>
          </w:p>
        </w:tc>
        <w:tc>
          <w:tcPr>
            <w:tcW w:w="2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$3.92 to $3.97</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$3.59 to $3.64</w:t>
            </w:r>
          </w:p>
        </w:tc>
      </w:tr>
      <w:tr>
        <w:trPr>
          <w:trHeight w:val="316"/>
        </w:trPr>
        <w:tc>
          <w:tcPr>
            <w:tcW w:w="6080" w:type="dxa"/>
            <w:vAlign w:val="bottom"/>
          </w:tcPr>
          <w:p>
            <w:pPr>
              <w:ind w:left="20"/>
              <w:spacing w:after="0"/>
              <w:rPr>
                <w:sz w:val="20"/>
                <w:szCs w:val="20"/>
                <w:color w:val="auto"/>
              </w:rPr>
            </w:pPr>
            <w:r>
              <w:rPr>
                <w:rFonts w:ascii="Arial" w:cs="Arial" w:eastAsia="Arial" w:hAnsi="Arial"/>
                <w:sz w:val="18"/>
                <w:szCs w:val="18"/>
                <w:color w:val="auto"/>
              </w:rPr>
              <w:t>Pre-tax Margin Excluding Net Special Items</w:t>
            </w:r>
            <w:r>
              <w:rPr>
                <w:rFonts w:ascii="Arial" w:cs="Arial" w:eastAsia="Arial" w:hAnsi="Arial"/>
                <w:sz w:val="23"/>
                <w:szCs w:val="23"/>
                <w:color w:val="auto"/>
                <w:vertAlign w:val="superscript"/>
              </w:rPr>
              <w:t>2</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4% to 6%</w:t>
            </w:r>
          </w:p>
        </w:tc>
        <w:tc>
          <w:tcPr>
            <w:tcW w:w="2520" w:type="dxa"/>
            <w:vAlign w:val="bottom"/>
          </w:tcPr>
          <w:p>
            <w:pPr>
              <w:jc w:val="center"/>
              <w:spacing w:after="0"/>
              <w:rPr>
                <w:sz w:val="20"/>
                <w:szCs w:val="20"/>
                <w:color w:val="auto"/>
              </w:rPr>
            </w:pPr>
            <w:r>
              <w:rPr>
                <w:rFonts w:ascii="Arial" w:cs="Arial" w:eastAsia="Arial" w:hAnsi="Arial"/>
                <w:sz w:val="18"/>
                <w:szCs w:val="18"/>
                <w:color w:val="auto"/>
                <w:w w:val="98"/>
              </w:rPr>
              <w:t>3% to 5%</w:t>
            </w:r>
          </w:p>
        </w:tc>
      </w:tr>
    </w:tbl>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2044065</wp:posOffset>
            </wp:positionV>
            <wp:extent cx="1379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
        <w:spacing w:after="0" w:line="224" w:lineRule="auto"/>
        <w:tabs>
          <w:tab w:leader="none" w:pos="97"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color w:val="auto"/>
        </w:rPr>
        <w:t>Total operating cost per available seat mile, excluding the impact of fuel and net special items. CASM excluding fuel and net special items is a non-GAAP measure, and the Company is unable to fully reconcile such forward-looking guidance to the corresponding GAAP measure because the full nature and amount of net special items cannot be determined at this time.</w:t>
      </w:r>
    </w:p>
    <w:p>
      <w:pPr>
        <w:spacing w:after="0" w:line="152" w:lineRule="exact"/>
        <w:rPr>
          <w:sz w:val="20"/>
          <w:szCs w:val="20"/>
          <w:color w:val="auto"/>
        </w:rPr>
      </w:pPr>
    </w:p>
    <w:p>
      <w:pPr>
        <w:ind w:firstLine="8"/>
        <w:spacing w:after="0" w:line="227" w:lineRule="auto"/>
        <w:tabs>
          <w:tab w:leader="none" w:pos="11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Pre-tax margin excluding net special items is a non-GAAP measure, and the Company is unable to fully reconcile such forward-looking guidance to the corresponding GAAP measure because the full nature and amount of net special items cannot be determined at this time.</w:t>
      </w:r>
    </w:p>
    <w:p>
      <w:pPr>
        <w:spacing w:after="0" w:line="124"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Total revenue per available seat mile.</w:t>
      </w:r>
    </w:p>
    <w:p>
      <w:pPr>
        <w:spacing w:after="0" w:line="100"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Updated based on the forward fuel curve as of May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document includes forward-looking statements within the meaning of the Securities Act of 1933, as amended, the Securities Exchange Act of 1934, as amended,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the continuing availability of borrowings under revolving lines of credit,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herein as well as in the Company’s Quarterly Report on Form 10-Q for the quarter ended March 31, 2022 (especially in Part I, Item 2. Management’s Discussion and Analysis of Financial Condition and Results of Operations and Part II, Item 1A. Risk Factors), and other risks and uncertainties listed from time to time in the Company’s other filings with the Securities and Exchange Commission. In particular, the consequences of the coronavirus outbreak to economic conditions and the travel industry in general and the financial position and operating results of the Company in particular have been material, are changing rapidly, and cannot be predicted. Additionally,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Group Inc. has duly caused this report to be signed on its behalf by the undersigned hereunto duly authorized.</w:t>
      </w:r>
    </w:p>
    <w:p>
      <w:pPr>
        <w:spacing w:after="0" w:line="34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93"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June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17780</wp:posOffset>
            </wp:positionV>
            <wp:extent cx="2777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 Chief Financial Officer and</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American Eagle</w:t>
      </w:r>
    </w:p>
    <w:p>
      <w:pPr>
        <w:spacing w:after="0" w:line="20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American Airlines, Inc. has duly caused this report to be signed on its behalf by the undersigned hereunto duly authorized.</w:t>
      </w:r>
    </w:p>
    <w:p>
      <w:pPr>
        <w:spacing w:after="0" w:line="32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93" w:lineRule="exact"/>
        <w:rPr>
          <w:sz w:val="20"/>
          <w:szCs w:val="20"/>
          <w:color w:val="auto"/>
        </w:rPr>
      </w:pPr>
    </w:p>
    <w:p>
      <w:pPr>
        <w:ind w:left="20"/>
        <w:spacing w:after="0"/>
        <w:tabs>
          <w:tab w:leader="none" w:pos="6260" w:val="left"/>
          <w:tab w:leader="none" w:pos="6840" w:val="left"/>
        </w:tabs>
        <w:rPr>
          <w:sz w:val="20"/>
          <w:szCs w:val="20"/>
          <w:color w:val="auto"/>
        </w:rPr>
      </w:pPr>
      <w:r>
        <w:rPr>
          <w:rFonts w:ascii="Arial" w:cs="Arial" w:eastAsia="Arial" w:hAnsi="Arial"/>
          <w:sz w:val="18"/>
          <w:szCs w:val="18"/>
          <w:color w:val="auto"/>
        </w:rPr>
        <w:t>Date: June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17780</wp:posOffset>
            </wp:positionV>
            <wp:extent cx="2854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Chair, Chief Financial Officer and</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American Eagle</w:t>
      </w:r>
    </w:p>
    <w:sectPr>
      <w:pgSz w:w="11900" w:h="16838" w:orient="portrait"/>
      <w:cols w:equalWidth="0" w:num="1">
        <w:col w:w="11100"/>
      </w:cols>
      <w:pgMar w:left="320" w:top="8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682"/>
    </w:lvl>
  </w:abstractNum>
  <w:abstractNum w:abstractNumId="1">
    <w:nsid w:val="46E87CCD"/>
    <w:multiLevelType w:val="hybridMultilevel"/>
    <w:lvl w:ilvl="0">
      <w:lvlJc w:val="left"/>
      <w:lvlText w:val="(%1)"/>
      <w:numFmt w:val="decimal"/>
      <w:start w:val="68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3"/>
      <w:numFmt w:val="bullet"/>
      <w:start w:val="1"/>
    </w:lvl>
  </w:abstractNum>
  <w:abstractNum w:abstractNumId="7">
    <w:nsid w:val="7545E146"/>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2022-06-03T06:32:39Z</dcterms:created>
  <dcterms:modified xsi:type="dcterms:W3CDTF">2022-06-03T06:32:39Z</dcterms:modified>
</cp:coreProperties>
</file>