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243205</wp:posOffset>
            </wp:positionH>
            <wp:positionV relativeFrom="page">
              <wp:posOffset>620395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July 11, 2018</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AMERICAN AIRLINES 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AMERICAN AIRLINES,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76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rPr>
              <w:t>Delaware</w:t>
            </w:r>
          </w:p>
        </w:tc>
        <w:tc>
          <w:tcPr>
            <w:tcW w:w="280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99"/>
              </w:rPr>
              <w:t>1-8400</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9"/>
              </w:rPr>
              <w:t>75-1825172</w:t>
            </w:r>
          </w:p>
        </w:tc>
      </w:tr>
      <w:tr>
        <w:trPr>
          <w:trHeight w:val="264"/>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Delaware</w:t>
            </w:r>
          </w:p>
        </w:tc>
        <w:tc>
          <w:tcPr>
            <w:tcW w:w="24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3"/>
          </w:tcPr>
          <w:p>
            <w:pPr>
              <w:jc w:val="center"/>
              <w:ind w:right="880"/>
              <w:spacing w:after="0"/>
              <w:rPr>
                <w:sz w:val="20"/>
                <w:szCs w:val="20"/>
                <w:color w:val="auto"/>
              </w:rPr>
            </w:pPr>
            <w:r>
              <w:rPr>
                <w:rFonts w:ascii="Arial" w:cs="Arial" w:eastAsia="Arial" w:hAnsi="Arial"/>
                <w:sz w:val="18"/>
                <w:szCs w:val="18"/>
                <w:b w:val="1"/>
                <w:bCs w:val="1"/>
                <w:color w:val="auto"/>
                <w:w w:val="99"/>
              </w:rPr>
              <w:t>1-2691</w:t>
            </w:r>
          </w:p>
        </w:tc>
        <w:tc>
          <w:tcPr>
            <w:tcW w:w="220" w:type="dxa"/>
            <w:vAlign w:val="bottom"/>
          </w:tcPr>
          <w:p>
            <w:pPr>
              <w:spacing w:after="0"/>
              <w:rPr>
                <w:sz w:val="22"/>
                <w:szCs w:val="22"/>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13-1502798</w:t>
            </w:r>
          </w:p>
        </w:tc>
      </w:tr>
      <w:tr>
        <w:trPr>
          <w:trHeight w:val="204"/>
        </w:trPr>
        <w:tc>
          <w:tcPr>
            <w:tcW w:w="4760" w:type="dxa"/>
            <w:vAlign w:val="bottom"/>
            <w:gridSpan w:val="3"/>
          </w:tcPr>
          <w:p>
            <w:pPr>
              <w:jc w:val="center"/>
              <w:ind w:right="1080"/>
              <w:spacing w:after="0"/>
              <w:rPr>
                <w:sz w:val="20"/>
                <w:szCs w:val="20"/>
                <w:color w:val="auto"/>
              </w:rPr>
            </w:pPr>
            <w:r>
              <w:rPr>
                <w:rFonts w:ascii="Arial" w:cs="Arial" w:eastAsia="Arial" w:hAnsi="Arial"/>
                <w:sz w:val="14"/>
                <w:szCs w:val="14"/>
                <w:color w:val="auto"/>
              </w:rPr>
              <w:t>(State or other Jurisdiction of Incorporation)</w:t>
            </w:r>
          </w:p>
        </w:tc>
        <w:tc>
          <w:tcPr>
            <w:tcW w:w="3020" w:type="dxa"/>
            <w:vAlign w:val="bottom"/>
            <w:gridSpan w:val="4"/>
          </w:tcPr>
          <w:p>
            <w:pPr>
              <w:jc w:val="center"/>
              <w:ind w:right="1080"/>
              <w:spacing w:after="0"/>
              <w:rPr>
                <w:sz w:val="20"/>
                <w:szCs w:val="20"/>
                <w:color w:val="auto"/>
              </w:rPr>
            </w:pPr>
            <w:r>
              <w:rPr>
                <w:rFonts w:ascii="Arial" w:cs="Arial" w:eastAsia="Arial" w:hAnsi="Arial"/>
                <w:sz w:val="14"/>
                <w:szCs w:val="14"/>
                <w:color w:val="auto"/>
              </w:rPr>
              <w:t>(Commission File Number)</w:t>
            </w:r>
          </w:p>
        </w:tc>
        <w:tc>
          <w:tcPr>
            <w:tcW w:w="3640" w:type="dxa"/>
            <w:vAlign w:val="bottom"/>
          </w:tcPr>
          <w:p>
            <w:pPr>
              <w:jc w:val="center"/>
              <w:spacing w:after="0"/>
              <w:rPr>
                <w:sz w:val="20"/>
                <w:szCs w:val="20"/>
                <w:color w:val="auto"/>
              </w:rPr>
            </w:pPr>
            <w:r>
              <w:rPr>
                <w:rFonts w:ascii="Arial" w:cs="Arial" w:eastAsia="Arial" w:hAnsi="Arial"/>
                <w:sz w:val="14"/>
                <w:szCs w:val="14"/>
                <w:color w:val="auto"/>
              </w:rPr>
              <w:t>(IRS Employer Identification No.)</w:t>
            </w:r>
          </w:p>
        </w:tc>
      </w:tr>
      <w:tr>
        <w:trPr>
          <w:trHeight w:val="647"/>
        </w:trPr>
        <w:tc>
          <w:tcPr>
            <w:tcW w:w="4760" w:type="dxa"/>
            <w:vAlign w:val="bottom"/>
            <w:gridSpan w:val="3"/>
          </w:tcPr>
          <w:p>
            <w:pPr>
              <w:jc w:val="center"/>
              <w:ind w:left="776"/>
              <w:spacing w:after="0"/>
              <w:rPr>
                <w:sz w:val="20"/>
                <w:szCs w:val="20"/>
                <w:color w:val="auto"/>
              </w:rPr>
            </w:pPr>
            <w:r>
              <w:rPr>
                <w:rFonts w:ascii="Arial" w:cs="Arial" w:eastAsia="Arial" w:hAnsi="Arial"/>
                <w:sz w:val="18"/>
                <w:szCs w:val="18"/>
                <w:b w:val="1"/>
                <w:bCs w:val="1"/>
                <w:color w:val="auto"/>
                <w:w w:val="99"/>
              </w:rPr>
              <w:t>4333 Amon Carter Blvd., Fort Worth, Texas</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jc w:val="center"/>
              <w:ind w:right="1856"/>
              <w:spacing w:after="0"/>
              <w:rPr>
                <w:sz w:val="20"/>
                <w:szCs w:val="20"/>
                <w:color w:val="auto"/>
              </w:rPr>
            </w:pPr>
            <w:r>
              <w:rPr>
                <w:rFonts w:ascii="Arial" w:cs="Arial" w:eastAsia="Arial" w:hAnsi="Arial"/>
                <w:sz w:val="18"/>
                <w:szCs w:val="18"/>
                <w:b w:val="1"/>
                <w:bCs w:val="1"/>
                <w:color w:val="auto"/>
                <w:w w:val="99"/>
              </w:rPr>
              <w:t>76155</w:t>
            </w:r>
          </w:p>
        </w:tc>
      </w:tr>
      <w:tr>
        <w:trPr>
          <w:trHeight w:val="264"/>
        </w:trPr>
        <w:tc>
          <w:tcPr>
            <w:tcW w:w="4760" w:type="dxa"/>
            <w:vAlign w:val="bottom"/>
            <w:tcBorders>
              <w:bottom w:val="single" w:sz="8" w:color="auto"/>
            </w:tcBorders>
            <w:gridSpan w:val="3"/>
          </w:tcPr>
          <w:p>
            <w:pPr>
              <w:jc w:val="center"/>
              <w:ind w:left="776"/>
              <w:spacing w:after="0"/>
              <w:rPr>
                <w:sz w:val="20"/>
                <w:szCs w:val="20"/>
                <w:color w:val="auto"/>
              </w:rPr>
            </w:pPr>
            <w:r>
              <w:rPr>
                <w:rFonts w:ascii="Arial" w:cs="Arial" w:eastAsia="Arial" w:hAnsi="Arial"/>
                <w:sz w:val="18"/>
                <w:szCs w:val="18"/>
                <w:b w:val="1"/>
                <w:bCs w:val="1"/>
                <w:color w:val="auto"/>
                <w:w w:val="99"/>
              </w:rPr>
              <w:t>4333 Amon Carter Blvd., Fort Worth, Texas</w:t>
            </w:r>
          </w:p>
        </w:tc>
        <w:tc>
          <w:tcPr>
            <w:tcW w:w="8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640" w:type="dxa"/>
            <w:vAlign w:val="bottom"/>
            <w:tcBorders>
              <w:bottom w:val="single" w:sz="8" w:color="auto"/>
            </w:tcBorders>
          </w:tcPr>
          <w:p>
            <w:pPr>
              <w:jc w:val="center"/>
              <w:ind w:right="1856"/>
              <w:spacing w:after="0"/>
              <w:rPr>
                <w:sz w:val="20"/>
                <w:szCs w:val="20"/>
                <w:color w:val="auto"/>
              </w:rPr>
            </w:pPr>
            <w:r>
              <w:rPr>
                <w:rFonts w:ascii="Arial" w:cs="Arial" w:eastAsia="Arial" w:hAnsi="Arial"/>
                <w:sz w:val="18"/>
                <w:szCs w:val="18"/>
                <w:b w:val="1"/>
                <w:bCs w:val="1"/>
                <w:color w:val="auto"/>
                <w:w w:val="99"/>
              </w:rPr>
              <w:t>76155</w:t>
            </w:r>
          </w:p>
        </w:tc>
      </w:tr>
      <w:tr>
        <w:trPr>
          <w:trHeight w:val="204"/>
        </w:trPr>
        <w:tc>
          <w:tcPr>
            <w:tcW w:w="4760" w:type="dxa"/>
            <w:vAlign w:val="bottom"/>
            <w:gridSpan w:val="3"/>
          </w:tcPr>
          <w:p>
            <w:pPr>
              <w:jc w:val="center"/>
              <w:ind w:left="776"/>
              <w:spacing w:after="0"/>
              <w:rPr>
                <w:sz w:val="20"/>
                <w:szCs w:val="20"/>
                <w:color w:val="auto"/>
              </w:rPr>
            </w:pPr>
            <w:r>
              <w:rPr>
                <w:rFonts w:ascii="Arial" w:cs="Arial" w:eastAsia="Arial" w:hAnsi="Arial"/>
                <w:sz w:val="14"/>
                <w:szCs w:val="14"/>
                <w:color w:val="auto"/>
              </w:rPr>
              <w:t>(Address of principal executive offices)</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40" w:type="dxa"/>
            <w:vAlign w:val="bottom"/>
          </w:tcPr>
          <w:p>
            <w:pPr>
              <w:jc w:val="center"/>
              <w:ind w:right="1876"/>
              <w:spacing w:after="0"/>
              <w:rPr>
                <w:sz w:val="20"/>
                <w:szCs w:val="20"/>
                <w:color w:val="auto"/>
              </w:rPr>
            </w:pPr>
            <w:r>
              <w:rPr>
                <w:rFonts w:ascii="Arial" w:cs="Arial" w:eastAsia="Arial" w:hAnsi="Arial"/>
                <w:sz w:val="14"/>
                <w:szCs w:val="14"/>
                <w:color w:val="auto"/>
              </w:rPr>
              <w:t>(Zip Code)</w:t>
            </w:r>
          </w:p>
        </w:tc>
      </w:tr>
    </w:tbl>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ind w:left="5560" w:hanging="462"/>
        <w:spacing w:after="0"/>
        <w:tabs>
          <w:tab w:leader="none" w:pos="5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963-1234</w:t>
      </w:r>
    </w:p>
    <w:p>
      <w:pPr>
        <w:spacing w:after="0" w:line="9" w:lineRule="exact"/>
        <w:rPr>
          <w:rFonts w:ascii="Arial" w:cs="Arial" w:eastAsia="Arial" w:hAnsi="Arial"/>
          <w:sz w:val="18"/>
          <w:szCs w:val="18"/>
          <w:color w:val="auto"/>
        </w:rPr>
      </w:pPr>
    </w:p>
    <w:p>
      <w:pPr>
        <w:ind w:left="5560" w:hanging="462"/>
        <w:spacing w:after="0"/>
        <w:tabs>
          <w:tab w:leader="none" w:pos="5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963-1234</w:t>
      </w:r>
    </w:p>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14605</wp:posOffset>
            </wp:positionV>
            <wp:extent cx="58572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33" w:lineRule="exact"/>
        <w:rPr>
          <w:sz w:val="24"/>
          <w:szCs w:val="24"/>
          <w:color w:val="auto"/>
        </w:rPr>
      </w:pPr>
    </w:p>
    <w:p>
      <w:pPr>
        <w:ind w:right="580"/>
        <w:spacing w:after="0" w:line="26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44" w:lineRule="exact"/>
        <w:rPr>
          <w:sz w:val="24"/>
          <w:szCs w:val="24"/>
          <w:color w:val="auto"/>
        </w:rPr>
      </w:pPr>
    </w:p>
    <w:p>
      <w:pPr>
        <w:ind w:left="620" w:hanging="585"/>
        <w:spacing w:after="0"/>
        <w:tabs>
          <w:tab w:leader="none" w:pos="62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Written communications pursuant to Rule 425 under the Securities Act (17 CFR 230.425)</w:t>
      </w:r>
    </w:p>
    <w:p>
      <w:pPr>
        <w:spacing w:after="0" w:line="74" w:lineRule="exact"/>
        <w:rPr>
          <w:rFonts w:ascii="MS PGothic" w:cs="MS PGothic" w:eastAsia="MS PGothic" w:hAnsi="MS PGothic"/>
          <w:sz w:val="18"/>
          <w:szCs w:val="18"/>
          <w:color w:val="auto"/>
        </w:rPr>
      </w:pPr>
    </w:p>
    <w:p>
      <w:pPr>
        <w:ind w:left="620" w:hanging="585"/>
        <w:spacing w:after="0"/>
        <w:tabs>
          <w:tab w:leader="none" w:pos="62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Soliciting material pursuant to Rule 14a-12 under the Exchange Act (17 CFR 240.14a-12)</w:t>
      </w:r>
    </w:p>
    <w:p>
      <w:pPr>
        <w:spacing w:after="0" w:line="47" w:lineRule="exact"/>
        <w:rPr>
          <w:rFonts w:ascii="MS PGothic" w:cs="MS PGothic" w:eastAsia="MS PGothic" w:hAnsi="MS PGothic"/>
          <w:sz w:val="18"/>
          <w:szCs w:val="18"/>
          <w:color w:val="auto"/>
        </w:rPr>
      </w:pPr>
    </w:p>
    <w:p>
      <w:pPr>
        <w:ind w:left="620" w:hanging="585"/>
        <w:spacing w:after="0"/>
        <w:tabs>
          <w:tab w:leader="none" w:pos="62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14d-2(b) under the Exchange Act (17 CFR 240.14d-2(b))</w:t>
      </w:r>
    </w:p>
    <w:p>
      <w:pPr>
        <w:spacing w:after="0" w:line="61" w:lineRule="exact"/>
        <w:rPr>
          <w:rFonts w:ascii="MS PGothic" w:cs="MS PGothic" w:eastAsia="MS PGothic" w:hAnsi="MS PGothic"/>
          <w:sz w:val="18"/>
          <w:szCs w:val="18"/>
          <w:color w:val="auto"/>
        </w:rPr>
      </w:pPr>
    </w:p>
    <w:p>
      <w:pPr>
        <w:ind w:left="620" w:hanging="585"/>
        <w:spacing w:after="0"/>
        <w:tabs>
          <w:tab w:leader="none" w:pos="62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13e-4(c) under the Exchange Act (17 CFR 240.13e-4(c))</w:t>
      </w:r>
    </w:p>
    <w:p>
      <w:pPr>
        <w:spacing w:after="0" w:line="250" w:lineRule="exact"/>
        <w:rPr>
          <w:sz w:val="24"/>
          <w:szCs w:val="24"/>
          <w:color w:val="auto"/>
        </w:rPr>
      </w:pPr>
    </w:p>
    <w:p>
      <w:pPr>
        <w:ind w:right="240"/>
        <w:spacing w:after="0" w:line="260"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7" w:lineRule="exact"/>
        <w:rPr>
          <w:sz w:val="24"/>
          <w:szCs w:val="24"/>
          <w:color w:val="auto"/>
        </w:rPr>
      </w:pPr>
    </w:p>
    <w:p>
      <w:pPr>
        <w:ind w:left="720" w:hanging="685"/>
        <w:spacing w:after="0"/>
        <w:tabs>
          <w:tab w:leader="none" w:pos="720" w:val="left"/>
        </w:tabs>
        <w:numPr>
          <w:ilvl w:val="0"/>
          <w:numId w:val="4"/>
        </w:numPr>
        <w:rPr>
          <w:rFonts w:ascii="MS PGothic" w:cs="MS PGothic" w:eastAsia="MS PGothic" w:hAnsi="MS PGothic"/>
          <w:sz w:val="18"/>
          <w:szCs w:val="18"/>
          <w:color w:val="auto"/>
        </w:rPr>
      </w:pPr>
      <w:r>
        <w:rPr>
          <w:rFonts w:ascii="Arial" w:cs="Arial" w:eastAsia="Arial" w:hAnsi="Arial"/>
          <w:sz w:val="17"/>
          <w:szCs w:val="17"/>
          <w:color w:val="auto"/>
        </w:rPr>
        <w:t>Emerging growth company</w:t>
      </w:r>
    </w:p>
    <w:p>
      <w:pPr>
        <w:spacing w:after="0" w:line="264" w:lineRule="exact"/>
        <w:rPr>
          <w:sz w:val="24"/>
          <w:szCs w:val="24"/>
          <w:color w:val="auto"/>
        </w:rPr>
      </w:pPr>
    </w:p>
    <w:p>
      <w:pPr>
        <w:ind w:right="26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wp:posOffset>
            </wp:positionV>
            <wp:extent cx="7075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35" w:right="23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53" w:lineRule="exact"/>
        <w:rPr>
          <w:sz w:val="20"/>
          <w:szCs w:val="20"/>
          <w:color w:val="auto"/>
        </w:rPr>
      </w:pPr>
    </w:p>
    <w:p>
      <w:pPr>
        <w:ind w:right="500" w:firstLine="432"/>
        <w:spacing w:after="0" w:line="256" w:lineRule="auto"/>
        <w:rPr>
          <w:sz w:val="20"/>
          <w:szCs w:val="20"/>
          <w:color w:val="auto"/>
        </w:rPr>
      </w:pPr>
      <w:r>
        <w:rPr>
          <w:rFonts w:ascii="Arial" w:cs="Arial" w:eastAsia="Arial" w:hAnsi="Arial"/>
          <w:sz w:val="18"/>
          <w:szCs w:val="18"/>
          <w:color w:val="auto"/>
        </w:rPr>
        <w:t xml:space="preserve">On July 11, 2018, American Airlines Group Inc. (“American”) provided an update for investors presenting information relating to its financial and operational outlook for 2018. This investor presentation is located on American’s website at </w:t>
      </w:r>
      <w:r>
        <w:rPr>
          <w:rFonts w:ascii="Arial" w:cs="Arial" w:eastAsia="Arial" w:hAnsi="Arial"/>
          <w:sz w:val="18"/>
          <w:szCs w:val="18"/>
          <w:u w:val="single" w:color="auto"/>
          <w:color w:val="auto"/>
        </w:rPr>
        <w:t>www.aa.com</w:t>
      </w:r>
      <w:r>
        <w:rPr>
          <w:rFonts w:ascii="Arial" w:cs="Arial" w:eastAsia="Arial" w:hAnsi="Arial"/>
          <w:sz w:val="18"/>
          <w:szCs w:val="18"/>
          <w:color w:val="auto"/>
        </w:rPr>
        <w:t xml:space="preserve"> under “Investor Relations.” The update is furnished as Exhibit 99.1 to this Current Report on Form 8-K.</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in this Item 7.01, including Exhibit 99.1, is being furnished and shall not be deemed to be “filed” for purposes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18 of the Securities Exchange Act of 1934, as amended, or otherwise subject to the liabilities of that Section and shall not be deemed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into any registration statement or other document filed pursuant to the Securities Act of 1933, as amended, except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shall be expressly set forth by specific reference in such filing.</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14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4200" w:type="dxa"/>
            <w:vAlign w:val="bottom"/>
            <w:gridSpan w:val="2"/>
          </w:tcPr>
          <w:p>
            <w:pPr>
              <w:ind w:left="1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13"/>
        </w:trPr>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(d) Exhibits.</w:t>
            </w:r>
          </w:p>
        </w:tc>
        <w:tc>
          <w:tcPr>
            <w:tcW w:w="12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527"/>
        </w:trPr>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Exhibit No.</w:t>
            </w:r>
          </w:p>
        </w:tc>
        <w:tc>
          <w:tcPr>
            <w:tcW w:w="1260" w:type="dxa"/>
            <w:vAlign w:val="bottom"/>
          </w:tcPr>
          <w:p>
            <w:pPr>
              <w:spacing w:after="0"/>
              <w:rPr>
                <w:sz w:val="24"/>
                <w:szCs w:val="24"/>
                <w:color w:val="auto"/>
              </w:rPr>
            </w:pPr>
          </w:p>
        </w:tc>
        <w:tc>
          <w:tcPr>
            <w:tcW w:w="294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338"/>
        </w:trPr>
        <w:tc>
          <w:tcPr>
            <w:tcW w:w="1480" w:type="dxa"/>
            <w:vAlign w:val="bottom"/>
          </w:tcPr>
          <w:p>
            <w:pPr>
              <w:ind w:left="340"/>
              <w:spacing w:after="0"/>
              <w:rPr>
                <w:sz w:val="20"/>
                <w:szCs w:val="20"/>
                <w:color w:val="auto"/>
              </w:rPr>
            </w:pPr>
            <w:r>
              <w:rPr>
                <w:rFonts w:ascii="Arial" w:cs="Arial" w:eastAsia="Arial" w:hAnsi="Arial"/>
                <w:sz w:val="18"/>
                <w:szCs w:val="18"/>
                <w:color w:val="auto"/>
              </w:rPr>
              <w:t>99.1</w:t>
            </w:r>
          </w:p>
        </w:tc>
        <w:tc>
          <w:tcPr>
            <w:tcW w:w="1260" w:type="dxa"/>
            <w:vAlign w:val="bottom"/>
          </w:tcPr>
          <w:p>
            <w:pPr>
              <w:spacing w:after="0"/>
              <w:rPr>
                <w:sz w:val="24"/>
                <w:szCs w:val="24"/>
                <w:color w:val="auto"/>
              </w:rPr>
            </w:pPr>
          </w:p>
        </w:tc>
        <w:tc>
          <w:tcPr>
            <w:tcW w:w="2940" w:type="dxa"/>
            <w:vAlign w:val="bottom"/>
            <w:tcBorders>
              <w:bottom w:val="single" w:sz="8" w:color="0000FF"/>
            </w:tcBorders>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Investor Update, dated July 11, 2018</w:t>
              </w:r>
            </w:hyperlink>
          </w:p>
        </w:tc>
      </w:tr>
    </w:tbl>
    <w:p>
      <w:pPr>
        <w:sectPr>
          <w:pgSz w:w="11900" w:h="16838" w:orient="portrait"/>
          <w:cols w:equalWidth="0" w:num="1">
            <w:col w:w="11260"/>
          </w:cols>
          <w:pgMar w:left="240" w:top="738" w:right="39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American Airlines Group Inc. has duly caused this report to be signed on its behalf by the undersigned hereunto duly authorized.</w:t>
      </w:r>
    </w:p>
    <w:p>
      <w:pPr>
        <w:spacing w:after="0" w:line="200" w:lineRule="exact"/>
        <w:rPr>
          <w:sz w:val="20"/>
          <w:szCs w:val="20"/>
          <w:color w:val="auto"/>
        </w:rPr>
      </w:pPr>
    </w:p>
    <w:p>
      <w:pPr>
        <w:spacing w:after="0" w:line="258"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396" w:lineRule="exact"/>
        <w:rPr>
          <w:sz w:val="20"/>
          <w:szCs w:val="20"/>
          <w:color w:val="auto"/>
        </w:rPr>
      </w:pPr>
    </w:p>
    <w:p>
      <w:pPr>
        <w:ind w:left="40"/>
        <w:spacing w:after="0"/>
        <w:tabs>
          <w:tab w:leader="none" w:pos="6420" w:val="left"/>
          <w:tab w:leader="none" w:pos="6980" w:val="left"/>
        </w:tabs>
        <w:rPr>
          <w:sz w:val="20"/>
          <w:szCs w:val="20"/>
          <w:color w:val="auto"/>
        </w:rPr>
      </w:pPr>
      <w:r>
        <w:rPr>
          <w:rFonts w:ascii="Arial" w:cs="Arial" w:eastAsia="Arial" w:hAnsi="Arial"/>
          <w:sz w:val="18"/>
          <w:szCs w:val="18"/>
          <w:color w:val="auto"/>
        </w:rPr>
        <w:t>Date: July 11,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14605</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4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Derek J. Kerr</w:t>
      </w:r>
    </w:p>
    <w:p>
      <w:pPr>
        <w:spacing w:after="0" w:line="45"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Executive Vice President and</w:t>
      </w:r>
    </w:p>
    <w:p>
      <w:pPr>
        <w:ind w:left="7000"/>
        <w:spacing w:after="0"/>
        <w:rPr>
          <w:sz w:val="20"/>
          <w:szCs w:val="20"/>
          <w:color w:val="auto"/>
        </w:rPr>
      </w:pPr>
      <w:r>
        <w:rPr>
          <w:rFonts w:ascii="Arial" w:cs="Arial" w:eastAsia="Arial" w:hAnsi="Arial"/>
          <w:sz w:val="18"/>
          <w:szCs w:val="18"/>
          <w:color w:val="auto"/>
        </w:rPr>
        <w:t>Chief Financial Officer</w:t>
      </w:r>
    </w:p>
    <w:p>
      <w:pPr>
        <w:spacing w:after="0" w:line="23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Pursuant to the requirements of the Securities Exchange Act of 1934, American Airlines, Inc. has duly caused this report to be signed on its behalf by the undersigned hereunto duly authorized.</w:t>
      </w:r>
    </w:p>
    <w:p>
      <w:pPr>
        <w:spacing w:after="0" w:line="200" w:lineRule="exact"/>
        <w:rPr>
          <w:sz w:val="20"/>
          <w:szCs w:val="20"/>
          <w:color w:val="auto"/>
        </w:rPr>
      </w:pPr>
    </w:p>
    <w:p>
      <w:pPr>
        <w:spacing w:after="0" w:line="258"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396" w:lineRule="exact"/>
        <w:rPr>
          <w:sz w:val="20"/>
          <w:szCs w:val="20"/>
          <w:color w:val="auto"/>
        </w:rPr>
      </w:pPr>
    </w:p>
    <w:p>
      <w:pPr>
        <w:ind w:left="40"/>
        <w:spacing w:after="0"/>
        <w:tabs>
          <w:tab w:leader="none" w:pos="6420" w:val="left"/>
          <w:tab w:leader="none" w:pos="6980" w:val="left"/>
        </w:tabs>
        <w:rPr>
          <w:sz w:val="20"/>
          <w:szCs w:val="20"/>
          <w:color w:val="auto"/>
        </w:rPr>
      </w:pPr>
      <w:r>
        <w:rPr>
          <w:rFonts w:ascii="Arial" w:cs="Arial" w:eastAsia="Arial" w:hAnsi="Arial"/>
          <w:sz w:val="18"/>
          <w:szCs w:val="18"/>
          <w:color w:val="auto"/>
        </w:rPr>
        <w:t>Date: July 11,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28898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4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Derek J. Kerr</w:t>
      </w:r>
    </w:p>
    <w:p>
      <w:pPr>
        <w:spacing w:after="0" w:line="45"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Executive Vice President and</w:t>
      </w:r>
    </w:p>
    <w:p>
      <w:pPr>
        <w:ind w:left="70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360"/>
          </w:cols>
          <w:pgMar w:left="240" w:top="576"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2198370</wp:posOffset>
            </wp:positionH>
            <wp:positionV relativeFrom="page">
              <wp:posOffset>88900</wp:posOffset>
            </wp:positionV>
            <wp:extent cx="3173095"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3173095" cy="480060"/>
                    </a:xfrm>
                    <a:prstGeom prst="rect">
                      <a:avLst/>
                    </a:prstGeom>
                    <a:noFill/>
                  </pic:spPr>
                </pic:pic>
              </a:graphicData>
            </a:graphic>
          </wp:anchor>
        </w:drawing>
        <w:t>Exhibit 99.1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Quarter Investor Relations Update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11,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54875"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30861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40" w:right="60"/>
        <w:spacing w:after="0" w:line="267" w:lineRule="auto"/>
        <w:rPr>
          <w:sz w:val="20"/>
          <w:szCs w:val="20"/>
          <w:color w:val="auto"/>
        </w:rPr>
      </w:pPr>
      <w:r>
        <w:rPr>
          <w:rFonts w:ascii="Arial" w:cs="Arial" w:eastAsia="Arial" w:hAnsi="Arial"/>
          <w:sz w:val="18"/>
          <w:szCs w:val="18"/>
          <w:i w:val="1"/>
          <w:iCs w:val="1"/>
          <w:color w:val="auto"/>
        </w:rPr>
        <w:t>This interim investor update has a new format designed to reflect developments from the most recent quarter. Guidance for the full year will be provided when the company reports quarterly results. Future investor updates will continue to follow this pattern</w:t>
      </w:r>
      <w:r>
        <w:rPr>
          <w:rFonts w:ascii="Arial" w:cs="Arial" w:eastAsia="Arial" w:hAnsi="Arial"/>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Overview</w:t>
      </w:r>
    </w:p>
    <w:p>
      <w:pPr>
        <w:spacing w:after="0" w:line="284" w:lineRule="exact"/>
        <w:rPr>
          <w:sz w:val="20"/>
          <w:szCs w:val="20"/>
          <w:color w:val="auto"/>
        </w:rPr>
      </w:pPr>
    </w:p>
    <w:p>
      <w:pPr>
        <w:ind w:left="700" w:right="500" w:hanging="226"/>
        <w:spacing w:after="0" w:line="259"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6"/>
          <w:szCs w:val="16"/>
          <w:b w:val="1"/>
          <w:bCs w:val="1"/>
          <w:color w:val="auto"/>
        </w:rPr>
        <w:t xml:space="preserve">PSA update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On June 14, 2018, PSA Airlines, one of the company’s wholly owned regional carriers, experienced an IT issue that impacted its</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and resulted in the cancellation of approximately 3,000 flights over the following week. The company estimates that this event negatively impacted pre-tax income by approximately $35 million.</w:t>
      </w:r>
    </w:p>
    <w:p>
      <w:pPr>
        <w:spacing w:after="0" w:line="135" w:lineRule="exact"/>
        <w:rPr>
          <w:rFonts w:ascii="Arial" w:cs="Arial" w:eastAsia="Arial" w:hAnsi="Arial"/>
          <w:sz w:val="18"/>
          <w:szCs w:val="18"/>
          <w:color w:val="auto"/>
        </w:rPr>
      </w:pPr>
    </w:p>
    <w:p>
      <w:pPr>
        <w:ind w:left="700" w:right="600" w:hanging="226"/>
        <w:spacing w:after="0" w:line="249"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6"/>
          <w:szCs w:val="16"/>
          <w:b w:val="1"/>
          <w:bCs w:val="1"/>
          <w:color w:val="auto"/>
        </w:rPr>
        <w:t xml:space="preserve">Special items </w:t>
      </w:r>
      <w:r>
        <w:rPr>
          <w:rFonts w:ascii="Arial" w:cs="Arial" w:eastAsia="Arial" w:hAnsi="Arial"/>
          <w:sz w:val="16"/>
          <w:szCs w:val="16"/>
          <w:color w:val="auto"/>
        </w:rPr>
        <w:t>- The company expects its total pre-tax net special items in the second quarter will approximate $215 million. Net special items</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principally include merger integration, fleet restructuring expenses and mark-to-market adjustments for the company’s investment in China Southern Airlines and bankruptcy obligations. Additionally, special items include a $26 million non-cash impairment charge to write-off the company’s Brazil route authority intangible asset as a result of ratification of the U.S.-Brazil open skies agreement.</w:t>
      </w:r>
    </w:p>
    <w:p>
      <w:pPr>
        <w:spacing w:after="0" w:line="144" w:lineRule="exact"/>
        <w:rPr>
          <w:rFonts w:ascii="Arial" w:cs="Arial" w:eastAsia="Arial" w:hAnsi="Arial"/>
          <w:sz w:val="18"/>
          <w:szCs w:val="18"/>
          <w:color w:val="auto"/>
        </w:rPr>
      </w:pPr>
    </w:p>
    <w:p>
      <w:pPr>
        <w:ind w:left="700" w:right="300" w:hanging="226"/>
        <w:spacing w:after="0" w:line="250"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 The company now expects its second quarter total revenue per available seat mile (TRASM) to be up approximately 1.0 to 3.0 percent</w:t>
      </w:r>
      <w:r>
        <w:rPr>
          <w:rFonts w:ascii="Arial" w:cs="Arial" w:eastAsia="Arial" w:hAnsi="Arial"/>
          <w:sz w:val="16"/>
          <w:szCs w:val="16"/>
          <w:b w:val="1"/>
          <w:bCs w:val="1"/>
          <w:color w:val="auto"/>
        </w:rPr>
        <w:t xml:space="preserve"> </w:t>
      </w:r>
      <w:r>
        <w:rPr>
          <w:rFonts w:ascii="Arial" w:cs="Arial" w:eastAsia="Arial" w:hAnsi="Arial"/>
          <w:sz w:val="16"/>
          <w:szCs w:val="16"/>
          <w:color w:val="auto"/>
        </w:rPr>
        <w:t>year-over-year, versus its previous guidance of up approximately 1.5 to 3.5 percent. This change from previous guidance is due to lower than anticipated domestic yields.</w:t>
      </w:r>
    </w:p>
    <w:p>
      <w:pPr>
        <w:spacing w:after="0" w:line="143" w:lineRule="exact"/>
        <w:rPr>
          <w:rFonts w:ascii="Arial" w:cs="Arial" w:eastAsia="Arial" w:hAnsi="Arial"/>
          <w:sz w:val="18"/>
          <w:szCs w:val="18"/>
          <w:color w:val="auto"/>
        </w:rPr>
      </w:pPr>
    </w:p>
    <w:p>
      <w:pPr>
        <w:jc w:val="both"/>
        <w:ind w:left="700" w:right="220" w:hanging="226"/>
        <w:spacing w:after="0" w:line="233"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6"/>
          <w:szCs w:val="16"/>
          <w:b w:val="1"/>
          <w:bCs w:val="1"/>
          <w:color w:val="auto"/>
        </w:rPr>
        <w:t xml:space="preserve">CASM </w:t>
      </w:r>
      <w:r>
        <w:rPr>
          <w:rFonts w:ascii="Arial" w:cs="Arial" w:eastAsia="Arial" w:hAnsi="Arial"/>
          <w:sz w:val="16"/>
          <w:szCs w:val="16"/>
          <w:color w:val="auto"/>
        </w:rPr>
        <w:t>- Second quarter consolidated CASM excluding fuel and special items is now expected to be up approximately 2.5 percent</w:t>
      </w:r>
      <w:r>
        <w:rPr>
          <w:rFonts w:ascii="Arial" w:cs="Arial" w:eastAsia="Arial" w:hAnsi="Arial"/>
          <w:sz w:val="21"/>
          <w:szCs w:val="21"/>
          <w:color w:val="auto"/>
          <w:vertAlign w:val="superscript"/>
        </w:rPr>
        <w:t>1</w:t>
      </w:r>
      <w:r>
        <w:rPr>
          <w:rFonts w:ascii="Arial" w:cs="Arial" w:eastAsia="Arial" w:hAnsi="Arial"/>
          <w:sz w:val="16"/>
          <w:szCs w:val="16"/>
          <w:b w:val="1"/>
          <w:bCs w:val="1"/>
          <w:color w:val="auto"/>
        </w:rPr>
        <w:t xml:space="preserve"> </w:t>
      </w:r>
      <w:r>
        <w:rPr>
          <w:rFonts w:ascii="Arial" w:cs="Arial" w:eastAsia="Arial" w:hAnsi="Arial"/>
          <w:sz w:val="16"/>
          <w:szCs w:val="16"/>
          <w:color w:val="auto"/>
        </w:rPr>
        <w:t>year-over-year,</w:t>
      </w:r>
      <w:r>
        <w:rPr>
          <w:rFonts w:ascii="Arial" w:cs="Arial" w:eastAsia="Arial" w:hAnsi="Arial"/>
          <w:sz w:val="16"/>
          <w:szCs w:val="16"/>
          <w:b w:val="1"/>
          <w:bCs w:val="1"/>
          <w:color w:val="auto"/>
        </w:rPr>
        <w:t xml:space="preserve"> </w:t>
      </w:r>
      <w:r>
        <w:rPr>
          <w:rFonts w:ascii="Arial" w:cs="Arial" w:eastAsia="Arial" w:hAnsi="Arial"/>
          <w:sz w:val="16"/>
          <w:szCs w:val="16"/>
          <w:color w:val="auto"/>
        </w:rPr>
        <w:t>versus previous guidance of up approximately 3.5 percent. The increase in CASM excluding fuel and special items is lower than previous guidance due primarily to lower than anticipated maintenance expense and the application of higher airport rent settlement credits.</w:t>
      </w:r>
    </w:p>
    <w:p>
      <w:pPr>
        <w:spacing w:after="0" w:line="151" w:lineRule="exact"/>
        <w:rPr>
          <w:rFonts w:ascii="Arial" w:cs="Arial" w:eastAsia="Arial" w:hAnsi="Arial"/>
          <w:sz w:val="18"/>
          <w:szCs w:val="18"/>
          <w:color w:val="auto"/>
        </w:rPr>
      </w:pPr>
    </w:p>
    <w:p>
      <w:pPr>
        <w:ind w:left="700" w:right="860" w:hanging="226"/>
        <w:spacing w:after="0" w:line="256"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6"/>
          <w:szCs w:val="16"/>
          <w:b w:val="1"/>
          <w:bCs w:val="1"/>
          <w:color w:val="auto"/>
        </w:rPr>
        <w:t xml:space="preserve">Liquidity </w:t>
      </w:r>
      <w:r>
        <w:rPr>
          <w:rFonts w:ascii="Arial" w:cs="Arial" w:eastAsia="Arial" w:hAnsi="Arial"/>
          <w:sz w:val="16"/>
          <w:szCs w:val="16"/>
          <w:color w:val="auto"/>
        </w:rPr>
        <w:t>- As of June 30, 2018, the company had approximately $7.2 billion in total available liquidity, comprised of unrestricted cash and</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of $4.7 billion and $2.5 billion in undrawn revolver capacity. The company also had a restricted cash position of $183 million.</w:t>
      </w:r>
    </w:p>
    <w:p>
      <w:pPr>
        <w:spacing w:after="0" w:line="136" w:lineRule="exact"/>
        <w:rPr>
          <w:rFonts w:ascii="Arial" w:cs="Arial" w:eastAsia="Arial" w:hAnsi="Arial"/>
          <w:sz w:val="18"/>
          <w:szCs w:val="18"/>
          <w:color w:val="auto"/>
        </w:rPr>
      </w:pPr>
    </w:p>
    <w:p>
      <w:pPr>
        <w:ind w:left="700" w:right="240" w:hanging="226"/>
        <w:spacing w:after="0" w:line="249"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6"/>
          <w:szCs w:val="16"/>
          <w:b w:val="1"/>
          <w:bCs w:val="1"/>
          <w:color w:val="auto"/>
        </w:rPr>
        <w:t xml:space="preserve">Shares outstanding </w:t>
      </w:r>
      <w:r>
        <w:rPr>
          <w:rFonts w:ascii="Arial" w:cs="Arial" w:eastAsia="Arial" w:hAnsi="Arial"/>
          <w:sz w:val="16"/>
          <w:szCs w:val="16"/>
          <w:color w:val="auto"/>
        </w:rPr>
        <w:t>- In the second quarter of 2018, the company repurchased 8.2 million shares at a cost of $350 million. Including share</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repurchases, shares withheld to cover taxes associated with employee equity awards and share distributions, and the cash extinguishment of convertible debt, the company’s share count has dropped 39 percent from 756.1 million shares at merger close to 460.5 million shares outstanding on June 30, 2018. The fully diluted weighted average sharecount for the second quarter was approximately 465 million.</w:t>
      </w:r>
    </w:p>
    <w:p>
      <w:pPr>
        <w:spacing w:after="0" w:line="144" w:lineRule="exact"/>
        <w:rPr>
          <w:rFonts w:ascii="Arial" w:cs="Arial" w:eastAsia="Arial" w:hAnsi="Arial"/>
          <w:sz w:val="18"/>
          <w:szCs w:val="18"/>
          <w:color w:val="auto"/>
        </w:rPr>
      </w:pPr>
    </w:p>
    <w:p>
      <w:pPr>
        <w:ind w:left="700" w:right="560" w:hanging="226"/>
        <w:spacing w:after="0" w:line="256"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6"/>
          <w:szCs w:val="16"/>
          <w:b w:val="1"/>
          <w:bCs w:val="1"/>
          <w:color w:val="auto"/>
        </w:rPr>
        <w:t xml:space="preserve">Capital expenditures </w:t>
      </w:r>
      <w:r>
        <w:rPr>
          <w:rFonts w:ascii="Arial" w:cs="Arial" w:eastAsia="Arial" w:hAnsi="Arial"/>
          <w:sz w:val="16"/>
          <w:szCs w:val="16"/>
          <w:color w:val="auto"/>
        </w:rPr>
        <w:t>- The increase in second quarter gross aircraft capex and net PDPs from previous guidance is due primarily to a shift in</w:t>
      </w:r>
      <w:r>
        <w:rPr>
          <w:rFonts w:ascii="Arial" w:cs="Arial" w:eastAsia="Arial" w:hAnsi="Arial"/>
          <w:sz w:val="16"/>
          <w:szCs w:val="16"/>
          <w:b w:val="1"/>
          <w:bCs w:val="1"/>
          <w:color w:val="auto"/>
        </w:rPr>
        <w:t xml:space="preserve"> </w:t>
      </w:r>
      <w:r>
        <w:rPr>
          <w:rFonts w:ascii="Arial" w:cs="Arial" w:eastAsia="Arial" w:hAnsi="Arial"/>
          <w:sz w:val="16"/>
          <w:szCs w:val="16"/>
          <w:color w:val="auto"/>
        </w:rPr>
        <w:t>timing of new aircraft deliveries, as well as higher PDPs from the regional aircraft transaction announced earlier this year.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Notes:</w:t>
      </w:r>
    </w:p>
    <w:p>
      <w:pPr>
        <w:spacing w:after="0" w:line="171" w:lineRule="exact"/>
        <w:rPr>
          <w:sz w:val="20"/>
          <w:szCs w:val="20"/>
          <w:color w:val="auto"/>
        </w:rPr>
      </w:pPr>
    </w:p>
    <w:p>
      <w:pPr>
        <w:ind w:left="700" w:right="1300" w:hanging="665"/>
        <w:spacing w:after="0" w:line="281" w:lineRule="auto"/>
        <w:tabs>
          <w:tab w:leader="none" w:pos="70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For a reconciliation of special items (including the company’s estimates for the second quarter), please see the GAAP to non-GAAP reconciliation at the end of this document.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Please refer to the footnotes and the forward looking statements page of this document for additional information</w:t>
      </w:r>
    </w:p>
    <w:p>
      <w:pPr>
        <w:sectPr>
          <w:pgSz w:w="11900" w:h="16838" w:orient="portrait"/>
          <w:cols w:equalWidth="0" w:num="1">
            <w:col w:w="11420"/>
          </w:cols>
          <w:pgMar w:left="240" w:top="87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2198370</wp:posOffset>
            </wp:positionH>
            <wp:positionV relativeFrom="page">
              <wp:posOffset>88900</wp:posOffset>
            </wp:positionV>
            <wp:extent cx="3164205"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3164205" cy="480060"/>
                    </a:xfrm>
                    <a:prstGeom prst="rect">
                      <a:avLst/>
                    </a:prstGeom>
                    <a:noFill/>
                  </pic:spPr>
                </pic:pic>
              </a:graphicData>
            </a:graphic>
          </wp:anchor>
        </w:drawing>
        <w:t>Second Quarter Investor Relations Update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11, 2018</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160" w:type="dxa"/>
            <w:vAlign w:val="bottom"/>
            <w:gridSpan w:val="3"/>
          </w:tcPr>
          <w:p>
            <w:pPr>
              <w:ind w:left="1600"/>
              <w:spacing w:after="0"/>
              <w:rPr>
                <w:sz w:val="20"/>
                <w:szCs w:val="20"/>
                <w:color w:val="auto"/>
              </w:rPr>
            </w:pPr>
            <w:r>
              <w:rPr>
                <w:rFonts w:ascii="Arial" w:cs="Arial" w:eastAsia="Arial" w:hAnsi="Arial"/>
                <w:sz w:val="18"/>
                <w:szCs w:val="18"/>
                <w:b w:val="1"/>
                <w:bCs w:val="1"/>
                <w:color w:val="auto"/>
              </w:rPr>
              <w:t>2nd Quarter 2018</w:t>
            </w:r>
          </w:p>
        </w:tc>
        <w:tc>
          <w:tcPr>
            <w:tcW w:w="152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160" w:type="dxa"/>
            <w:vAlign w:val="bottom"/>
            <w:gridSpan w:val="3"/>
          </w:tcPr>
          <w:p>
            <w:pPr>
              <w:jc w:val="right"/>
              <w:ind w:right="900"/>
              <w:spacing w:after="0"/>
              <w:rPr>
                <w:sz w:val="20"/>
                <w:szCs w:val="20"/>
                <w:color w:val="auto"/>
              </w:rPr>
            </w:pPr>
            <w:r>
              <w:rPr>
                <w:rFonts w:ascii="Arial" w:cs="Arial" w:eastAsia="Arial" w:hAnsi="Arial"/>
                <w:sz w:val="18"/>
                <w:szCs w:val="18"/>
                <w:color w:val="auto"/>
              </w:rPr>
              <w:t>Previous Guidance</w:t>
            </w:r>
          </w:p>
        </w:tc>
        <w:tc>
          <w:tcPr>
            <w:tcW w:w="1520" w:type="dxa"/>
            <w:vAlign w:val="bottom"/>
          </w:tcPr>
          <w:p>
            <w:pPr>
              <w:jc w:val="right"/>
              <w:spacing w:after="0"/>
              <w:rPr>
                <w:sz w:val="20"/>
                <w:szCs w:val="20"/>
                <w:color w:val="auto"/>
              </w:rPr>
            </w:pPr>
            <w:r>
              <w:rPr>
                <w:rFonts w:ascii="Arial" w:cs="Arial" w:eastAsia="Arial" w:hAnsi="Arial"/>
                <w:sz w:val="18"/>
                <w:szCs w:val="18"/>
                <w:color w:val="auto"/>
              </w:rPr>
              <w:t>Current Guidance</w:t>
            </w:r>
          </w:p>
        </w:tc>
      </w:tr>
      <w:tr>
        <w:trPr>
          <w:trHeight w:val="277"/>
        </w:trPr>
        <w:tc>
          <w:tcPr>
            <w:tcW w:w="40" w:type="dxa"/>
            <w:vAlign w:val="bottom"/>
            <w:tcBorders>
              <w:bottom w:val="single" w:sz="8" w:color="CCEEFF"/>
            </w:tcBorders>
          </w:tcPr>
          <w:p>
            <w:pPr>
              <w:spacing w:after="0"/>
              <w:rPr>
                <w:sz w:val="24"/>
                <w:szCs w:val="24"/>
                <w:color w:val="auto"/>
              </w:rPr>
            </w:pPr>
          </w:p>
        </w:tc>
        <w:tc>
          <w:tcPr>
            <w:tcW w:w="200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3580" w:type="dxa"/>
            <w:vAlign w:val="bottom"/>
            <w:tcBorders>
              <w:bottom w:val="single" w:sz="8" w:color="CCEEFF"/>
            </w:tcBorders>
          </w:tcPr>
          <w:p>
            <w:pPr>
              <w:spacing w:after="0"/>
              <w:rPr>
                <w:sz w:val="24"/>
                <w:szCs w:val="24"/>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4/26/2018</w:t>
            </w:r>
          </w:p>
        </w:tc>
        <w:tc>
          <w:tcPr>
            <w:tcW w:w="12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7/11/2018</w:t>
            </w:r>
          </w:p>
        </w:tc>
      </w:tr>
      <w:tr>
        <w:trPr>
          <w:trHeight w:val="216"/>
        </w:trPr>
        <w:tc>
          <w:tcPr>
            <w:tcW w:w="6740" w:type="dxa"/>
            <w:vAlign w:val="bottom"/>
            <w:gridSpan w:val="4"/>
            <w:shd w:val="clear" w:color="auto" w:fill="CCEEFF"/>
          </w:tcPr>
          <w:p>
            <w:pPr>
              <w:ind w:left="40"/>
              <w:spacing w:after="0" w:line="216" w:lineRule="exact"/>
              <w:rPr>
                <w:sz w:val="20"/>
                <w:szCs w:val="20"/>
                <w:color w:val="auto"/>
              </w:rPr>
            </w:pPr>
            <w:r>
              <w:rPr>
                <w:rFonts w:ascii="Arial" w:cs="Arial" w:eastAsia="Arial" w:hAnsi="Arial"/>
                <w:sz w:val="18"/>
                <w:szCs w:val="18"/>
                <w:b w:val="1"/>
                <w:bCs w:val="1"/>
                <w:color w:val="auto"/>
              </w:rPr>
              <w:t>Consolidated Guidance</w:t>
            </w:r>
            <w:r>
              <w:rPr>
                <w:rFonts w:ascii="Arial" w:cs="Arial" w:eastAsia="Arial" w:hAnsi="Arial"/>
                <w:sz w:val="21"/>
                <w:szCs w:val="21"/>
                <w:b w:val="1"/>
                <w:bCs w:val="1"/>
                <w:color w:val="auto"/>
                <w:vertAlign w:val="superscript"/>
              </w:rPr>
              <w:t>1</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2000" w:type="dxa"/>
            <w:vAlign w:val="bottom"/>
            <w:tcBorders>
              <w:top w:val="single" w:sz="8" w:color="auto"/>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58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r>
      <w:tr>
        <w:trPr>
          <w:trHeight w:val="260"/>
        </w:trPr>
        <w:tc>
          <w:tcPr>
            <w:tcW w:w="40" w:type="dxa"/>
            <w:vAlign w:val="bottom"/>
          </w:tcPr>
          <w:p>
            <w:pPr>
              <w:spacing w:after="0"/>
              <w:rPr>
                <w:sz w:val="22"/>
                <w:szCs w:val="22"/>
                <w:color w:val="auto"/>
              </w:rPr>
            </w:pPr>
          </w:p>
        </w:tc>
        <w:tc>
          <w:tcPr>
            <w:tcW w:w="6700" w:type="dxa"/>
            <w:vAlign w:val="bottom"/>
            <w:gridSpan w:val="3"/>
          </w:tcPr>
          <w:p>
            <w:pPr>
              <w:ind w:left="160"/>
              <w:spacing w:after="0"/>
              <w:rPr>
                <w:sz w:val="20"/>
                <w:szCs w:val="20"/>
                <w:color w:val="auto"/>
              </w:rPr>
            </w:pPr>
            <w:r>
              <w:rPr>
                <w:rFonts w:ascii="Arial" w:cs="Arial" w:eastAsia="Arial" w:hAnsi="Arial"/>
                <w:sz w:val="16"/>
                <w:szCs w:val="16"/>
                <w:color w:val="auto"/>
              </w:rPr>
              <w:t>Available Seat Miles (ASMs) (bil)</w:t>
            </w:r>
          </w:p>
        </w:tc>
        <w:tc>
          <w:tcPr>
            <w:tcW w:w="2280" w:type="dxa"/>
            <w:vAlign w:val="bottom"/>
          </w:tcPr>
          <w:p>
            <w:pPr>
              <w:jc w:val="right"/>
              <w:spacing w:after="0"/>
              <w:rPr>
                <w:sz w:val="20"/>
                <w:szCs w:val="20"/>
                <w:color w:val="auto"/>
              </w:rPr>
            </w:pPr>
            <w:r>
              <w:rPr>
                <w:rFonts w:ascii="Arial" w:cs="Arial" w:eastAsia="Arial" w:hAnsi="Arial"/>
                <w:sz w:val="16"/>
                <w:szCs w:val="16"/>
                <w:color w:val="auto"/>
              </w:rPr>
              <w:t>~73.1</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~72.9</w:t>
            </w:r>
          </w:p>
        </w:tc>
      </w:tr>
      <w:tr>
        <w:trPr>
          <w:trHeight w:val="280"/>
        </w:trPr>
        <w:tc>
          <w:tcPr>
            <w:tcW w:w="40" w:type="dxa"/>
            <w:vAlign w:val="bottom"/>
            <w:shd w:val="clear" w:color="auto" w:fill="CCEEFF"/>
          </w:tcPr>
          <w:p>
            <w:pPr>
              <w:spacing w:after="0"/>
              <w:rPr>
                <w:sz w:val="24"/>
                <w:szCs w:val="24"/>
                <w:color w:val="auto"/>
              </w:rPr>
            </w:pPr>
          </w:p>
        </w:tc>
        <w:tc>
          <w:tcPr>
            <w:tcW w:w="67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Cargo Revenues ($ mil)</w:t>
            </w:r>
            <w:r>
              <w:rPr>
                <w:rFonts w:ascii="Arial" w:cs="Arial" w:eastAsia="Arial" w:hAnsi="Arial"/>
                <w:sz w:val="21"/>
                <w:szCs w:val="21"/>
                <w:color w:val="auto"/>
                <w:vertAlign w:val="superscript"/>
              </w:rPr>
              <w:t>2</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r>
      <w:tr>
        <w:trPr>
          <w:trHeight w:val="270"/>
        </w:trPr>
        <w:tc>
          <w:tcPr>
            <w:tcW w:w="40" w:type="dxa"/>
            <w:vAlign w:val="bottom"/>
          </w:tcPr>
          <w:p>
            <w:pPr>
              <w:spacing w:after="0"/>
              <w:rPr>
                <w:sz w:val="23"/>
                <w:szCs w:val="23"/>
                <w:color w:val="auto"/>
              </w:rPr>
            </w:pPr>
          </w:p>
        </w:tc>
        <w:tc>
          <w:tcPr>
            <w:tcW w:w="6700" w:type="dxa"/>
            <w:vAlign w:val="bottom"/>
            <w:gridSpan w:val="3"/>
          </w:tcPr>
          <w:p>
            <w:pPr>
              <w:ind w:left="160"/>
              <w:spacing w:after="0"/>
              <w:rPr>
                <w:sz w:val="20"/>
                <w:szCs w:val="20"/>
                <w:color w:val="auto"/>
              </w:rPr>
            </w:pPr>
            <w:r>
              <w:rPr>
                <w:rFonts w:ascii="Arial" w:cs="Arial" w:eastAsia="Arial" w:hAnsi="Arial"/>
                <w:sz w:val="16"/>
                <w:szCs w:val="16"/>
                <w:color w:val="auto"/>
              </w:rPr>
              <w:t>Other Revenues ($ mil)</w:t>
            </w:r>
            <w:r>
              <w:rPr>
                <w:rFonts w:ascii="Arial" w:cs="Arial" w:eastAsia="Arial" w:hAnsi="Arial"/>
                <w:sz w:val="21"/>
                <w:szCs w:val="21"/>
                <w:color w:val="auto"/>
                <w:vertAlign w:val="superscript"/>
              </w:rPr>
              <w:t>2</w:t>
            </w:r>
          </w:p>
        </w:tc>
        <w:tc>
          <w:tcPr>
            <w:tcW w:w="2280" w:type="dxa"/>
            <w:vAlign w:val="bottom"/>
          </w:tcPr>
          <w:p>
            <w:pPr>
              <w:jc w:val="right"/>
              <w:spacing w:after="0"/>
              <w:rPr>
                <w:sz w:val="20"/>
                <w:szCs w:val="20"/>
                <w:color w:val="auto"/>
              </w:rPr>
            </w:pPr>
            <w:r>
              <w:rPr>
                <w:rFonts w:ascii="Arial" w:cs="Arial" w:eastAsia="Arial" w:hAnsi="Arial"/>
                <w:sz w:val="16"/>
                <w:szCs w:val="16"/>
                <w:color w:val="auto"/>
              </w:rPr>
              <w:t>~670</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~695</w:t>
            </w:r>
          </w:p>
        </w:tc>
      </w:tr>
      <w:tr>
        <w:trPr>
          <w:trHeight w:val="270"/>
        </w:trPr>
        <w:tc>
          <w:tcPr>
            <w:tcW w:w="40" w:type="dxa"/>
            <w:vAlign w:val="bottom"/>
            <w:shd w:val="clear" w:color="auto" w:fill="CCEEFF"/>
          </w:tcPr>
          <w:p>
            <w:pPr>
              <w:spacing w:after="0"/>
              <w:rPr>
                <w:sz w:val="23"/>
                <w:szCs w:val="23"/>
                <w:color w:val="auto"/>
              </w:rPr>
            </w:pPr>
          </w:p>
        </w:tc>
        <w:tc>
          <w:tcPr>
            <w:tcW w:w="67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Total Revenue per ASM (TRASM)</w:t>
            </w:r>
          </w:p>
        </w:tc>
        <w:tc>
          <w:tcPr>
            <w:tcW w:w="3160" w:type="dxa"/>
            <w:vAlign w:val="bottom"/>
            <w:gridSpan w:val="3"/>
            <w:shd w:val="clear" w:color="auto" w:fill="CCEEFF"/>
          </w:tcPr>
          <w:p>
            <w:pPr>
              <w:jc w:val="right"/>
              <w:ind w:right="900"/>
              <w:spacing w:after="0"/>
              <w:rPr>
                <w:sz w:val="20"/>
                <w:szCs w:val="20"/>
                <w:color w:val="auto"/>
              </w:rPr>
            </w:pPr>
            <w:r>
              <w:rPr>
                <w:rFonts w:ascii="Arial" w:cs="Arial" w:eastAsia="Arial" w:hAnsi="Arial"/>
                <w:sz w:val="16"/>
                <w:szCs w:val="16"/>
                <w:color w:val="auto"/>
              </w:rPr>
              <w:t>+1.5% to +3.5%</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to +3%</w:t>
            </w:r>
          </w:p>
        </w:tc>
      </w:tr>
      <w:tr>
        <w:trPr>
          <w:trHeight w:val="260"/>
        </w:trPr>
        <w:tc>
          <w:tcPr>
            <w:tcW w:w="40" w:type="dxa"/>
            <w:vAlign w:val="bottom"/>
          </w:tcPr>
          <w:p>
            <w:pPr>
              <w:spacing w:after="0"/>
              <w:rPr>
                <w:sz w:val="22"/>
                <w:szCs w:val="22"/>
                <w:color w:val="auto"/>
              </w:rPr>
            </w:pPr>
          </w:p>
        </w:tc>
        <w:tc>
          <w:tcPr>
            <w:tcW w:w="6700" w:type="dxa"/>
            <w:vAlign w:val="bottom"/>
            <w:gridSpan w:val="3"/>
          </w:tcPr>
          <w:p>
            <w:pPr>
              <w:ind w:left="160"/>
              <w:spacing w:after="0"/>
              <w:rPr>
                <w:sz w:val="20"/>
                <w:szCs w:val="20"/>
                <w:color w:val="auto"/>
              </w:rPr>
            </w:pPr>
            <w:r>
              <w:rPr>
                <w:rFonts w:ascii="Arial" w:cs="Arial" w:eastAsia="Arial" w:hAnsi="Arial"/>
                <w:sz w:val="16"/>
                <w:szCs w:val="16"/>
                <w:color w:val="auto"/>
              </w:rPr>
              <w:t>Average Fuel Price (incl. taxes) ($/gal) (as of 7/06/2018)</w:t>
            </w:r>
          </w:p>
        </w:tc>
        <w:tc>
          <w:tcPr>
            <w:tcW w:w="3160" w:type="dxa"/>
            <w:vAlign w:val="bottom"/>
            <w:gridSpan w:val="3"/>
          </w:tcPr>
          <w:p>
            <w:pPr>
              <w:jc w:val="right"/>
              <w:ind w:right="900"/>
              <w:spacing w:after="0"/>
              <w:rPr>
                <w:sz w:val="20"/>
                <w:szCs w:val="20"/>
                <w:color w:val="auto"/>
              </w:rPr>
            </w:pPr>
            <w:r>
              <w:rPr>
                <w:rFonts w:ascii="Arial" w:cs="Arial" w:eastAsia="Arial" w:hAnsi="Arial"/>
                <w:sz w:val="16"/>
                <w:szCs w:val="16"/>
                <w:color w:val="auto"/>
              </w:rPr>
              <w:t>2.18 to 2.23</w:t>
            </w:r>
          </w:p>
        </w:tc>
        <w:tc>
          <w:tcPr>
            <w:tcW w:w="1520" w:type="dxa"/>
            <w:vAlign w:val="bottom"/>
          </w:tcPr>
          <w:p>
            <w:pPr>
              <w:jc w:val="right"/>
              <w:spacing w:after="0"/>
              <w:rPr>
                <w:sz w:val="20"/>
                <w:szCs w:val="20"/>
                <w:color w:val="auto"/>
              </w:rPr>
            </w:pPr>
            <w:r>
              <w:rPr>
                <w:rFonts w:ascii="Arial" w:cs="Arial" w:eastAsia="Arial" w:hAnsi="Arial"/>
                <w:sz w:val="16"/>
                <w:szCs w:val="16"/>
                <w:color w:val="auto"/>
              </w:rPr>
              <w:t>2.24 to 2.29</w:t>
            </w:r>
          </w:p>
        </w:tc>
      </w:tr>
      <w:tr>
        <w:trPr>
          <w:trHeight w:val="280"/>
        </w:trPr>
        <w:tc>
          <w:tcPr>
            <w:tcW w:w="40" w:type="dxa"/>
            <w:vAlign w:val="bottom"/>
            <w:shd w:val="clear" w:color="auto" w:fill="CCEEFF"/>
          </w:tcPr>
          <w:p>
            <w:pPr>
              <w:spacing w:after="0"/>
              <w:rPr>
                <w:sz w:val="24"/>
                <w:szCs w:val="24"/>
                <w:color w:val="auto"/>
              </w:rPr>
            </w:pPr>
          </w:p>
        </w:tc>
        <w:tc>
          <w:tcPr>
            <w:tcW w:w="67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Fuel Gallons Consumed (mil)</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w:t>
            </w:r>
          </w:p>
        </w:tc>
      </w:tr>
      <w:tr>
        <w:trPr>
          <w:trHeight w:val="270"/>
        </w:trPr>
        <w:tc>
          <w:tcPr>
            <w:tcW w:w="40" w:type="dxa"/>
            <w:vAlign w:val="bottom"/>
          </w:tcPr>
          <w:p>
            <w:pPr>
              <w:spacing w:after="0"/>
              <w:rPr>
                <w:sz w:val="23"/>
                <w:szCs w:val="23"/>
                <w:color w:val="auto"/>
              </w:rPr>
            </w:pPr>
          </w:p>
        </w:tc>
        <w:tc>
          <w:tcPr>
            <w:tcW w:w="6700" w:type="dxa"/>
            <w:vAlign w:val="bottom"/>
            <w:gridSpan w:val="3"/>
          </w:tcPr>
          <w:p>
            <w:pPr>
              <w:ind w:left="160"/>
              <w:spacing w:after="0"/>
              <w:rPr>
                <w:sz w:val="20"/>
                <w:szCs w:val="20"/>
                <w:color w:val="auto"/>
              </w:rPr>
            </w:pPr>
            <w:r>
              <w:rPr>
                <w:rFonts w:ascii="Arial" w:cs="Arial" w:eastAsia="Arial" w:hAnsi="Arial"/>
                <w:sz w:val="16"/>
                <w:szCs w:val="16"/>
                <w:color w:val="auto"/>
              </w:rPr>
              <w:t>CASM ex fuel and special items (YOY % change)</w:t>
            </w:r>
            <w:r>
              <w:rPr>
                <w:rFonts w:ascii="Arial" w:cs="Arial" w:eastAsia="Arial" w:hAnsi="Arial"/>
                <w:sz w:val="21"/>
                <w:szCs w:val="21"/>
                <w:color w:val="auto"/>
                <w:vertAlign w:val="superscript"/>
              </w:rPr>
              <w:t>3</w:t>
            </w:r>
          </w:p>
        </w:tc>
        <w:tc>
          <w:tcPr>
            <w:tcW w:w="3160" w:type="dxa"/>
            <w:vAlign w:val="bottom"/>
            <w:gridSpan w:val="3"/>
          </w:tcPr>
          <w:p>
            <w:pPr>
              <w:jc w:val="right"/>
              <w:ind w:right="900"/>
              <w:spacing w:after="0"/>
              <w:rPr>
                <w:sz w:val="20"/>
                <w:szCs w:val="20"/>
                <w:color w:val="auto"/>
              </w:rPr>
            </w:pPr>
            <w:r>
              <w:rPr>
                <w:rFonts w:ascii="Arial" w:cs="Arial" w:eastAsia="Arial" w:hAnsi="Arial"/>
                <w:sz w:val="16"/>
                <w:szCs w:val="16"/>
                <w:color w:val="auto"/>
              </w:rPr>
              <w:t>+2.5% to +4.5%</w:t>
            </w:r>
          </w:p>
        </w:tc>
        <w:tc>
          <w:tcPr>
            <w:tcW w:w="1520" w:type="dxa"/>
            <w:vAlign w:val="bottom"/>
          </w:tcPr>
          <w:p>
            <w:pPr>
              <w:jc w:val="right"/>
              <w:spacing w:after="0"/>
              <w:rPr>
                <w:sz w:val="20"/>
                <w:szCs w:val="20"/>
                <w:color w:val="auto"/>
              </w:rPr>
            </w:pPr>
            <w:r>
              <w:rPr>
                <w:rFonts w:ascii="Arial" w:cs="Arial" w:eastAsia="Arial" w:hAnsi="Arial"/>
                <w:sz w:val="16"/>
                <w:szCs w:val="16"/>
                <w:color w:val="auto"/>
              </w:rPr>
              <w:t>+1.5% to +3.5%</w:t>
            </w:r>
          </w:p>
        </w:tc>
      </w:tr>
      <w:tr>
        <w:trPr>
          <w:trHeight w:val="270"/>
        </w:trPr>
        <w:tc>
          <w:tcPr>
            <w:tcW w:w="40" w:type="dxa"/>
            <w:vAlign w:val="bottom"/>
            <w:shd w:val="clear" w:color="auto" w:fill="CCEEFF"/>
          </w:tcPr>
          <w:p>
            <w:pPr>
              <w:spacing w:after="0"/>
              <w:rPr>
                <w:sz w:val="23"/>
                <w:szCs w:val="23"/>
                <w:color w:val="auto"/>
              </w:rPr>
            </w:pPr>
          </w:p>
        </w:tc>
        <w:tc>
          <w:tcPr>
            <w:tcW w:w="67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Interest Income ($ mil)</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60"/>
        </w:trPr>
        <w:tc>
          <w:tcPr>
            <w:tcW w:w="40" w:type="dxa"/>
            <w:vAlign w:val="bottom"/>
          </w:tcPr>
          <w:p>
            <w:pPr>
              <w:spacing w:after="0"/>
              <w:rPr>
                <w:sz w:val="22"/>
                <w:szCs w:val="22"/>
                <w:color w:val="auto"/>
              </w:rPr>
            </w:pPr>
          </w:p>
        </w:tc>
        <w:tc>
          <w:tcPr>
            <w:tcW w:w="6700" w:type="dxa"/>
            <w:vAlign w:val="bottom"/>
            <w:gridSpan w:val="3"/>
          </w:tcPr>
          <w:p>
            <w:pPr>
              <w:ind w:left="160"/>
              <w:spacing w:after="0"/>
              <w:rPr>
                <w:sz w:val="20"/>
                <w:szCs w:val="20"/>
                <w:color w:val="auto"/>
              </w:rPr>
            </w:pPr>
            <w:r>
              <w:rPr>
                <w:rFonts w:ascii="Arial" w:cs="Arial" w:eastAsia="Arial" w:hAnsi="Arial"/>
                <w:sz w:val="16"/>
                <w:szCs w:val="16"/>
                <w:color w:val="auto"/>
              </w:rPr>
              <w:t>Interest Expense ($ mil)</w:t>
            </w:r>
          </w:p>
        </w:tc>
        <w:tc>
          <w:tcPr>
            <w:tcW w:w="2280" w:type="dxa"/>
            <w:vAlign w:val="bottom"/>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~266</w:t>
            </w:r>
          </w:p>
        </w:tc>
      </w:tr>
      <w:tr>
        <w:trPr>
          <w:trHeight w:val="280"/>
        </w:trPr>
        <w:tc>
          <w:tcPr>
            <w:tcW w:w="40" w:type="dxa"/>
            <w:vAlign w:val="bottom"/>
            <w:shd w:val="clear" w:color="auto" w:fill="CCEEFF"/>
          </w:tcPr>
          <w:p>
            <w:pPr>
              <w:spacing w:after="0"/>
              <w:rPr>
                <w:sz w:val="24"/>
                <w:szCs w:val="24"/>
                <w:color w:val="auto"/>
              </w:rPr>
            </w:pPr>
          </w:p>
        </w:tc>
        <w:tc>
          <w:tcPr>
            <w:tcW w:w="67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Other Non-Operating (Income)/Expense ($ mil)</w:t>
            </w:r>
            <w:r>
              <w:rPr>
                <w:rFonts w:ascii="Arial" w:cs="Arial" w:eastAsia="Arial" w:hAnsi="Arial"/>
                <w:sz w:val="21"/>
                <w:szCs w:val="21"/>
                <w:color w:val="auto"/>
                <w:vertAlign w:val="superscript"/>
              </w:rPr>
              <w:t>4</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60"/>
        </w:trPr>
        <w:tc>
          <w:tcPr>
            <w:tcW w:w="40" w:type="dxa"/>
            <w:vAlign w:val="bottom"/>
          </w:tcPr>
          <w:p>
            <w:pPr>
              <w:spacing w:after="0"/>
              <w:rPr>
                <w:sz w:val="22"/>
                <w:szCs w:val="22"/>
                <w:color w:val="auto"/>
              </w:rPr>
            </w:pPr>
          </w:p>
        </w:tc>
        <w:tc>
          <w:tcPr>
            <w:tcW w:w="6700" w:type="dxa"/>
            <w:vAlign w:val="bottom"/>
            <w:gridSpan w:val="3"/>
          </w:tcPr>
          <w:p>
            <w:pPr>
              <w:ind w:left="160"/>
              <w:spacing w:after="0"/>
              <w:rPr>
                <w:sz w:val="20"/>
                <w:szCs w:val="20"/>
                <w:color w:val="auto"/>
              </w:rPr>
            </w:pPr>
            <w:r>
              <w:rPr>
                <w:rFonts w:ascii="Arial" w:cs="Arial" w:eastAsia="Arial" w:hAnsi="Arial"/>
                <w:sz w:val="16"/>
                <w:szCs w:val="16"/>
                <w:color w:val="auto"/>
              </w:rPr>
              <w:t>Pre-tax Margin</w:t>
            </w:r>
          </w:p>
        </w:tc>
        <w:tc>
          <w:tcPr>
            <w:tcW w:w="3160" w:type="dxa"/>
            <w:vAlign w:val="bottom"/>
            <w:gridSpan w:val="3"/>
          </w:tcPr>
          <w:p>
            <w:pPr>
              <w:jc w:val="right"/>
              <w:ind w:right="900"/>
              <w:spacing w:after="0"/>
              <w:rPr>
                <w:sz w:val="20"/>
                <w:szCs w:val="20"/>
                <w:color w:val="auto"/>
              </w:rPr>
            </w:pPr>
            <w:r>
              <w:rPr>
                <w:rFonts w:ascii="Arial" w:cs="Arial" w:eastAsia="Arial" w:hAnsi="Arial"/>
                <w:sz w:val="16"/>
                <w:szCs w:val="16"/>
                <w:color w:val="auto"/>
              </w:rPr>
              <w:t>+7.5% to +9.5%</w:t>
            </w:r>
          </w:p>
        </w:tc>
        <w:tc>
          <w:tcPr>
            <w:tcW w:w="1520" w:type="dxa"/>
            <w:vAlign w:val="bottom"/>
          </w:tcPr>
          <w:p>
            <w:pPr>
              <w:jc w:val="right"/>
              <w:spacing w:after="0"/>
              <w:rPr>
                <w:sz w:val="20"/>
                <w:szCs w:val="20"/>
                <w:color w:val="auto"/>
              </w:rPr>
            </w:pPr>
            <w:r>
              <w:rPr>
                <w:rFonts w:ascii="Arial" w:cs="Arial" w:eastAsia="Arial" w:hAnsi="Arial"/>
                <w:sz w:val="16"/>
                <w:szCs w:val="16"/>
                <w:color w:val="auto"/>
              </w:rPr>
              <w:t>+7.5% to +9.5%</w:t>
            </w:r>
          </w:p>
        </w:tc>
      </w:tr>
      <w:tr>
        <w:trPr>
          <w:trHeight w:val="307"/>
        </w:trPr>
        <w:tc>
          <w:tcPr>
            <w:tcW w:w="4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58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189"/>
        </w:trPr>
        <w:tc>
          <w:tcPr>
            <w:tcW w:w="6740" w:type="dxa"/>
            <w:vAlign w:val="bottom"/>
            <w:gridSpan w:val="4"/>
          </w:tcPr>
          <w:p>
            <w:pPr>
              <w:ind w:left="40"/>
              <w:spacing w:after="0"/>
              <w:rPr>
                <w:sz w:val="20"/>
                <w:szCs w:val="20"/>
                <w:color w:val="auto"/>
              </w:rPr>
            </w:pPr>
            <w:r>
              <w:rPr>
                <w:rFonts w:ascii="Arial" w:cs="Arial" w:eastAsia="Arial" w:hAnsi="Arial"/>
                <w:sz w:val="16"/>
                <w:szCs w:val="16"/>
                <w:b w:val="1"/>
                <w:bCs w:val="1"/>
                <w:color w:val="auto"/>
              </w:rPr>
              <w:t xml:space="preserve">CAPEX Guidance </w:t>
            </w: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mil) Inflow/(Outflow)</w:t>
            </w: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61"/>
        </w:trPr>
        <w:tc>
          <w:tcPr>
            <w:tcW w:w="40" w:type="dxa"/>
            <w:vAlign w:val="bottom"/>
          </w:tcPr>
          <w:p>
            <w:pPr>
              <w:spacing w:after="0"/>
              <w:rPr>
                <w:sz w:val="5"/>
                <w:szCs w:val="5"/>
                <w:color w:val="auto"/>
              </w:rPr>
            </w:pPr>
          </w:p>
        </w:tc>
        <w:tc>
          <w:tcPr>
            <w:tcW w:w="200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35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520" w:type="dxa"/>
            <w:vAlign w:val="bottom"/>
          </w:tcPr>
          <w:p>
            <w:pPr>
              <w:spacing w:after="0"/>
              <w:rPr>
                <w:sz w:val="5"/>
                <w:szCs w:val="5"/>
                <w:color w:val="auto"/>
              </w:rPr>
            </w:pPr>
          </w:p>
        </w:tc>
      </w:tr>
      <w:tr>
        <w:trPr>
          <w:trHeight w:val="270"/>
        </w:trPr>
        <w:tc>
          <w:tcPr>
            <w:tcW w:w="40" w:type="dxa"/>
            <w:vAlign w:val="bottom"/>
            <w:shd w:val="clear" w:color="auto" w:fill="CCEEFF"/>
          </w:tcPr>
          <w:p>
            <w:pPr>
              <w:spacing w:after="0"/>
              <w:rPr>
                <w:sz w:val="23"/>
                <w:szCs w:val="23"/>
                <w:color w:val="auto"/>
              </w:rPr>
            </w:pPr>
          </w:p>
        </w:tc>
        <w:tc>
          <w:tcPr>
            <w:tcW w:w="67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Non-Aircraft CAPEX</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r>
      <w:tr>
        <w:trPr>
          <w:trHeight w:val="260"/>
        </w:trPr>
        <w:tc>
          <w:tcPr>
            <w:tcW w:w="40" w:type="dxa"/>
            <w:vAlign w:val="bottom"/>
          </w:tcPr>
          <w:p>
            <w:pPr>
              <w:spacing w:after="0"/>
              <w:rPr>
                <w:sz w:val="22"/>
                <w:szCs w:val="22"/>
                <w:color w:val="auto"/>
              </w:rPr>
            </w:pPr>
          </w:p>
        </w:tc>
        <w:tc>
          <w:tcPr>
            <w:tcW w:w="6700" w:type="dxa"/>
            <w:vAlign w:val="bottom"/>
            <w:gridSpan w:val="3"/>
          </w:tcPr>
          <w:p>
            <w:pPr>
              <w:ind w:left="160"/>
              <w:spacing w:after="0"/>
              <w:rPr>
                <w:sz w:val="20"/>
                <w:szCs w:val="20"/>
                <w:color w:val="auto"/>
              </w:rPr>
            </w:pPr>
            <w:r>
              <w:rPr>
                <w:rFonts w:ascii="Arial" w:cs="Arial" w:eastAsia="Arial" w:hAnsi="Arial"/>
                <w:sz w:val="16"/>
                <w:szCs w:val="16"/>
                <w:color w:val="auto"/>
              </w:rPr>
              <w:t>Gross Aircraft CAPEX &amp; net PDPs</w:t>
            </w:r>
          </w:p>
        </w:tc>
        <w:tc>
          <w:tcPr>
            <w:tcW w:w="2280" w:type="dxa"/>
            <w:vAlign w:val="bottom"/>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~(535)</w:t>
            </w:r>
          </w:p>
        </w:tc>
      </w:tr>
      <w:tr>
        <w:trPr>
          <w:trHeight w:val="280"/>
        </w:trPr>
        <w:tc>
          <w:tcPr>
            <w:tcW w:w="40" w:type="dxa"/>
            <w:vAlign w:val="bottom"/>
            <w:shd w:val="clear" w:color="auto" w:fill="CCEEFF"/>
          </w:tcPr>
          <w:p>
            <w:pPr>
              <w:spacing w:after="0"/>
              <w:rPr>
                <w:sz w:val="24"/>
                <w:szCs w:val="24"/>
                <w:color w:val="auto"/>
              </w:rPr>
            </w:pPr>
          </w:p>
        </w:tc>
        <w:tc>
          <w:tcPr>
            <w:tcW w:w="67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Assumed Aircraft Financing</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250"/>
        </w:trPr>
        <w:tc>
          <w:tcPr>
            <w:tcW w:w="40" w:type="dxa"/>
            <w:vAlign w:val="bottom"/>
          </w:tcPr>
          <w:p>
            <w:pPr>
              <w:spacing w:after="0"/>
              <w:rPr>
                <w:sz w:val="21"/>
                <w:szCs w:val="21"/>
                <w:color w:val="auto"/>
              </w:rPr>
            </w:pPr>
          </w:p>
        </w:tc>
        <w:tc>
          <w:tcPr>
            <w:tcW w:w="6700" w:type="dxa"/>
            <w:vAlign w:val="bottom"/>
            <w:gridSpan w:val="3"/>
          </w:tcPr>
          <w:p>
            <w:pPr>
              <w:ind w:left="160"/>
              <w:spacing w:after="0"/>
              <w:rPr>
                <w:sz w:val="20"/>
                <w:szCs w:val="20"/>
                <w:color w:val="auto"/>
              </w:rPr>
            </w:pPr>
            <w:r>
              <w:rPr>
                <w:rFonts w:ascii="Arial" w:cs="Arial" w:eastAsia="Arial" w:hAnsi="Arial"/>
                <w:sz w:val="16"/>
                <w:szCs w:val="16"/>
                <w:color w:val="auto"/>
              </w:rPr>
              <w:t>Net Aircraft CAPEX &amp; PDPs</w:t>
            </w:r>
            <w:r>
              <w:rPr>
                <w:rFonts w:ascii="Arial" w:cs="Arial" w:eastAsia="Arial" w:hAnsi="Arial"/>
                <w:sz w:val="21"/>
                <w:szCs w:val="21"/>
                <w:color w:val="auto"/>
                <w:vertAlign w:val="superscript"/>
              </w:rPr>
              <w:t>5</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Notes:</w:t>
      </w:r>
    </w:p>
    <w:p>
      <w:pPr>
        <w:spacing w:after="0" w:line="171" w:lineRule="exact"/>
        <w:rPr>
          <w:sz w:val="20"/>
          <w:szCs w:val="20"/>
          <w:color w:val="auto"/>
        </w:rPr>
      </w:pPr>
    </w:p>
    <w:p>
      <w:pPr>
        <w:ind w:left="380" w:right="420" w:hanging="345"/>
        <w:spacing w:after="0" w:line="281" w:lineRule="auto"/>
        <w:tabs>
          <w:tab w:leader="none" w:pos="38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Includes guidance on certain non-GAAP measures, which exclude special items. Please see the GAAP to non-GAAP reconciliation at the end of this document.</w:t>
      </w:r>
    </w:p>
    <w:p>
      <w:pPr>
        <w:spacing w:after="0" w:line="1" w:lineRule="exact"/>
        <w:rPr>
          <w:rFonts w:ascii="Arial" w:cs="Arial" w:eastAsia="Arial" w:hAnsi="Arial"/>
          <w:sz w:val="16"/>
          <w:szCs w:val="16"/>
          <w:i w:val="1"/>
          <w:iCs w:val="1"/>
          <w:color w:val="auto"/>
        </w:rPr>
      </w:pPr>
    </w:p>
    <w:p>
      <w:pPr>
        <w:ind w:left="380" w:hanging="345"/>
        <w:spacing w:after="0"/>
        <w:tabs>
          <w:tab w:leader="none" w:pos="38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Cargo/Other revenue includes cargo revenue, loyalty program revenue, and contract services.</w:t>
      </w:r>
    </w:p>
    <w:p>
      <w:pPr>
        <w:spacing w:after="0" w:line="59" w:lineRule="exact"/>
        <w:rPr>
          <w:rFonts w:ascii="Arial" w:cs="Arial" w:eastAsia="Arial" w:hAnsi="Arial"/>
          <w:sz w:val="16"/>
          <w:szCs w:val="16"/>
          <w:i w:val="1"/>
          <w:iCs w:val="1"/>
          <w:color w:val="auto"/>
        </w:rPr>
      </w:pPr>
    </w:p>
    <w:p>
      <w:pPr>
        <w:ind w:left="380" w:hanging="345"/>
        <w:spacing w:after="0"/>
        <w:tabs>
          <w:tab w:leader="none" w:pos="38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CASM ex fuel and special items is a non-GAAP financial measure.</w:t>
      </w:r>
    </w:p>
    <w:p>
      <w:pPr>
        <w:spacing w:after="0" w:line="59" w:lineRule="exact"/>
        <w:rPr>
          <w:rFonts w:ascii="Arial" w:cs="Arial" w:eastAsia="Arial" w:hAnsi="Arial"/>
          <w:sz w:val="16"/>
          <w:szCs w:val="16"/>
          <w:i w:val="1"/>
          <w:iCs w:val="1"/>
          <w:color w:val="auto"/>
        </w:rPr>
      </w:pPr>
    </w:p>
    <w:p>
      <w:pPr>
        <w:ind w:left="380" w:right="220" w:hanging="345"/>
        <w:spacing w:after="0" w:line="281" w:lineRule="auto"/>
        <w:tabs>
          <w:tab w:leader="none" w:pos="38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Other Non-Operating (Income)/Expense primarily includes non-service related pension and retiree medical benefit income/costs, gains and losses from foreign currency, and income/loss from the company’s approximate 25% ownership interest in Republic Airways Holdings Inc.</w:t>
      </w:r>
    </w:p>
    <w:p>
      <w:pPr>
        <w:spacing w:after="0" w:line="1" w:lineRule="exact"/>
        <w:rPr>
          <w:rFonts w:ascii="Arial" w:cs="Arial" w:eastAsia="Arial" w:hAnsi="Arial"/>
          <w:sz w:val="16"/>
          <w:szCs w:val="16"/>
          <w:i w:val="1"/>
          <w:iCs w:val="1"/>
          <w:color w:val="auto"/>
        </w:rPr>
      </w:pPr>
    </w:p>
    <w:p>
      <w:pPr>
        <w:ind w:left="380" w:hanging="345"/>
        <w:spacing w:after="0"/>
        <w:tabs>
          <w:tab w:leader="none" w:pos="38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Numbers may not recalculate due to rounding.</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Please refer to the footnotes and the forward looking statements page of this document for additional information</w:t>
      </w:r>
    </w:p>
    <w:p>
      <w:pPr>
        <w:sectPr>
          <w:pgSz w:w="11900" w:h="16838" w:orient="portrait"/>
          <w:cols w:equalWidth="0" w:num="1">
            <w:col w:w="11420"/>
          </w:cols>
          <w:pgMar w:left="240" w:top="111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2198370</wp:posOffset>
            </wp:positionH>
            <wp:positionV relativeFrom="page">
              <wp:posOffset>88900</wp:posOffset>
            </wp:positionV>
            <wp:extent cx="3164205"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3164205" cy="480060"/>
                    </a:xfrm>
                    <a:prstGeom prst="rect">
                      <a:avLst/>
                    </a:prstGeom>
                    <a:noFill/>
                  </pic:spPr>
                </pic:pic>
              </a:graphicData>
            </a:graphic>
          </wp:anchor>
        </w:drawing>
        <w:t>Second Quarter GAAP to Non-GAAP Reconciliation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11, 2018</w:t>
      </w:r>
    </w:p>
    <w:p>
      <w:pPr>
        <w:spacing w:after="0" w:line="15"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The company sometimes uses financial measures that are derived from the consolidated financial statements but that are not presented in accordance with GAAP to understand and evaluate its current operating performance and to allow for period-to-period comparisons. The company believes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The company is providing a reconciliation of reported non-GAAP financial measures to their comparable financial measures on a GAAP basis. The table below presents the reconciliation of total operating costs (GAAP measure) to total operating costs excluding special items and fuel (non-GAAP measure). Management uses total operating costs excluding special items and fuel to evaluate the company's current operating performance and for period-to-period comparisons. The price of fuel, over which the company has no control, impacts the comparability of period-to-period financial performance. Additionally, special items may vary from period-to-period in nature and amount. These adjustments to exclude aircraft fuel and special items allow management an additional tool to better understand and analyze the company’s non-fuel costs and core operating performance. Additionally, the table below presents the reconciliation of other non-operating expense (GAAP measure) to other non-operating expense excluding special items (non-GAAP measure). Management uses this non-GAAP financial measure to evaluate the company’s current performance and to allow for period-to-period comparisons. As special items may vary from period-to-period in nature and amount, the adjustment to exclude special items allows management an additional tool to better understand the company’s core operating performance.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ind w:left="3500"/>
              <w:spacing w:after="0"/>
              <w:rPr>
                <w:sz w:val="20"/>
                <w:szCs w:val="20"/>
                <w:color w:val="auto"/>
              </w:rPr>
            </w:pPr>
            <w:r>
              <w:rPr>
                <w:rFonts w:ascii="Arial" w:cs="Arial" w:eastAsia="Arial" w:hAnsi="Arial"/>
                <w:sz w:val="14"/>
                <w:szCs w:val="14"/>
                <w:b w:val="1"/>
                <w:bCs w:val="1"/>
                <w:color w:val="auto"/>
              </w:rPr>
              <w:t>American Airlines Group Inc. GAAP to Non-GAAP Reconciliation</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76"/>
        </w:trPr>
        <w:tc>
          <w:tcPr>
            <w:tcW w:w="8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2Q18 Range</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64"/>
        </w:trPr>
        <w:tc>
          <w:tcPr>
            <w:tcW w:w="8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Low</w:t>
            </w:r>
          </w:p>
        </w:tc>
        <w:tc>
          <w:tcPr>
            <w:tcW w:w="460" w:type="dxa"/>
            <w:vAlign w:val="bottom"/>
          </w:tcPr>
          <w:p>
            <w:pPr>
              <w:spacing w:after="0"/>
              <w:rPr>
                <w:sz w:val="22"/>
                <w:szCs w:val="22"/>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High</w:t>
            </w:r>
          </w:p>
        </w:tc>
      </w:tr>
      <w:tr>
        <w:trPr>
          <w:trHeight w:val="270"/>
        </w:trPr>
        <w:tc>
          <w:tcPr>
            <w:tcW w:w="8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Consolidated</w:t>
            </w:r>
            <w:r>
              <w:rPr>
                <w:rFonts w:ascii="Arial" w:cs="Arial" w:eastAsia="Arial" w:hAnsi="Arial"/>
                <w:sz w:val="17"/>
                <w:szCs w:val="17"/>
                <w:b w:val="1"/>
                <w:bCs w:val="1"/>
                <w:color w:val="auto"/>
                <w:vertAlign w:val="superscript"/>
              </w:rPr>
              <w:t>1</w:t>
            </w:r>
          </w:p>
        </w:tc>
        <w:tc>
          <w:tcPr>
            <w:tcW w:w="32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r>
      <w:tr>
        <w:trPr>
          <w:trHeight w:val="264"/>
        </w:trPr>
        <w:tc>
          <w:tcPr>
            <w:tcW w:w="8400" w:type="dxa"/>
            <w:vAlign w:val="bottom"/>
          </w:tcPr>
          <w:p>
            <w:pPr>
              <w:ind w:left="40"/>
              <w:spacing w:after="0"/>
              <w:rPr>
                <w:sz w:val="20"/>
                <w:szCs w:val="20"/>
                <w:color w:val="auto"/>
              </w:rPr>
            </w:pPr>
            <w:r>
              <w:rPr>
                <w:rFonts w:ascii="Arial" w:cs="Arial" w:eastAsia="Arial" w:hAnsi="Arial"/>
                <w:sz w:val="14"/>
                <w:szCs w:val="14"/>
                <w:color w:val="auto"/>
              </w:rPr>
              <w:t>Consolidated operating expenses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10,524</w:t>
            </w:r>
          </w:p>
        </w:tc>
        <w:tc>
          <w:tcPr>
            <w:tcW w:w="100" w:type="dxa"/>
            <w:vAlign w:val="bottom"/>
          </w:tcPr>
          <w:p>
            <w:pPr>
              <w:spacing w:after="0"/>
              <w:rPr>
                <w:sz w:val="22"/>
                <w:szCs w:val="22"/>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10,736</w:t>
            </w:r>
          </w:p>
        </w:tc>
        <w:tc>
          <w:tcPr>
            <w:tcW w:w="100" w:type="dxa"/>
            <w:vAlign w:val="bottom"/>
          </w:tcPr>
          <w:p>
            <w:pPr>
              <w:spacing w:after="0"/>
              <w:rPr>
                <w:sz w:val="22"/>
                <w:szCs w:val="22"/>
                <w:color w:val="auto"/>
              </w:rPr>
            </w:pPr>
          </w:p>
        </w:tc>
      </w:tr>
      <w:tr>
        <w:trPr>
          <w:trHeight w:val="276"/>
        </w:trPr>
        <w:tc>
          <w:tcPr>
            <w:tcW w:w="8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fuel expense</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2,567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2,624</w:t>
            </w:r>
          </w:p>
        </w:tc>
        <w:tc>
          <w:tcPr>
            <w:tcW w:w="100" w:type="dxa"/>
            <w:vAlign w:val="bottom"/>
            <w:shd w:val="clear" w:color="auto" w:fill="CCEEFF"/>
          </w:tcPr>
          <w:p>
            <w:pPr>
              <w:spacing w:after="0"/>
              <w:rPr>
                <w:sz w:val="24"/>
                <w:szCs w:val="24"/>
                <w:color w:val="auto"/>
              </w:rPr>
            </w:pPr>
          </w:p>
        </w:tc>
      </w:tr>
      <w:tr>
        <w:trPr>
          <w:trHeight w:val="264"/>
        </w:trPr>
        <w:tc>
          <w:tcPr>
            <w:tcW w:w="8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special items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136</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136</w:t>
            </w:r>
          </w:p>
        </w:tc>
        <w:tc>
          <w:tcPr>
            <w:tcW w:w="100" w:type="dxa"/>
            <w:vAlign w:val="bottom"/>
            <w:tcBorders>
              <w:bottom w:val="single" w:sz="8" w:color="CCEEFF"/>
            </w:tcBorders>
          </w:tcPr>
          <w:p>
            <w:pPr>
              <w:spacing w:after="0"/>
              <w:rPr>
                <w:sz w:val="22"/>
                <w:szCs w:val="22"/>
                <w:color w:val="auto"/>
              </w:rPr>
            </w:pPr>
          </w:p>
        </w:tc>
      </w:tr>
      <w:tr>
        <w:trPr>
          <w:trHeight w:val="256"/>
        </w:trPr>
        <w:tc>
          <w:tcPr>
            <w:tcW w:w="8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 operating expense excluding fuel and special items</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7,821</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7,975</w:t>
            </w:r>
          </w:p>
        </w:tc>
        <w:tc>
          <w:tcPr>
            <w:tcW w:w="100" w:type="dxa"/>
            <w:vAlign w:val="bottom"/>
            <w:shd w:val="clear" w:color="auto" w:fill="CCEEFF"/>
          </w:tcPr>
          <w:p>
            <w:pPr>
              <w:spacing w:after="0"/>
              <w:rPr>
                <w:sz w:val="22"/>
                <w:szCs w:val="22"/>
                <w:color w:val="auto"/>
              </w:rPr>
            </w:pPr>
          </w:p>
        </w:tc>
      </w:tr>
      <w:tr>
        <w:trPr>
          <w:trHeight w:val="264"/>
        </w:trPr>
        <w:tc>
          <w:tcPr>
            <w:tcW w:w="8400" w:type="dxa"/>
            <w:vAlign w:val="bottom"/>
          </w:tcPr>
          <w:p>
            <w:pPr>
              <w:ind w:left="40"/>
              <w:spacing w:after="0"/>
              <w:rPr>
                <w:sz w:val="20"/>
                <w:szCs w:val="20"/>
                <w:color w:val="auto"/>
              </w:rPr>
            </w:pPr>
            <w:r>
              <w:rPr>
                <w:rFonts w:ascii="Arial" w:cs="Arial" w:eastAsia="Arial" w:hAnsi="Arial"/>
                <w:sz w:val="14"/>
                <w:szCs w:val="14"/>
                <w:color w:val="auto"/>
              </w:rPr>
              <w:t>Consolidated CASM (cts)</w:t>
            </w:r>
          </w:p>
        </w:tc>
        <w:tc>
          <w:tcPr>
            <w:tcW w:w="320" w:type="dxa"/>
            <w:vAlign w:val="bottom"/>
          </w:tcPr>
          <w:p>
            <w:pPr>
              <w:spacing w:after="0"/>
              <w:rPr>
                <w:sz w:val="22"/>
                <w:szCs w:val="22"/>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14.44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14.73</w:t>
            </w:r>
          </w:p>
        </w:tc>
        <w:tc>
          <w:tcPr>
            <w:tcW w:w="100" w:type="dxa"/>
            <w:vAlign w:val="bottom"/>
          </w:tcPr>
          <w:p>
            <w:pPr>
              <w:spacing w:after="0"/>
              <w:rPr>
                <w:sz w:val="22"/>
                <w:szCs w:val="22"/>
                <w:color w:val="auto"/>
              </w:rPr>
            </w:pPr>
          </w:p>
        </w:tc>
      </w:tr>
      <w:tr>
        <w:trPr>
          <w:trHeight w:val="276"/>
        </w:trPr>
        <w:tc>
          <w:tcPr>
            <w:tcW w:w="8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 CASM excluding fuel and special items (Non-GAAP) (cts)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10.73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10.94</w:t>
            </w:r>
          </w:p>
        </w:tc>
        <w:tc>
          <w:tcPr>
            <w:tcW w:w="100" w:type="dxa"/>
            <w:vAlign w:val="bottom"/>
            <w:shd w:val="clear" w:color="auto" w:fill="CCEEFF"/>
          </w:tcPr>
          <w:p>
            <w:pPr>
              <w:spacing w:after="0"/>
              <w:rPr>
                <w:sz w:val="24"/>
                <w:szCs w:val="24"/>
                <w:color w:val="auto"/>
              </w:rPr>
            </w:pPr>
          </w:p>
        </w:tc>
      </w:tr>
      <w:tr>
        <w:trPr>
          <w:trHeight w:val="264"/>
        </w:trPr>
        <w:tc>
          <w:tcPr>
            <w:tcW w:w="8400" w:type="dxa"/>
            <w:vAlign w:val="bottom"/>
          </w:tcPr>
          <w:p>
            <w:pPr>
              <w:ind w:left="180"/>
              <w:spacing w:after="0"/>
              <w:rPr>
                <w:sz w:val="20"/>
                <w:szCs w:val="20"/>
                <w:color w:val="auto"/>
              </w:rPr>
            </w:pPr>
            <w:r>
              <w:rPr>
                <w:rFonts w:ascii="Arial" w:cs="Arial" w:eastAsia="Arial" w:hAnsi="Arial"/>
                <w:sz w:val="14"/>
                <w:szCs w:val="14"/>
                <w:i w:val="1"/>
                <w:iCs w:val="1"/>
                <w:color w:val="auto"/>
              </w:rPr>
              <w:t>YOY (%)</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r>
      <w:tr>
        <w:trPr>
          <w:trHeight w:val="276"/>
        </w:trPr>
        <w:tc>
          <w:tcPr>
            <w:tcW w:w="8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Consolidated ASMs (bil)</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72.9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72.9</w:t>
            </w:r>
          </w:p>
        </w:tc>
        <w:tc>
          <w:tcPr>
            <w:tcW w:w="100" w:type="dxa"/>
            <w:vAlign w:val="bottom"/>
            <w:shd w:val="clear" w:color="auto" w:fill="CCEEFF"/>
          </w:tcPr>
          <w:p>
            <w:pPr>
              <w:spacing w:after="0"/>
              <w:rPr>
                <w:sz w:val="24"/>
                <w:szCs w:val="24"/>
                <w:color w:val="auto"/>
              </w:rPr>
            </w:pPr>
          </w:p>
        </w:tc>
      </w:tr>
      <w:tr>
        <w:trPr>
          <w:trHeight w:val="243"/>
        </w:trPr>
        <w:tc>
          <w:tcPr>
            <w:tcW w:w="8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8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non-operating (income)/expense</w:t>
            </w:r>
            <w:r>
              <w:rPr>
                <w:rFonts w:ascii="Arial" w:cs="Arial" w:eastAsia="Arial" w:hAnsi="Arial"/>
                <w:sz w:val="17"/>
                <w:szCs w:val="17"/>
                <w:b w:val="1"/>
                <w:bCs w:val="1"/>
                <w:color w:val="auto"/>
                <w:vertAlign w:val="superscript"/>
              </w:rPr>
              <w:t>1</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64"/>
        </w:trPr>
        <w:tc>
          <w:tcPr>
            <w:tcW w:w="8400" w:type="dxa"/>
            <w:vAlign w:val="bottom"/>
          </w:tcPr>
          <w:p>
            <w:pPr>
              <w:ind w:left="40"/>
              <w:spacing w:after="0"/>
              <w:rPr>
                <w:sz w:val="20"/>
                <w:szCs w:val="20"/>
                <w:color w:val="auto"/>
              </w:rPr>
            </w:pPr>
            <w:r>
              <w:rPr>
                <w:rFonts w:ascii="Arial" w:cs="Arial" w:eastAsia="Arial" w:hAnsi="Arial"/>
                <w:sz w:val="14"/>
                <w:szCs w:val="14"/>
                <w:color w:val="auto"/>
              </w:rPr>
              <w:t>Other non-operating (income)/expense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r>
      <w:tr>
        <w:trPr>
          <w:trHeight w:val="270"/>
        </w:trPr>
        <w:tc>
          <w:tcPr>
            <w:tcW w:w="8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special items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3"/>
                <w:szCs w:val="23"/>
                <w:color w:val="auto"/>
              </w:rPr>
            </w:pPr>
          </w:p>
        </w:tc>
      </w:tr>
      <w:tr>
        <w:trPr>
          <w:trHeight w:val="244"/>
        </w:trPr>
        <w:tc>
          <w:tcPr>
            <w:tcW w:w="8400" w:type="dxa"/>
            <w:vAlign w:val="bottom"/>
          </w:tcPr>
          <w:p>
            <w:pPr>
              <w:ind w:left="40"/>
              <w:spacing w:after="0"/>
              <w:rPr>
                <w:sz w:val="20"/>
                <w:szCs w:val="20"/>
                <w:color w:val="auto"/>
              </w:rPr>
            </w:pPr>
            <w:r>
              <w:rPr>
                <w:rFonts w:ascii="Arial" w:cs="Arial" w:eastAsia="Arial" w:hAnsi="Arial"/>
                <w:sz w:val="14"/>
                <w:szCs w:val="14"/>
                <w:color w:val="auto"/>
              </w:rPr>
              <w:t>Other non-operating (income)/expense excluding special items</w:t>
            </w:r>
          </w:p>
        </w:tc>
        <w:tc>
          <w:tcPr>
            <w:tcW w:w="32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-137795</wp:posOffset>
            </wp:positionV>
            <wp:extent cx="88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-120650</wp:posOffset>
            </wp:positionV>
            <wp:extent cx="88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-103505</wp:posOffset>
            </wp:positionV>
            <wp:extent cx="88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-86360</wp:posOffset>
            </wp:positionV>
            <wp:extent cx="8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-69215</wp:posOffset>
            </wp:positionV>
            <wp:extent cx="8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-52070</wp:posOffset>
            </wp:positionV>
            <wp:extent cx="88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-34925</wp:posOffset>
            </wp:positionV>
            <wp:extent cx="88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-17145</wp:posOffset>
            </wp:positionV>
            <wp:extent cx="8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0</wp:posOffset>
            </wp:positionV>
            <wp:extent cx="88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-137795</wp:posOffset>
            </wp:positionV>
            <wp:extent cx="8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-120650</wp:posOffset>
            </wp:positionV>
            <wp:extent cx="88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-103505</wp:posOffset>
            </wp:positionV>
            <wp:extent cx="88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-86360</wp:posOffset>
            </wp:positionV>
            <wp:extent cx="88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-69215</wp:posOffset>
            </wp:positionV>
            <wp:extent cx="88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-52070</wp:posOffset>
            </wp:positionV>
            <wp:extent cx="88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-34925</wp:posOffset>
            </wp:positionV>
            <wp:extent cx="88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-17145</wp:posOffset>
            </wp:positionV>
            <wp:extent cx="88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0</wp:posOffset>
            </wp:positionV>
            <wp:extent cx="88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-309245</wp:posOffset>
            </wp:positionV>
            <wp:extent cx="88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-292100</wp:posOffset>
            </wp:positionV>
            <wp:extent cx="88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-274955</wp:posOffset>
            </wp:positionV>
            <wp:extent cx="88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-257810</wp:posOffset>
            </wp:positionV>
            <wp:extent cx="88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-240665</wp:posOffset>
            </wp:positionV>
            <wp:extent cx="88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-223520</wp:posOffset>
            </wp:positionV>
            <wp:extent cx="88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-206375</wp:posOffset>
            </wp:positionV>
            <wp:extent cx="88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-189230</wp:posOffset>
            </wp:positionV>
            <wp:extent cx="88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-172085</wp:posOffset>
            </wp:positionV>
            <wp:extent cx="889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-309245</wp:posOffset>
            </wp:positionV>
            <wp:extent cx="88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-292100</wp:posOffset>
            </wp:positionV>
            <wp:extent cx="88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-274955</wp:posOffset>
            </wp:positionV>
            <wp:extent cx="8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-257810</wp:posOffset>
            </wp:positionV>
            <wp:extent cx="88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-240665</wp:posOffset>
            </wp:positionV>
            <wp:extent cx="8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-223520</wp:posOffset>
            </wp:positionV>
            <wp:extent cx="8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-206375</wp:posOffset>
            </wp:positionV>
            <wp:extent cx="88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-189230</wp:posOffset>
            </wp:positionV>
            <wp:extent cx="88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-172085</wp:posOffset>
            </wp:positionV>
            <wp:extent cx="889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-480695</wp:posOffset>
            </wp:positionV>
            <wp:extent cx="88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-463550</wp:posOffset>
            </wp:positionV>
            <wp:extent cx="88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-446405</wp:posOffset>
            </wp:positionV>
            <wp:extent cx="88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-429260</wp:posOffset>
            </wp:positionV>
            <wp:extent cx="8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-412115</wp:posOffset>
            </wp:positionV>
            <wp:extent cx="88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-394970</wp:posOffset>
            </wp:positionV>
            <wp:extent cx="88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-377825</wp:posOffset>
            </wp:positionV>
            <wp:extent cx="88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-360680</wp:posOffset>
            </wp:positionV>
            <wp:extent cx="88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-343535</wp:posOffset>
            </wp:positionV>
            <wp:extent cx="889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-480695</wp:posOffset>
            </wp:positionV>
            <wp:extent cx="8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-463550</wp:posOffset>
            </wp:positionV>
            <wp:extent cx="88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-446405</wp:posOffset>
            </wp:positionV>
            <wp:extent cx="88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-429260</wp:posOffset>
            </wp:positionV>
            <wp:extent cx="88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-412115</wp:posOffset>
            </wp:positionV>
            <wp:extent cx="8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-394970</wp:posOffset>
            </wp:positionV>
            <wp:extent cx="8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-377825</wp:posOffset>
            </wp:positionV>
            <wp:extent cx="88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-360680</wp:posOffset>
            </wp:positionV>
            <wp:extent cx="88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-343535</wp:posOffset>
            </wp:positionV>
            <wp:extent cx="889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-652145</wp:posOffset>
            </wp:positionV>
            <wp:extent cx="88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-635000</wp:posOffset>
            </wp:positionV>
            <wp:extent cx="88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-617855</wp:posOffset>
            </wp:positionV>
            <wp:extent cx="88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-600710</wp:posOffset>
            </wp:positionV>
            <wp:extent cx="88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-583565</wp:posOffset>
            </wp:positionV>
            <wp:extent cx="88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-566420</wp:posOffset>
            </wp:positionV>
            <wp:extent cx="8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-549275</wp:posOffset>
            </wp:positionV>
            <wp:extent cx="8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-532130</wp:posOffset>
            </wp:positionV>
            <wp:extent cx="88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-514985</wp:posOffset>
            </wp:positionV>
            <wp:extent cx="889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-652145</wp:posOffset>
            </wp:positionV>
            <wp:extent cx="8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-635000</wp:posOffset>
            </wp:positionV>
            <wp:extent cx="8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-617855</wp:posOffset>
            </wp:positionV>
            <wp:extent cx="8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-600710</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-583565</wp:posOffset>
            </wp:positionV>
            <wp:extent cx="88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-566420</wp:posOffset>
            </wp:positionV>
            <wp:extent cx="88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-549275</wp:posOffset>
            </wp:positionV>
            <wp:extent cx="88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-532130</wp:posOffset>
            </wp:positionV>
            <wp:extent cx="8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-514985</wp:posOffset>
            </wp:positionV>
            <wp:extent cx="889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-806450</wp:posOffset>
            </wp:positionV>
            <wp:extent cx="88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-789305</wp:posOffset>
            </wp:positionV>
            <wp:extent cx="88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-772160</wp:posOffset>
            </wp:positionV>
            <wp:extent cx="88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-755015</wp:posOffset>
            </wp:positionV>
            <wp:extent cx="8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-737870</wp:posOffset>
            </wp:positionV>
            <wp:extent cx="8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-720725</wp:posOffset>
            </wp:positionV>
            <wp:extent cx="88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-703580</wp:posOffset>
            </wp:positionV>
            <wp:extent cx="88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-686435</wp:posOffset>
            </wp:positionV>
            <wp:extent cx="889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-806450</wp:posOffset>
            </wp:positionV>
            <wp:extent cx="8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-789305</wp:posOffset>
            </wp:positionV>
            <wp:extent cx="88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-772160</wp:posOffset>
            </wp:positionV>
            <wp:extent cx="88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-755015</wp:posOffset>
            </wp:positionV>
            <wp:extent cx="88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-737870</wp:posOffset>
            </wp:positionV>
            <wp:extent cx="88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-720725</wp:posOffset>
            </wp:positionV>
            <wp:extent cx="88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-703580</wp:posOffset>
            </wp:positionV>
            <wp:extent cx="8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-686435</wp:posOffset>
            </wp:positionV>
            <wp:extent cx="889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-977900</wp:posOffset>
            </wp:positionV>
            <wp:extent cx="88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-960755</wp:posOffset>
            </wp:positionV>
            <wp:extent cx="8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-943610</wp:posOffset>
            </wp:positionV>
            <wp:extent cx="8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-926465</wp:posOffset>
            </wp:positionV>
            <wp:extent cx="88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-909320</wp:posOffset>
            </wp:positionV>
            <wp:extent cx="88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-892175</wp:posOffset>
            </wp:positionV>
            <wp:extent cx="88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-875030</wp:posOffset>
            </wp:positionV>
            <wp:extent cx="88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-857885</wp:posOffset>
            </wp:positionV>
            <wp:extent cx="8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-840740</wp:posOffset>
            </wp:positionV>
            <wp:extent cx="889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-977900</wp:posOffset>
            </wp:positionV>
            <wp:extent cx="88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-960755</wp:posOffset>
            </wp:positionV>
            <wp:extent cx="88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-943610</wp:posOffset>
            </wp:positionV>
            <wp:extent cx="88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-926465</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-909320</wp:posOffset>
            </wp:positionV>
            <wp:extent cx="88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-892175</wp:posOffset>
            </wp:positionV>
            <wp:extent cx="88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-875030</wp:posOffset>
            </wp:positionV>
            <wp:extent cx="88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-857885</wp:posOffset>
            </wp:positionV>
            <wp:extent cx="88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-840740</wp:posOffset>
            </wp:positionV>
            <wp:extent cx="889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-1149350</wp:posOffset>
            </wp:positionV>
            <wp:extent cx="8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-1132205</wp:posOffset>
            </wp:positionV>
            <wp:extent cx="8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-1115060</wp:posOffset>
            </wp:positionV>
            <wp:extent cx="88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-1097915</wp:posOffset>
            </wp:positionV>
            <wp:extent cx="88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-1080770</wp:posOffset>
            </wp:positionV>
            <wp:extent cx="8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-1063625</wp:posOffset>
            </wp:positionV>
            <wp:extent cx="8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-1046480</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-1029335</wp:posOffset>
            </wp:positionV>
            <wp:extent cx="88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-1012190</wp:posOffset>
            </wp:positionV>
            <wp:extent cx="889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-1149350</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-1132205</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-1115060</wp:posOffset>
            </wp:positionV>
            <wp:extent cx="8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-1097915</wp:posOffset>
            </wp:positionV>
            <wp:extent cx="88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-1080770</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-1063625</wp:posOffset>
            </wp:positionV>
            <wp:extent cx="8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-1046480</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-1029335</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-1012190</wp:posOffset>
            </wp:positionV>
            <wp:extent cx="889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-1320800</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-1303655</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-1286510</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-1269365</wp:posOffset>
            </wp:positionV>
            <wp:extent cx="8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-1252220</wp:posOffset>
            </wp:positionV>
            <wp:extent cx="88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-1235075</wp:posOffset>
            </wp:positionV>
            <wp:extent cx="8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-1217930</wp:posOffset>
            </wp:positionV>
            <wp:extent cx="88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-1200785</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-1183640</wp:posOffset>
            </wp:positionV>
            <wp:extent cx="889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-1320800</wp:posOffset>
            </wp:positionV>
            <wp:extent cx="88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-1303655</wp:posOffset>
            </wp:positionV>
            <wp:extent cx="88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-1286510</wp:posOffset>
            </wp:positionV>
            <wp:extent cx="88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-1269365</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-1252220</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-1235075</wp:posOffset>
            </wp:positionV>
            <wp:extent cx="88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-1217930</wp:posOffset>
            </wp:positionV>
            <wp:extent cx="8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-1200785</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-1183640</wp:posOffset>
            </wp:positionV>
            <wp:extent cx="889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-1492250</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-1475105</wp:posOffset>
            </wp:positionV>
            <wp:extent cx="8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-1457960</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-1440815</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-1423670</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-1406525</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-1389380</wp:posOffset>
            </wp:positionV>
            <wp:extent cx="8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-1372235</wp:posOffset>
            </wp:positionV>
            <wp:extent cx="88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-1355090</wp:posOffset>
            </wp:positionV>
            <wp:extent cx="889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-1492250</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-1475105</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-1457960</wp:posOffset>
            </wp:positionV>
            <wp:extent cx="8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-1440815</wp:posOffset>
            </wp:positionV>
            <wp:extent cx="88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-1423670</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-1406525</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-1389380</wp:posOffset>
            </wp:positionV>
            <wp:extent cx="8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-1372235</wp:posOffset>
            </wp:positionV>
            <wp:extent cx="8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-1355090</wp:posOffset>
            </wp:positionV>
            <wp:extent cx="889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-1663700</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-1646555</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-1629410</wp:posOffset>
            </wp:positionV>
            <wp:extent cx="88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-1612265</wp:posOffset>
            </wp:positionV>
            <wp:extent cx="8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-1595120</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-1577975</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-1560830</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-1543685</wp:posOffset>
            </wp:positionV>
            <wp:extent cx="8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-1526540</wp:posOffset>
            </wp:positionV>
            <wp:extent cx="889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-1663700</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-1646555</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-1629410</wp:posOffset>
            </wp:positionV>
            <wp:extent cx="8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-1612265</wp:posOffset>
            </wp:positionV>
            <wp:extent cx="88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-1595120</wp:posOffset>
            </wp:positionV>
            <wp:extent cx="8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-1577975</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-1560830</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-1543685</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-1526540</wp:posOffset>
            </wp:positionV>
            <wp:extent cx="889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-1835785</wp:posOffset>
            </wp:positionV>
            <wp:extent cx="88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-1818640</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-1801495</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-1784350</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-1767205</wp:posOffset>
            </wp:positionV>
            <wp:extent cx="88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-1750060</wp:posOffset>
            </wp:positionV>
            <wp:extent cx="8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-1732915</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-1715770</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-1698625</wp:posOffset>
            </wp:positionV>
            <wp:extent cx="889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-1835785</wp:posOffset>
            </wp:positionV>
            <wp:extent cx="88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-1818640</wp:posOffset>
            </wp:positionV>
            <wp:extent cx="8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-1801495</wp:posOffset>
            </wp:positionV>
            <wp:extent cx="8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-1784350</wp:posOffset>
            </wp:positionV>
            <wp:extent cx="88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-1767205</wp:posOffset>
            </wp:positionV>
            <wp:extent cx="88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-1750060</wp:posOffset>
            </wp:positionV>
            <wp:extent cx="88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-1732915</wp:posOffset>
            </wp:positionV>
            <wp:extent cx="8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-1715770</wp:posOffset>
            </wp:positionV>
            <wp:extent cx="88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-1698625</wp:posOffset>
            </wp:positionV>
            <wp:extent cx="889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-2007235</wp:posOffset>
            </wp:positionV>
            <wp:extent cx="8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-1990090</wp:posOffset>
            </wp:positionV>
            <wp:extent cx="88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-1972945</wp:posOffset>
            </wp:positionV>
            <wp:extent cx="88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-1955800</wp:posOffset>
            </wp:positionV>
            <wp:extent cx="8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-1938655</wp:posOffset>
            </wp:positionV>
            <wp:extent cx="88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-1921510</wp:posOffset>
            </wp:positionV>
            <wp:extent cx="88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-1904365</wp:posOffset>
            </wp:positionV>
            <wp:extent cx="88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-1887220</wp:posOffset>
            </wp:positionV>
            <wp:extent cx="88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-1870075</wp:posOffset>
            </wp:positionV>
            <wp:extent cx="889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-2007235</wp:posOffset>
            </wp:positionV>
            <wp:extent cx="88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-1990090</wp:posOffset>
            </wp:positionV>
            <wp:extent cx="8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-1972945</wp:posOffset>
            </wp:positionV>
            <wp:extent cx="88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-1955800</wp:posOffset>
            </wp:positionV>
            <wp:extent cx="88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-1938655</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-1921510</wp:posOffset>
            </wp:positionV>
            <wp:extent cx="8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-1904365</wp:posOffset>
            </wp:positionV>
            <wp:extent cx="8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-1887220</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-1870075</wp:posOffset>
            </wp:positionV>
            <wp:extent cx="8890"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-2178685</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-2161540</wp:posOffset>
            </wp:positionV>
            <wp:extent cx="8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-2144395</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-2127250</wp:posOffset>
            </wp:positionV>
            <wp:extent cx="88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-2110105</wp:posOffset>
            </wp:positionV>
            <wp:extent cx="8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-2092960</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-2075815</wp:posOffset>
            </wp:positionV>
            <wp:extent cx="88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-2058670</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-2041525</wp:posOffset>
            </wp:positionV>
            <wp:extent cx="8890"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-2178685</wp:posOffset>
            </wp:positionV>
            <wp:extent cx="88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-2161540</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-2144395</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-2127250</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-2110105</wp:posOffset>
            </wp:positionV>
            <wp:extent cx="88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-2092960</wp:posOffset>
            </wp:positionV>
            <wp:extent cx="88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-2075815</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-2058670</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-2041525</wp:posOffset>
            </wp:positionV>
            <wp:extent cx="8890"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-2367280</wp:posOffset>
            </wp:positionV>
            <wp:extent cx="88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-2350135</wp:posOffset>
            </wp:positionV>
            <wp:extent cx="88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-2332990</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-2315845</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-2298700</wp:posOffset>
            </wp:positionV>
            <wp:extent cx="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-2281555</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-2264410</wp:posOffset>
            </wp:positionV>
            <wp:extent cx="88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-2247265</wp:posOffset>
            </wp:positionV>
            <wp:extent cx="8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-2230120</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-2212975</wp:posOffset>
            </wp:positionV>
            <wp:extent cx="8890"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-2367280</wp:posOffset>
            </wp:positionV>
            <wp:extent cx="88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-2350135</wp:posOffset>
            </wp:positionV>
            <wp:extent cx="88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-2332990</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-2315845</wp:posOffset>
            </wp:positionV>
            <wp:extent cx="8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-2298700</wp:posOffset>
            </wp:positionV>
            <wp:extent cx="88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-2281555</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-2264410</wp:posOffset>
            </wp:positionV>
            <wp:extent cx="88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-2247265</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-2230120</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-2212975</wp:posOffset>
            </wp:positionV>
            <wp:extent cx="8890"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-2564765</wp:posOffset>
            </wp:positionV>
            <wp:extent cx="88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-2547620</wp:posOffset>
            </wp:positionV>
            <wp:extent cx="88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-2530475</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-2513330</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-2496185</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-2478405</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-2461260</wp:posOffset>
            </wp:positionV>
            <wp:extent cx="8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-2444115</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-2426970</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-2409825</wp:posOffset>
            </wp:positionV>
            <wp:extent cx="88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-2392680</wp:posOffset>
            </wp:positionV>
            <wp:extent cx="889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-2564765</wp:posOffset>
            </wp:positionV>
            <wp:extent cx="88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-2547620</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-2530475</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-2513330</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-2496185</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-2478405</wp:posOffset>
            </wp:positionV>
            <wp:extent cx="88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-2461260</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-2444115</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-2426970</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-2409825</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-2392680</wp:posOffset>
            </wp:positionV>
            <wp:extent cx="889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6"/>
          <w:szCs w:val="16"/>
          <w:i w:val="1"/>
          <w:iCs w:val="1"/>
          <w:color w:val="auto"/>
        </w:rPr>
        <w:t>Notes:</w:t>
      </w:r>
      <w:r>
        <w:rPr>
          <w:sz w:val="20"/>
          <w:szCs w:val="20"/>
          <w:color w:val="auto"/>
        </w:rPr>
        <w:tab/>
      </w:r>
      <w:r>
        <w:rPr>
          <w:rFonts w:ascii="Arial" w:cs="Arial" w:eastAsia="Arial" w:hAnsi="Arial"/>
          <w:sz w:val="16"/>
          <w:szCs w:val="16"/>
          <w:i w:val="1"/>
          <w:iCs w:val="1"/>
          <w:color w:val="auto"/>
        </w:rPr>
        <w:t>Amounts may not recalculate due to rounding.</w:t>
      </w:r>
    </w:p>
    <w:p>
      <w:pPr>
        <w:spacing w:after="0" w:line="59" w:lineRule="exact"/>
        <w:rPr>
          <w:sz w:val="20"/>
          <w:szCs w:val="20"/>
          <w:color w:val="auto"/>
        </w:rPr>
      </w:pPr>
    </w:p>
    <w:p>
      <w:pPr>
        <w:ind w:left="840" w:right="60" w:hanging="805"/>
        <w:spacing w:after="0" w:line="264" w:lineRule="auto"/>
        <w:tabs>
          <w:tab w:leader="none" w:pos="8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Net special items principally include merger integration, fleet restructuring expenses and mark-to-market adjustments for the company's investment in China Southern Airlines and bankruptcy obligations. Additionally, special items include a $26 million non-cash impairment charge to write-off the company's Brazil route authority intangible asset as a result of ratification of the U.S.-Brazil open skies agreement.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Please refer to the footnotes and the forward looking statements page of this document for additional information</w:t>
      </w:r>
    </w:p>
    <w:p>
      <w:pPr>
        <w:sectPr>
          <w:pgSz w:w="11900" w:h="16838" w:orient="portrait"/>
          <w:cols w:equalWidth="0" w:num="1">
            <w:col w:w="11420"/>
          </w:cols>
          <w:pgMar w:left="240" w:top="1116"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2198370</wp:posOffset>
            </wp:positionH>
            <wp:positionV relativeFrom="page">
              <wp:posOffset>88900</wp:posOffset>
            </wp:positionV>
            <wp:extent cx="3164205" cy="4800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3164205" cy="480060"/>
                    </a:xfrm>
                    <a:prstGeom prst="rect">
                      <a:avLst/>
                    </a:prstGeom>
                    <a:noFill/>
                  </pic:spPr>
                </pic:pic>
              </a:graphicData>
            </a:graphic>
          </wp:anchor>
        </w:drawing>
        <w:t>Forward Looking Statements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July 11, 2018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document includes forward-looking statements within the meaning of the Securities Act of 1933, as amended, the Securities Exchange Act of 1934, as amended,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future financial and operating results, the company’s plans, objectives, estimates, expectations and intentions,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in the company's Quarterly Report on Form 10-Q for the quarter ended March 31, 2018 (especially in Part I, Item 2. Management's Discussion and Analysis of Financial Condition and Results of Operations, and Part II, Item 1A. Risk Factors) and other risks and uncertainties listed from time to time in the company's other filings with the Securities and Exchange Commission.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Please refer to the footnotes and the forward looking statements page of this document for additional information</w:t>
      </w:r>
    </w:p>
    <w:sectPr>
      <w:pgSz w:w="11900" w:h="16838" w:orient="portrait"/>
      <w:cols w:equalWidth="0" w:num="1">
        <w:col w:w="11420"/>
      </w:cols>
      <w:pgMar w:left="240" w:top="13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817"/>
    </w:lvl>
  </w:abstractNum>
  <w:abstractNum w:abstractNumId="1">
    <w:nsid w:val="46E87CCD"/>
    <w:multiLevelType w:val="hybridMultilevel"/>
    <w:lvl w:ilvl="0">
      <w:lvlJc w:val="left"/>
      <w:lvlText w:val="(%1)"/>
      <w:numFmt w:val="decimal"/>
      <w:start w:val="817"/>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2019-12-28T21:15:54Z</dcterms:created>
  <dcterms:modified xsi:type="dcterms:W3CDTF">2019-12-28T21:15:54Z</dcterms:modified>
</cp:coreProperties>
</file>