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288290</wp:posOffset>
            </wp:positionH>
            <wp:positionV relativeFrom="page">
              <wp:posOffset>426085</wp:posOffset>
            </wp:positionV>
            <wp:extent cx="697801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8015" cy="5715"/>
                    </a:xfrm>
                    <a:prstGeom prst="rect">
                      <a:avLst/>
                    </a:prstGeom>
                    <a:noFill/>
                  </pic:spPr>
                </pic:pic>
              </a:graphicData>
            </a:graphic>
          </wp:anchor>
        </w:drawing>
        <w:drawing>
          <wp:anchor simplePos="0" relativeHeight="251657728" behindDoc="1" locked="0" layoutInCell="0" allowOverlap="1">
            <wp:simplePos x="0" y="0"/>
            <wp:positionH relativeFrom="page">
              <wp:posOffset>288290</wp:posOffset>
            </wp:positionH>
            <wp:positionV relativeFrom="page">
              <wp:posOffset>403225</wp:posOffset>
            </wp:positionV>
            <wp:extent cx="697801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8015" cy="5715"/>
                    </a:xfrm>
                    <a:prstGeom prst="rect">
                      <a:avLst/>
                    </a:prstGeom>
                    <a:noFill/>
                  </pic:spPr>
                </pic:pic>
              </a:graphicData>
            </a:graphic>
          </wp:anchor>
        </w:drawing>
        <w:t>UNITED STATES</w:t>
      </w:r>
    </w:p>
    <w:p>
      <w:pPr>
        <w:spacing w:after="0" w:line="28" w:lineRule="exact"/>
        <w:rPr>
          <w:sz w:val="24"/>
          <w:szCs w:val="24"/>
          <w:color w:val="auto"/>
        </w:rPr>
      </w:pPr>
    </w:p>
    <w:p>
      <w:pPr>
        <w:jc w:val="center"/>
        <w:ind w:right="-7"/>
        <w:spacing w:after="0"/>
        <w:rPr>
          <w:sz w:val="20"/>
          <w:szCs w:val="20"/>
          <w:color w:val="auto"/>
        </w:rPr>
      </w:pPr>
      <w:r>
        <w:rPr>
          <w:rFonts w:ascii="Arial" w:cs="Arial" w:eastAsia="Arial" w:hAnsi="Arial"/>
          <w:sz w:val="17"/>
          <w:szCs w:val="17"/>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Washington, D.C. 20549</w:t>
      </w:r>
    </w:p>
    <w:p>
      <w:pPr>
        <w:spacing w:after="0" w:line="134" w:lineRule="exact"/>
        <w:rPr>
          <w:sz w:val="24"/>
          <w:szCs w:val="24"/>
          <w:color w:val="auto"/>
        </w:rPr>
      </w:pPr>
    </w:p>
    <w:p>
      <w:pPr>
        <w:jc w:val="center"/>
        <w:ind w:right="-7"/>
        <w:spacing w:after="0"/>
        <w:rPr>
          <w:sz w:val="20"/>
          <w:szCs w:val="20"/>
          <w:color w:val="auto"/>
        </w:rPr>
      </w:pPr>
      <w:r>
        <w:rPr>
          <w:rFonts w:ascii="Arial" w:cs="Arial" w:eastAsia="Arial" w:hAnsi="Arial"/>
          <w:sz w:val="17"/>
          <w:szCs w:val="17"/>
          <w:b w:val="1"/>
          <w:bCs w:val="1"/>
          <w:color w:val="auto"/>
        </w:rPr>
        <w:t>FORM 8-K</w:t>
      </w:r>
    </w:p>
    <w:p>
      <w:pPr>
        <w:spacing w:after="0" w:line="161"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CURRENT REPORT</w:t>
      </w:r>
    </w:p>
    <w:p>
      <w:pPr>
        <w:spacing w:after="0" w:line="154"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Pursuant to Section 13 or 15(d) of the Securities Exchange Act of 1934</w:t>
      </w:r>
    </w:p>
    <w:p>
      <w:pPr>
        <w:spacing w:after="0" w:line="154" w:lineRule="exact"/>
        <w:rPr>
          <w:sz w:val="24"/>
          <w:szCs w:val="24"/>
          <w:color w:val="auto"/>
        </w:rPr>
      </w:pPr>
    </w:p>
    <w:p>
      <w:pPr>
        <w:jc w:val="center"/>
        <w:ind w:right="-7"/>
        <w:spacing w:after="0"/>
        <w:rPr>
          <w:sz w:val="20"/>
          <w:szCs w:val="20"/>
          <w:color w:val="auto"/>
        </w:rPr>
      </w:pPr>
      <w:r>
        <w:rPr>
          <w:rFonts w:ascii="Arial" w:cs="Arial" w:eastAsia="Arial" w:hAnsi="Arial"/>
          <w:sz w:val="14"/>
          <w:szCs w:val="14"/>
          <w:color w:val="auto"/>
        </w:rPr>
        <w:t xml:space="preserve">Date of Report (Date of earliest event reported): </w:t>
      </w:r>
      <w:r>
        <w:rPr>
          <w:rFonts w:ascii="Arial" w:cs="Arial" w:eastAsia="Arial" w:hAnsi="Arial"/>
          <w:sz w:val="14"/>
          <w:szCs w:val="14"/>
          <w:b w:val="1"/>
          <w:bCs w:val="1"/>
          <w:color w:val="auto"/>
        </w:rPr>
        <w:t>April 23, 2026</w:t>
      </w:r>
    </w:p>
    <w:p>
      <w:pPr>
        <w:spacing w:after="0" w:line="141" w:lineRule="exact"/>
        <w:rPr>
          <w:sz w:val="24"/>
          <w:szCs w:val="24"/>
          <w:color w:val="auto"/>
        </w:rPr>
      </w:pPr>
    </w:p>
    <w:p>
      <w:pPr>
        <w:jc w:val="center"/>
        <w:ind w:right="-7"/>
        <w:spacing w:after="0"/>
        <w:rPr>
          <w:sz w:val="20"/>
          <w:szCs w:val="20"/>
          <w:color w:val="auto"/>
        </w:rPr>
      </w:pPr>
      <w:r>
        <w:rPr>
          <w:rFonts w:ascii="Arial" w:cs="Arial" w:eastAsia="Arial" w:hAnsi="Arial"/>
          <w:sz w:val="19"/>
          <w:szCs w:val="19"/>
          <w:b w:val="1"/>
          <w:bCs w:val="1"/>
          <w:color w:val="auto"/>
        </w:rPr>
        <w:t>AMERICAN AIRLINES GROUP INC.</w:t>
      </w:r>
    </w:p>
    <w:p>
      <w:pPr>
        <w:spacing w:after="0" w:line="36" w:lineRule="exact"/>
        <w:rPr>
          <w:sz w:val="24"/>
          <w:szCs w:val="24"/>
          <w:color w:val="auto"/>
        </w:rPr>
      </w:pPr>
    </w:p>
    <w:p>
      <w:pPr>
        <w:jc w:val="center"/>
        <w:ind w:right="-7"/>
        <w:spacing w:after="0"/>
        <w:rPr>
          <w:sz w:val="20"/>
          <w:szCs w:val="20"/>
          <w:color w:val="auto"/>
        </w:rPr>
      </w:pPr>
      <w:r>
        <w:rPr>
          <w:rFonts w:ascii="Arial" w:cs="Arial" w:eastAsia="Arial" w:hAnsi="Arial"/>
          <w:sz w:val="19"/>
          <w:szCs w:val="19"/>
          <w:b w:val="1"/>
          <w:bCs w:val="1"/>
          <w:color w:val="auto"/>
        </w:rPr>
        <w:t>AMERICAN AIRLINES, INC.</w:t>
      </w:r>
    </w:p>
    <w:p>
      <w:pPr>
        <w:spacing w:after="0" w:line="9"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(Exact name of registrant as specified in its charter)</w:t>
      </w:r>
    </w:p>
    <w:p>
      <w:pPr>
        <w:spacing w:after="0" w:line="84" w:lineRule="exact"/>
        <w:rPr>
          <w:sz w:val="24"/>
          <w:szCs w:val="24"/>
          <w:color w:val="auto"/>
        </w:rPr>
      </w:pPr>
    </w:p>
    <w:tbl>
      <w:tblPr>
        <w:tblLayout w:type="fixed"/>
        <w:tblInd w:w="8"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382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98"/>
              </w:rPr>
              <w:t>Delaware</w:t>
            </w:r>
          </w:p>
        </w:tc>
        <w:tc>
          <w:tcPr>
            <w:tcW w:w="1000" w:type="dxa"/>
            <w:vAlign w:val="bottom"/>
          </w:tcPr>
          <w:p>
            <w:pPr>
              <w:spacing w:after="0"/>
              <w:rPr>
                <w:sz w:val="13"/>
                <w:szCs w:val="13"/>
                <w:color w:val="auto"/>
              </w:rPr>
            </w:pPr>
          </w:p>
        </w:tc>
        <w:tc>
          <w:tcPr>
            <w:tcW w:w="1780" w:type="dxa"/>
            <w:vAlign w:val="bottom"/>
          </w:tcPr>
          <w:p>
            <w:pPr>
              <w:jc w:val="center"/>
              <w:ind w:right="342"/>
              <w:spacing w:after="0"/>
              <w:rPr>
                <w:sz w:val="20"/>
                <w:szCs w:val="20"/>
                <w:color w:val="auto"/>
              </w:rPr>
            </w:pPr>
            <w:r>
              <w:rPr>
                <w:rFonts w:ascii="Arial" w:cs="Arial" w:eastAsia="Arial" w:hAnsi="Arial"/>
                <w:sz w:val="12"/>
                <w:szCs w:val="12"/>
                <w:b w:val="1"/>
                <w:bCs w:val="1"/>
                <w:color w:val="auto"/>
              </w:rPr>
              <w:t>1-8400</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380" w:type="dxa"/>
            <w:vAlign w:val="bottom"/>
          </w:tcPr>
          <w:p>
            <w:pPr>
              <w:jc w:val="center"/>
              <w:ind w:left="164"/>
              <w:spacing w:after="0"/>
              <w:rPr>
                <w:sz w:val="20"/>
                <w:szCs w:val="20"/>
                <w:color w:val="auto"/>
              </w:rPr>
            </w:pPr>
            <w:r>
              <w:rPr>
                <w:rFonts w:ascii="Arial" w:cs="Arial" w:eastAsia="Arial" w:hAnsi="Arial"/>
                <w:sz w:val="12"/>
                <w:szCs w:val="12"/>
                <w:b w:val="1"/>
                <w:bCs w:val="1"/>
                <w:color w:val="auto"/>
                <w:w w:val="99"/>
              </w:rPr>
              <w:t>75-1825172</w:t>
            </w:r>
          </w:p>
        </w:tc>
        <w:tc>
          <w:tcPr>
            <w:tcW w:w="240" w:type="dxa"/>
            <w:vAlign w:val="bottom"/>
          </w:tcPr>
          <w:p>
            <w:pPr>
              <w:spacing w:after="0"/>
              <w:rPr>
                <w:sz w:val="13"/>
                <w:szCs w:val="13"/>
                <w:color w:val="auto"/>
              </w:rPr>
            </w:pPr>
          </w:p>
        </w:tc>
      </w:tr>
      <w:tr>
        <w:trPr>
          <w:trHeight w:val="157"/>
        </w:trPr>
        <w:tc>
          <w:tcPr>
            <w:tcW w:w="240" w:type="dxa"/>
            <w:vAlign w:val="bottom"/>
            <w:tcBorders>
              <w:bottom w:val="single" w:sz="8" w:color="auto"/>
            </w:tcBorders>
          </w:tcPr>
          <w:p>
            <w:pPr>
              <w:spacing w:after="0"/>
              <w:rPr>
                <w:sz w:val="13"/>
                <w:szCs w:val="13"/>
                <w:color w:val="auto"/>
              </w:rPr>
            </w:pPr>
          </w:p>
        </w:tc>
        <w:tc>
          <w:tcPr>
            <w:tcW w:w="3600" w:type="dxa"/>
            <w:vAlign w:val="bottom"/>
            <w:tcBorders>
              <w:bottom w:val="single" w:sz="8" w:color="auto"/>
            </w:tcBorders>
          </w:tcPr>
          <w:p>
            <w:pPr>
              <w:jc w:val="center"/>
              <w:ind w:right="184"/>
              <w:spacing w:after="0"/>
              <w:rPr>
                <w:sz w:val="20"/>
                <w:szCs w:val="20"/>
                <w:color w:val="auto"/>
              </w:rPr>
            </w:pPr>
            <w:r>
              <w:rPr>
                <w:rFonts w:ascii="Arial" w:cs="Arial" w:eastAsia="Arial" w:hAnsi="Arial"/>
                <w:sz w:val="12"/>
                <w:szCs w:val="12"/>
                <w:b w:val="1"/>
                <w:bCs w:val="1"/>
                <w:color w:val="auto"/>
                <w:w w:val="98"/>
              </w:rPr>
              <w:t>Delaware</w:t>
            </w:r>
          </w:p>
        </w:tc>
        <w:tc>
          <w:tcPr>
            <w:tcW w:w="2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center"/>
              <w:ind w:right="342"/>
              <w:spacing w:after="0"/>
              <w:rPr>
                <w:sz w:val="20"/>
                <w:szCs w:val="20"/>
                <w:color w:val="auto"/>
              </w:rPr>
            </w:pPr>
            <w:r>
              <w:rPr>
                <w:rFonts w:ascii="Arial" w:cs="Arial" w:eastAsia="Arial" w:hAnsi="Arial"/>
                <w:sz w:val="12"/>
                <w:szCs w:val="12"/>
                <w:b w:val="1"/>
                <w:bCs w:val="1"/>
                <w:color w:val="auto"/>
              </w:rPr>
              <w:t>1-2691</w:t>
            </w:r>
          </w:p>
        </w:tc>
        <w:tc>
          <w:tcPr>
            <w:tcW w:w="3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380" w:type="dxa"/>
            <w:vAlign w:val="bottom"/>
            <w:tcBorders>
              <w:bottom w:val="single" w:sz="8" w:color="auto"/>
            </w:tcBorders>
          </w:tcPr>
          <w:p>
            <w:pPr>
              <w:jc w:val="center"/>
              <w:ind w:left="164"/>
              <w:spacing w:after="0"/>
              <w:rPr>
                <w:sz w:val="20"/>
                <w:szCs w:val="20"/>
                <w:color w:val="auto"/>
              </w:rPr>
            </w:pPr>
            <w:r>
              <w:rPr>
                <w:rFonts w:ascii="Arial" w:cs="Arial" w:eastAsia="Arial" w:hAnsi="Arial"/>
                <w:sz w:val="12"/>
                <w:szCs w:val="12"/>
                <w:b w:val="1"/>
                <w:bCs w:val="1"/>
                <w:color w:val="auto"/>
                <w:w w:val="99"/>
              </w:rPr>
              <w:t>13-1502798</w:t>
            </w:r>
          </w:p>
        </w:tc>
        <w:tc>
          <w:tcPr>
            <w:tcW w:w="240" w:type="dxa"/>
            <w:vAlign w:val="bottom"/>
            <w:tcBorders>
              <w:bottom w:val="single" w:sz="8" w:color="auto"/>
            </w:tcBorders>
          </w:tcPr>
          <w:p>
            <w:pPr>
              <w:spacing w:after="0"/>
              <w:rPr>
                <w:sz w:val="13"/>
                <w:szCs w:val="13"/>
                <w:color w:val="auto"/>
              </w:rPr>
            </w:pPr>
          </w:p>
        </w:tc>
      </w:tr>
      <w:tr>
        <w:trPr>
          <w:trHeight w:val="122"/>
        </w:trPr>
        <w:tc>
          <w:tcPr>
            <w:tcW w:w="240" w:type="dxa"/>
            <w:vAlign w:val="bottom"/>
          </w:tcPr>
          <w:p>
            <w:pPr>
              <w:spacing w:after="0"/>
              <w:rPr>
                <w:sz w:val="10"/>
                <w:szCs w:val="10"/>
                <w:color w:val="auto"/>
              </w:rPr>
            </w:pPr>
          </w:p>
        </w:tc>
        <w:tc>
          <w:tcPr>
            <w:tcW w:w="382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5"/>
              </w:rPr>
              <w:t>(State or other Jurisdiction of Incorporation)</w:t>
            </w:r>
          </w:p>
        </w:tc>
        <w:tc>
          <w:tcPr>
            <w:tcW w:w="1000" w:type="dxa"/>
            <w:vAlign w:val="bottom"/>
          </w:tcPr>
          <w:p>
            <w:pPr>
              <w:spacing w:after="0"/>
              <w:rPr>
                <w:sz w:val="10"/>
                <w:szCs w:val="10"/>
                <w:color w:val="auto"/>
              </w:rPr>
            </w:pPr>
          </w:p>
        </w:tc>
        <w:tc>
          <w:tcPr>
            <w:tcW w:w="2600" w:type="dxa"/>
            <w:vAlign w:val="bottom"/>
            <w:gridSpan w:val="4"/>
          </w:tcPr>
          <w:p>
            <w:pPr>
              <w:jc w:val="center"/>
              <w:ind w:right="1220"/>
              <w:spacing w:after="0"/>
              <w:rPr>
                <w:sz w:val="20"/>
                <w:szCs w:val="20"/>
                <w:color w:val="auto"/>
              </w:rPr>
            </w:pPr>
            <w:r>
              <w:rPr>
                <w:rFonts w:ascii="Arial" w:cs="Arial" w:eastAsia="Arial" w:hAnsi="Arial"/>
                <w:sz w:val="10"/>
                <w:szCs w:val="10"/>
                <w:b w:val="1"/>
                <w:bCs w:val="1"/>
                <w:color w:val="auto"/>
                <w:w w:val="95"/>
              </w:rPr>
              <w:t>(Commission File Number)</w:t>
            </w:r>
          </w:p>
        </w:tc>
        <w:tc>
          <w:tcPr>
            <w:tcW w:w="3620" w:type="dxa"/>
            <w:vAlign w:val="bottom"/>
            <w:gridSpan w:val="2"/>
          </w:tcPr>
          <w:p>
            <w:pPr>
              <w:jc w:val="center"/>
              <w:spacing w:after="0"/>
              <w:rPr>
                <w:sz w:val="20"/>
                <w:szCs w:val="20"/>
                <w:color w:val="auto"/>
              </w:rPr>
            </w:pPr>
            <w:r>
              <w:rPr>
                <w:rFonts w:ascii="Arial" w:cs="Arial" w:eastAsia="Arial" w:hAnsi="Arial"/>
                <w:sz w:val="10"/>
                <w:szCs w:val="10"/>
                <w:b w:val="1"/>
                <w:bCs w:val="1"/>
                <w:color w:val="auto"/>
                <w:w w:val="96"/>
              </w:rPr>
              <w:t>(IRS Employer Identification No.)</w:t>
            </w:r>
          </w:p>
        </w:tc>
      </w:tr>
      <w:tr>
        <w:trPr>
          <w:trHeight w:val="466"/>
        </w:trPr>
        <w:tc>
          <w:tcPr>
            <w:tcW w:w="240" w:type="dxa"/>
            <w:vAlign w:val="bottom"/>
          </w:tcPr>
          <w:p>
            <w:pPr>
              <w:spacing w:after="0"/>
              <w:rPr>
                <w:sz w:val="24"/>
                <w:szCs w:val="24"/>
                <w:color w:val="auto"/>
              </w:rPr>
            </w:pPr>
          </w:p>
        </w:tc>
        <w:tc>
          <w:tcPr>
            <w:tcW w:w="3820" w:type="dxa"/>
            <w:vAlign w:val="bottom"/>
            <w:gridSpan w:val="2"/>
          </w:tcPr>
          <w:p>
            <w:pPr>
              <w:ind w:left="2800"/>
              <w:spacing w:after="0"/>
              <w:rPr>
                <w:sz w:val="20"/>
                <w:szCs w:val="20"/>
                <w:color w:val="auto"/>
              </w:rPr>
            </w:pPr>
            <w:r>
              <w:rPr>
                <w:rFonts w:ascii="Arial" w:cs="Arial" w:eastAsia="Arial" w:hAnsi="Arial"/>
                <w:sz w:val="12"/>
                <w:szCs w:val="12"/>
                <w:b w:val="1"/>
                <w:bCs w:val="1"/>
                <w:color w:val="auto"/>
              </w:rPr>
              <w:t>1 Skyview Drive,</w:t>
            </w:r>
          </w:p>
        </w:tc>
        <w:tc>
          <w:tcPr>
            <w:tcW w:w="1000" w:type="dxa"/>
            <w:vAlign w:val="bottom"/>
          </w:tcPr>
          <w:p>
            <w:pPr>
              <w:ind w:left="280"/>
              <w:spacing w:after="0"/>
              <w:rPr>
                <w:sz w:val="20"/>
                <w:szCs w:val="20"/>
                <w:color w:val="auto"/>
              </w:rPr>
            </w:pPr>
            <w:r>
              <w:rPr>
                <w:rFonts w:ascii="Arial" w:cs="Arial" w:eastAsia="Arial" w:hAnsi="Arial"/>
                <w:sz w:val="12"/>
                <w:szCs w:val="12"/>
                <w:b w:val="1"/>
                <w:bCs w:val="1"/>
                <w:color w:val="auto"/>
              </w:rPr>
              <w:t>Fort Worth,</w:t>
            </w:r>
          </w:p>
        </w:tc>
        <w:tc>
          <w:tcPr>
            <w:tcW w:w="2600" w:type="dxa"/>
            <w:vAlign w:val="bottom"/>
            <w:gridSpan w:val="4"/>
          </w:tcPr>
          <w:p>
            <w:pPr>
              <w:ind w:left="280"/>
              <w:spacing w:after="0"/>
              <w:rPr>
                <w:sz w:val="20"/>
                <w:szCs w:val="20"/>
                <w:color w:val="auto"/>
              </w:rPr>
            </w:pPr>
            <w:r>
              <w:rPr>
                <w:rFonts w:ascii="Arial" w:cs="Arial" w:eastAsia="Arial" w:hAnsi="Arial"/>
                <w:sz w:val="12"/>
                <w:szCs w:val="12"/>
                <w:b w:val="1"/>
                <w:bCs w:val="1"/>
                <w:color w:val="auto"/>
              </w:rPr>
              <w:t>Texas</w:t>
            </w:r>
          </w:p>
        </w:tc>
        <w:tc>
          <w:tcPr>
            <w:tcW w:w="3380" w:type="dxa"/>
            <w:vAlign w:val="bottom"/>
          </w:tcPr>
          <w:p>
            <w:pPr>
              <w:jc w:val="center"/>
              <w:ind w:right="384"/>
              <w:spacing w:after="0"/>
              <w:rPr>
                <w:sz w:val="20"/>
                <w:szCs w:val="20"/>
                <w:color w:val="auto"/>
              </w:rPr>
            </w:pPr>
            <w:r>
              <w:rPr>
                <w:rFonts w:ascii="Arial" w:cs="Arial" w:eastAsia="Arial" w:hAnsi="Arial"/>
                <w:sz w:val="12"/>
                <w:szCs w:val="12"/>
                <w:b w:val="1"/>
                <w:bCs w:val="1"/>
                <w:color w:val="auto"/>
              </w:rPr>
              <w:t>76155</w:t>
            </w:r>
          </w:p>
        </w:tc>
        <w:tc>
          <w:tcPr>
            <w:tcW w:w="240" w:type="dxa"/>
            <w:vAlign w:val="bottom"/>
          </w:tcPr>
          <w:p>
            <w:pPr>
              <w:spacing w:after="0"/>
              <w:rPr>
                <w:sz w:val="24"/>
                <w:szCs w:val="24"/>
                <w:color w:val="auto"/>
              </w:rPr>
            </w:pPr>
          </w:p>
        </w:tc>
      </w:tr>
      <w:tr>
        <w:trPr>
          <w:trHeight w:val="157"/>
        </w:trPr>
        <w:tc>
          <w:tcPr>
            <w:tcW w:w="240" w:type="dxa"/>
            <w:vAlign w:val="bottom"/>
          </w:tcPr>
          <w:p>
            <w:pPr>
              <w:spacing w:after="0"/>
              <w:rPr>
                <w:sz w:val="13"/>
                <w:szCs w:val="13"/>
                <w:color w:val="auto"/>
              </w:rPr>
            </w:pPr>
          </w:p>
        </w:tc>
        <w:tc>
          <w:tcPr>
            <w:tcW w:w="3820" w:type="dxa"/>
            <w:vAlign w:val="bottom"/>
            <w:tcBorders>
              <w:bottom w:val="single" w:sz="8" w:color="auto"/>
            </w:tcBorders>
            <w:gridSpan w:val="2"/>
          </w:tcPr>
          <w:p>
            <w:pPr>
              <w:ind w:left="2800"/>
              <w:spacing w:after="0"/>
              <w:rPr>
                <w:sz w:val="20"/>
                <w:szCs w:val="20"/>
                <w:color w:val="auto"/>
              </w:rPr>
            </w:pPr>
            <w:r>
              <w:rPr>
                <w:rFonts w:ascii="Arial" w:cs="Arial" w:eastAsia="Arial" w:hAnsi="Arial"/>
                <w:sz w:val="12"/>
                <w:szCs w:val="12"/>
                <w:b w:val="1"/>
                <w:bCs w:val="1"/>
                <w:color w:val="auto"/>
              </w:rPr>
              <w:t>1 Skyview Drive,</w:t>
            </w:r>
          </w:p>
        </w:tc>
        <w:tc>
          <w:tcPr>
            <w:tcW w:w="1000" w:type="dxa"/>
            <w:vAlign w:val="bottom"/>
            <w:tcBorders>
              <w:bottom w:val="single" w:sz="8" w:color="auto"/>
            </w:tcBorders>
          </w:tcPr>
          <w:p>
            <w:pPr>
              <w:ind w:left="280"/>
              <w:spacing w:after="0"/>
              <w:rPr>
                <w:sz w:val="20"/>
                <w:szCs w:val="20"/>
                <w:color w:val="auto"/>
              </w:rPr>
            </w:pPr>
            <w:r>
              <w:rPr>
                <w:rFonts w:ascii="Arial" w:cs="Arial" w:eastAsia="Arial" w:hAnsi="Arial"/>
                <w:sz w:val="12"/>
                <w:szCs w:val="12"/>
                <w:b w:val="1"/>
                <w:bCs w:val="1"/>
                <w:color w:val="auto"/>
              </w:rPr>
              <w:t>Fort Worth,</w:t>
            </w:r>
          </w:p>
        </w:tc>
        <w:tc>
          <w:tcPr>
            <w:tcW w:w="1780" w:type="dxa"/>
            <w:vAlign w:val="bottom"/>
            <w:tcBorders>
              <w:bottom w:val="single" w:sz="8" w:color="auto"/>
            </w:tcBorders>
          </w:tcPr>
          <w:p>
            <w:pPr>
              <w:ind w:left="280"/>
              <w:spacing w:after="0"/>
              <w:rPr>
                <w:sz w:val="20"/>
                <w:szCs w:val="20"/>
                <w:color w:val="auto"/>
              </w:rPr>
            </w:pPr>
            <w:r>
              <w:rPr>
                <w:rFonts w:ascii="Arial" w:cs="Arial" w:eastAsia="Arial" w:hAnsi="Arial"/>
                <w:sz w:val="12"/>
                <w:szCs w:val="12"/>
                <w:b w:val="1"/>
                <w:bCs w:val="1"/>
                <w:color w:val="auto"/>
              </w:rPr>
              <w:t>Texas</w:t>
            </w:r>
          </w:p>
        </w:tc>
        <w:tc>
          <w:tcPr>
            <w:tcW w:w="380" w:type="dxa"/>
            <w:vAlign w:val="bottom"/>
          </w:tcPr>
          <w:p>
            <w:pPr>
              <w:spacing w:after="0"/>
              <w:rPr>
                <w:sz w:val="13"/>
                <w:szCs w:val="13"/>
                <w:color w:val="auto"/>
              </w:rPr>
            </w:pPr>
          </w:p>
        </w:tc>
        <w:tc>
          <w:tcPr>
            <w:tcW w:w="440" w:type="dxa"/>
            <w:vAlign w:val="bottom"/>
            <w:tcBorders>
              <w:bottom w:val="single" w:sz="8" w:color="auto"/>
            </w:tcBorders>
            <w:gridSpan w:val="2"/>
          </w:tcPr>
          <w:p>
            <w:pPr>
              <w:spacing w:after="0"/>
              <w:rPr>
                <w:sz w:val="13"/>
                <w:szCs w:val="13"/>
                <w:color w:val="auto"/>
              </w:rPr>
            </w:pPr>
          </w:p>
        </w:tc>
        <w:tc>
          <w:tcPr>
            <w:tcW w:w="3380" w:type="dxa"/>
            <w:vAlign w:val="bottom"/>
            <w:tcBorders>
              <w:bottom w:val="single" w:sz="8" w:color="auto"/>
            </w:tcBorders>
          </w:tcPr>
          <w:p>
            <w:pPr>
              <w:jc w:val="center"/>
              <w:ind w:right="384"/>
              <w:spacing w:after="0"/>
              <w:rPr>
                <w:sz w:val="20"/>
                <w:szCs w:val="20"/>
                <w:color w:val="auto"/>
              </w:rPr>
            </w:pPr>
            <w:r>
              <w:rPr>
                <w:rFonts w:ascii="Arial" w:cs="Arial" w:eastAsia="Arial" w:hAnsi="Arial"/>
                <w:sz w:val="12"/>
                <w:szCs w:val="12"/>
                <w:b w:val="1"/>
                <w:bCs w:val="1"/>
                <w:color w:val="auto"/>
              </w:rPr>
              <w:t>76155</w:t>
            </w:r>
          </w:p>
        </w:tc>
        <w:tc>
          <w:tcPr>
            <w:tcW w:w="240" w:type="dxa"/>
            <w:vAlign w:val="bottom"/>
          </w:tcPr>
          <w:p>
            <w:pPr>
              <w:spacing w:after="0"/>
              <w:rPr>
                <w:sz w:val="13"/>
                <w:szCs w:val="13"/>
                <w:color w:val="auto"/>
              </w:rPr>
            </w:pPr>
          </w:p>
        </w:tc>
      </w:tr>
      <w:tr>
        <w:trPr>
          <w:trHeight w:val="122"/>
        </w:trPr>
        <w:tc>
          <w:tcPr>
            <w:tcW w:w="240" w:type="dxa"/>
            <w:vAlign w:val="bottom"/>
          </w:tcPr>
          <w:p>
            <w:pPr>
              <w:spacing w:after="0"/>
              <w:rPr>
                <w:sz w:val="10"/>
                <w:szCs w:val="10"/>
                <w:color w:val="auto"/>
              </w:rPr>
            </w:pPr>
          </w:p>
        </w:tc>
        <w:tc>
          <w:tcPr>
            <w:tcW w:w="4820" w:type="dxa"/>
            <w:vAlign w:val="bottom"/>
            <w:gridSpan w:val="3"/>
          </w:tcPr>
          <w:p>
            <w:pPr>
              <w:ind w:left="2400"/>
              <w:spacing w:after="0"/>
              <w:rPr>
                <w:sz w:val="20"/>
                <w:szCs w:val="20"/>
                <w:color w:val="auto"/>
              </w:rPr>
            </w:pPr>
            <w:r>
              <w:rPr>
                <w:rFonts w:ascii="Arial" w:cs="Arial" w:eastAsia="Arial" w:hAnsi="Arial"/>
                <w:sz w:val="10"/>
                <w:szCs w:val="10"/>
                <w:b w:val="1"/>
                <w:bCs w:val="1"/>
                <w:color w:val="auto"/>
              </w:rPr>
              <w:t>(Address of principal executive offices)</w:t>
            </w:r>
          </w:p>
        </w:tc>
        <w:tc>
          <w:tcPr>
            <w:tcW w:w="1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20" w:type="dxa"/>
            <w:vAlign w:val="bottom"/>
            <w:gridSpan w:val="2"/>
          </w:tcPr>
          <w:p>
            <w:pPr>
              <w:jc w:val="center"/>
              <w:ind w:right="680"/>
              <w:spacing w:after="0"/>
              <w:rPr>
                <w:sz w:val="20"/>
                <w:szCs w:val="20"/>
                <w:color w:val="auto"/>
              </w:rPr>
            </w:pPr>
            <w:r>
              <w:rPr>
                <w:rFonts w:ascii="Arial" w:cs="Arial" w:eastAsia="Arial" w:hAnsi="Arial"/>
                <w:sz w:val="10"/>
                <w:szCs w:val="10"/>
                <w:b w:val="1"/>
                <w:bCs w:val="1"/>
                <w:color w:val="auto"/>
                <w:w w:val="92"/>
              </w:rPr>
              <w:t>(Zip Code)</w:t>
            </w:r>
          </w:p>
        </w:tc>
      </w:tr>
    </w:tbl>
    <w:p>
      <w:pPr>
        <w:spacing w:after="0" w:line="133"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18" w:lineRule="exact"/>
        <w:rPr>
          <w:sz w:val="24"/>
          <w:szCs w:val="24"/>
          <w:color w:val="auto"/>
        </w:rPr>
      </w:pPr>
    </w:p>
    <w:p>
      <w:pPr>
        <w:ind w:left="5548" w:hanging="306"/>
        <w:spacing w:after="0"/>
        <w:tabs>
          <w:tab w:leader="none" w:pos="5548" w:val="left"/>
        </w:tabs>
        <w:numPr>
          <w:ilvl w:val="0"/>
          <w:numId w:val="1"/>
        </w:numPr>
        <w:rPr>
          <w:rFonts w:ascii="Arial" w:cs="Arial" w:eastAsia="Arial" w:hAnsi="Arial"/>
          <w:sz w:val="12"/>
          <w:szCs w:val="12"/>
          <w:b w:val="1"/>
          <w:bCs w:val="1"/>
          <w:color w:val="auto"/>
        </w:rPr>
      </w:pPr>
      <w:r>
        <w:rPr>
          <w:rFonts w:ascii="Arial" w:cs="Arial" w:eastAsia="Arial" w:hAnsi="Arial"/>
          <w:sz w:val="12"/>
          <w:szCs w:val="12"/>
          <w:b w:val="1"/>
          <w:bCs w:val="1"/>
          <w:color w:val="auto"/>
        </w:rPr>
        <w:t>278-9000</w:t>
      </w:r>
    </w:p>
    <w:p>
      <w:pPr>
        <w:spacing w:after="0" w:line="6" w:lineRule="exact"/>
        <w:rPr>
          <w:rFonts w:ascii="Arial" w:cs="Arial" w:eastAsia="Arial" w:hAnsi="Arial"/>
          <w:sz w:val="12"/>
          <w:szCs w:val="12"/>
          <w:b w:val="1"/>
          <w:bCs w:val="1"/>
          <w:color w:val="auto"/>
        </w:rPr>
      </w:pPr>
    </w:p>
    <w:p>
      <w:pPr>
        <w:ind w:left="5548" w:hanging="306"/>
        <w:spacing w:after="0"/>
        <w:tabs>
          <w:tab w:leader="none" w:pos="5548"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278-9000</w:t>
      </w:r>
    </w:p>
    <w:p>
      <w:pPr>
        <w:spacing w:after="0" w:line="73" w:lineRule="exact"/>
        <w:rPr>
          <w:sz w:val="24"/>
          <w:szCs w:val="24"/>
          <w:color w:val="auto"/>
        </w:rPr>
      </w:pPr>
    </w:p>
    <w:p>
      <w:pPr>
        <w:ind w:left="8"/>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w:t>
      </w:r>
    </w:p>
    <w:p>
      <w:pPr>
        <w:spacing w:after="0" w:line="99" w:lineRule="exact"/>
        <w:rPr>
          <w:sz w:val="24"/>
          <w:szCs w:val="24"/>
          <w:color w:val="auto"/>
        </w:rPr>
      </w:pPr>
    </w:p>
    <w:p>
      <w:pPr>
        <w:ind w:left="608" w:hanging="596"/>
        <w:spacing w:after="0"/>
        <w:tabs>
          <w:tab w:leader="none" w:pos="608" w:val="left"/>
        </w:tabs>
        <w:numPr>
          <w:ilvl w:val="0"/>
          <w:numId w:val="3"/>
        </w:numPr>
        <w:rPr>
          <w:rFonts w:ascii="MS PGothic" w:cs="MS PGothic" w:eastAsia="MS PGothic" w:hAnsi="MS PGothic"/>
          <w:sz w:val="12"/>
          <w:szCs w:val="12"/>
          <w:color w:val="auto"/>
        </w:rPr>
      </w:pPr>
      <w:r>
        <w:rPr>
          <w:rFonts w:ascii="Arial" w:cs="Arial" w:eastAsia="Arial" w:hAnsi="Arial"/>
          <w:sz w:val="11"/>
          <w:szCs w:val="11"/>
          <w:color w:val="auto"/>
        </w:rPr>
        <w:t>Written communications pursuant to Rule 425 under the Securities Act (17 CFR 230.425)</w:t>
      </w:r>
    </w:p>
    <w:p>
      <w:pPr>
        <w:spacing w:after="0" w:line="36" w:lineRule="exact"/>
        <w:rPr>
          <w:rFonts w:ascii="MS PGothic" w:cs="MS PGothic" w:eastAsia="MS PGothic" w:hAnsi="MS PGothic"/>
          <w:sz w:val="12"/>
          <w:szCs w:val="12"/>
          <w:color w:val="auto"/>
        </w:rPr>
      </w:pPr>
    </w:p>
    <w:p>
      <w:pPr>
        <w:ind w:left="608" w:hanging="596"/>
        <w:spacing w:after="0"/>
        <w:tabs>
          <w:tab w:leader="none" w:pos="608" w:val="left"/>
        </w:tabs>
        <w:numPr>
          <w:ilvl w:val="0"/>
          <w:numId w:val="3"/>
        </w:numPr>
        <w:rPr>
          <w:rFonts w:ascii="MS PGothic" w:cs="MS PGothic" w:eastAsia="MS PGothic" w:hAnsi="MS PGothic"/>
          <w:sz w:val="12"/>
          <w:szCs w:val="12"/>
          <w:color w:val="auto"/>
        </w:rPr>
      </w:pPr>
      <w:r>
        <w:rPr>
          <w:rFonts w:ascii="Arial" w:cs="Arial" w:eastAsia="Arial" w:hAnsi="Arial"/>
          <w:sz w:val="11"/>
          <w:szCs w:val="11"/>
          <w:color w:val="auto"/>
        </w:rPr>
        <w:t>Soliciting material pursuant to Rule 14a-12 under the Exchange Act (17 CFR 240.14a-12)</w:t>
      </w:r>
    </w:p>
    <w:p>
      <w:pPr>
        <w:spacing w:after="0" w:line="26" w:lineRule="exact"/>
        <w:rPr>
          <w:rFonts w:ascii="MS PGothic" w:cs="MS PGothic" w:eastAsia="MS PGothic" w:hAnsi="MS PGothic"/>
          <w:sz w:val="12"/>
          <w:szCs w:val="12"/>
          <w:color w:val="auto"/>
        </w:rPr>
      </w:pPr>
    </w:p>
    <w:p>
      <w:pPr>
        <w:ind w:left="608" w:hanging="596"/>
        <w:spacing w:after="0"/>
        <w:tabs>
          <w:tab w:leader="none" w:pos="608" w:val="left"/>
        </w:tabs>
        <w:numPr>
          <w:ilvl w:val="0"/>
          <w:numId w:val="3"/>
        </w:numPr>
        <w:rPr>
          <w:rFonts w:ascii="MS PGothic" w:cs="MS PGothic" w:eastAsia="MS PGothic" w:hAnsi="MS PGothic"/>
          <w:sz w:val="12"/>
          <w:szCs w:val="12"/>
          <w:color w:val="auto"/>
        </w:rPr>
      </w:pPr>
      <w:r>
        <w:rPr>
          <w:rFonts w:ascii="Arial" w:cs="Arial" w:eastAsia="Arial" w:hAnsi="Arial"/>
          <w:sz w:val="11"/>
          <w:szCs w:val="11"/>
          <w:color w:val="auto"/>
        </w:rPr>
        <w:t>Pre-commencement communications pursuant to Rule 14d-2(b) under the Exchange Act (17 CFR 240.14d-2(b))</w:t>
      </w:r>
    </w:p>
    <w:p>
      <w:pPr>
        <w:spacing w:after="0" w:line="26" w:lineRule="exact"/>
        <w:rPr>
          <w:rFonts w:ascii="MS PGothic" w:cs="MS PGothic" w:eastAsia="MS PGothic" w:hAnsi="MS PGothic"/>
          <w:sz w:val="12"/>
          <w:szCs w:val="12"/>
          <w:color w:val="auto"/>
        </w:rPr>
      </w:pPr>
    </w:p>
    <w:p>
      <w:pPr>
        <w:ind w:left="608" w:hanging="596"/>
        <w:spacing w:after="0"/>
        <w:tabs>
          <w:tab w:leader="none" w:pos="608" w:val="left"/>
        </w:tabs>
        <w:numPr>
          <w:ilvl w:val="0"/>
          <w:numId w:val="3"/>
        </w:numPr>
        <w:rPr>
          <w:rFonts w:ascii="MS PGothic" w:cs="MS PGothic" w:eastAsia="MS PGothic" w:hAnsi="MS PGothic"/>
          <w:sz w:val="12"/>
          <w:szCs w:val="12"/>
          <w:color w:val="auto"/>
        </w:rPr>
      </w:pPr>
      <w:r>
        <w:rPr>
          <w:rFonts w:ascii="Arial" w:cs="Arial" w:eastAsia="Arial" w:hAnsi="Arial"/>
          <w:sz w:val="11"/>
          <w:szCs w:val="11"/>
          <w:color w:val="auto"/>
        </w:rPr>
        <w:t>Pre-commencement communications pursuant to Rule 13e-4(c) under the Exchange Act (17 CFR 240.13e-4(c))</w:t>
      </w:r>
    </w:p>
    <w:p>
      <w:pPr>
        <w:spacing w:after="0" w:line="81" w:lineRule="exact"/>
        <w:rPr>
          <w:sz w:val="24"/>
          <w:szCs w:val="24"/>
          <w:color w:val="auto"/>
        </w:rPr>
      </w:pPr>
    </w:p>
    <w:p>
      <w:pPr>
        <w:ind w:left="8"/>
        <w:spacing w:after="0"/>
        <w:rPr>
          <w:sz w:val="20"/>
          <w:szCs w:val="20"/>
          <w:color w:val="auto"/>
        </w:rPr>
      </w:pPr>
      <w:r>
        <w:rPr>
          <w:rFonts w:ascii="Arial" w:cs="Arial" w:eastAsia="Arial" w:hAnsi="Arial"/>
          <w:sz w:val="12"/>
          <w:szCs w:val="12"/>
          <w:color w:val="auto"/>
        </w:rPr>
        <w:t>Securities registered pursuant to Section 12(b) of the Act:</w:t>
      </w:r>
    </w:p>
    <w:p>
      <w:pPr>
        <w:spacing w:after="0" w:line="77" w:lineRule="exact"/>
        <w:rPr>
          <w:sz w:val="24"/>
          <w:szCs w:val="24"/>
          <w:color w:val="auto"/>
        </w:rPr>
      </w:pPr>
    </w:p>
    <w:tbl>
      <w:tblPr>
        <w:tblLayout w:type="fixed"/>
        <w:tblInd w:w="28" w:type="dxa"/>
        <w:tblCellMar>
          <w:top w:w="0" w:type="dxa"/>
          <w:left w:w="0" w:type="dxa"/>
          <w:bottom w:w="0" w:type="dxa"/>
          <w:right w:w="0" w:type="dxa"/>
        </w:tblCellMar>
      </w:tblPr>
      <w:tr>
        <w:trPr>
          <w:trHeight w:val="115"/>
        </w:trPr>
        <w:tc>
          <w:tcPr>
            <w:tcW w:w="38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5"/>
              </w:rPr>
              <w:t>Title of each class</w:t>
            </w:r>
          </w:p>
        </w:tc>
        <w:tc>
          <w:tcPr>
            <w:tcW w:w="240" w:type="dxa"/>
            <w:vAlign w:val="bottom"/>
            <w:vMerge w:val="restart"/>
          </w:tcPr>
          <w:p>
            <w:pPr>
              <w:spacing w:after="0"/>
              <w:rPr>
                <w:sz w:val="10"/>
                <w:szCs w:val="10"/>
                <w:color w:val="auto"/>
              </w:rPr>
            </w:pPr>
          </w:p>
        </w:tc>
        <w:tc>
          <w:tcPr>
            <w:tcW w:w="35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2"/>
              </w:rPr>
              <w:t>Trading</w:t>
            </w:r>
          </w:p>
        </w:tc>
        <w:tc>
          <w:tcPr>
            <w:tcW w:w="3640" w:type="dxa"/>
            <w:vAlign w:val="bottom"/>
          </w:tcPr>
          <w:p>
            <w:pPr>
              <w:jc w:val="center"/>
              <w:spacing w:after="0"/>
              <w:rPr>
                <w:sz w:val="20"/>
                <w:szCs w:val="20"/>
                <w:color w:val="auto"/>
              </w:rPr>
            </w:pPr>
            <w:r>
              <w:rPr>
                <w:rFonts w:ascii="Arial" w:cs="Arial" w:eastAsia="Arial" w:hAnsi="Arial"/>
                <w:sz w:val="10"/>
                <w:szCs w:val="10"/>
                <w:b w:val="1"/>
                <w:bCs w:val="1"/>
                <w:color w:val="auto"/>
                <w:w w:val="94"/>
              </w:rPr>
              <w:t>Name of each exchange</w:t>
            </w:r>
          </w:p>
        </w:tc>
        <w:tc>
          <w:tcPr>
            <w:tcW w:w="0" w:type="dxa"/>
            <w:vAlign w:val="bottom"/>
          </w:tcPr>
          <w:p>
            <w:pPr>
              <w:spacing w:after="0"/>
              <w:rPr>
                <w:sz w:val="1"/>
                <w:szCs w:val="1"/>
                <w:color w:val="auto"/>
              </w:rPr>
            </w:pPr>
          </w:p>
        </w:tc>
      </w:tr>
      <w:tr>
        <w:trPr>
          <w:trHeight w:val="124"/>
        </w:trPr>
        <w:tc>
          <w:tcPr>
            <w:tcW w:w="3800" w:type="dxa"/>
            <w:vAlign w:val="bottom"/>
            <w:tcBorders>
              <w:bottom w:val="single" w:sz="8" w:color="auto"/>
            </w:tcBorders>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Symbol(s)</w:t>
            </w:r>
          </w:p>
        </w:tc>
        <w:tc>
          <w:tcPr>
            <w:tcW w:w="180" w:type="dxa"/>
            <w:vAlign w:val="bottom"/>
          </w:tcPr>
          <w:p>
            <w:pPr>
              <w:spacing w:after="0"/>
              <w:rPr>
                <w:sz w:val="10"/>
                <w:szCs w:val="10"/>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on which registered</w:t>
            </w:r>
          </w:p>
        </w:tc>
        <w:tc>
          <w:tcPr>
            <w:tcW w:w="0" w:type="dxa"/>
            <w:vAlign w:val="bottom"/>
          </w:tcPr>
          <w:p>
            <w:pPr>
              <w:spacing w:after="0"/>
              <w:rPr>
                <w:sz w:val="1"/>
                <w:szCs w:val="1"/>
                <w:color w:val="auto"/>
              </w:rPr>
            </w:pPr>
          </w:p>
        </w:tc>
      </w:tr>
      <w:tr>
        <w:trPr>
          <w:trHeight w:val="108"/>
        </w:trPr>
        <w:tc>
          <w:tcPr>
            <w:tcW w:w="4040" w:type="dxa"/>
            <w:vAlign w:val="bottom"/>
            <w:gridSpan w:val="2"/>
          </w:tcPr>
          <w:p>
            <w:pPr>
              <w:jc w:val="center"/>
              <w:ind w:right="220"/>
              <w:spacing w:after="0" w:line="109" w:lineRule="exact"/>
              <w:rPr>
                <w:sz w:val="20"/>
                <w:szCs w:val="20"/>
                <w:color w:val="auto"/>
              </w:rPr>
            </w:pPr>
            <w:r>
              <w:rPr>
                <w:rFonts w:ascii="Arial" w:cs="Arial" w:eastAsia="Arial" w:hAnsi="Arial"/>
                <w:sz w:val="10"/>
                <w:szCs w:val="10"/>
                <w:b w:val="1"/>
                <w:bCs w:val="1"/>
                <w:color w:val="auto"/>
                <w:w w:val="95"/>
              </w:rPr>
              <w:t>Common Stock, $0.01 par value per share</w:t>
            </w:r>
          </w:p>
        </w:tc>
        <w:tc>
          <w:tcPr>
            <w:tcW w:w="3560" w:type="dxa"/>
            <w:vAlign w:val="bottom"/>
            <w:gridSpan w:val="2"/>
          </w:tcPr>
          <w:p>
            <w:pPr>
              <w:jc w:val="center"/>
              <w:ind w:right="200"/>
              <w:spacing w:after="0" w:line="109" w:lineRule="exact"/>
              <w:rPr>
                <w:sz w:val="20"/>
                <w:szCs w:val="20"/>
                <w:color w:val="auto"/>
              </w:rPr>
            </w:pPr>
            <w:r>
              <w:rPr>
                <w:rFonts w:ascii="Arial" w:cs="Arial" w:eastAsia="Arial" w:hAnsi="Arial"/>
                <w:sz w:val="10"/>
                <w:szCs w:val="10"/>
                <w:b w:val="1"/>
                <w:bCs w:val="1"/>
                <w:color w:val="auto"/>
                <w:w w:val="97"/>
              </w:rPr>
              <w:t>AAL</w:t>
            </w:r>
          </w:p>
        </w:tc>
        <w:tc>
          <w:tcPr>
            <w:tcW w:w="3640" w:type="dxa"/>
            <w:vAlign w:val="bottom"/>
          </w:tcPr>
          <w:p>
            <w:pPr>
              <w:jc w:val="center"/>
              <w:spacing w:after="0" w:line="109" w:lineRule="exact"/>
              <w:rPr>
                <w:sz w:val="20"/>
                <w:szCs w:val="20"/>
                <w:color w:val="auto"/>
              </w:rPr>
            </w:pPr>
            <w:r>
              <w:rPr>
                <w:rFonts w:ascii="Arial" w:cs="Arial" w:eastAsia="Arial" w:hAnsi="Arial"/>
                <w:sz w:val="10"/>
                <w:szCs w:val="10"/>
                <w:b w:val="1"/>
                <w:bCs w:val="1"/>
                <w:color w:val="auto"/>
                <w:w w:val="96"/>
              </w:rPr>
              <w:t>The Nasdaq Global Select Market</w:t>
            </w:r>
          </w:p>
        </w:tc>
        <w:tc>
          <w:tcPr>
            <w:tcW w:w="0" w:type="dxa"/>
            <w:vAlign w:val="bottom"/>
          </w:tcPr>
          <w:p>
            <w:pPr>
              <w:spacing w:after="0"/>
              <w:rPr>
                <w:sz w:val="1"/>
                <w:szCs w:val="1"/>
                <w:color w:val="auto"/>
              </w:rPr>
            </w:pPr>
          </w:p>
        </w:tc>
      </w:tr>
      <w:tr>
        <w:trPr>
          <w:trHeight w:val="149"/>
        </w:trPr>
        <w:tc>
          <w:tcPr>
            <w:tcW w:w="40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6"/>
              </w:rPr>
              <w:t>Preferred Stock Purchase Rights</w:t>
            </w:r>
          </w:p>
        </w:tc>
        <w:tc>
          <w:tcPr>
            <w:tcW w:w="3560" w:type="dxa"/>
            <w:vAlign w:val="bottom"/>
            <w:gridSpan w:val="2"/>
          </w:tcPr>
          <w:p>
            <w:pPr>
              <w:jc w:val="center"/>
              <w:ind w:right="180"/>
              <w:spacing w:after="0"/>
              <w:rPr>
                <w:sz w:val="20"/>
                <w:szCs w:val="20"/>
                <w:color w:val="auto"/>
              </w:rPr>
            </w:pPr>
            <w:r>
              <w:rPr>
                <w:rFonts w:ascii="Arial" w:cs="Arial" w:eastAsia="Arial" w:hAnsi="Arial"/>
                <w:sz w:val="10"/>
                <w:szCs w:val="10"/>
                <w:color w:val="auto"/>
                <w:w w:val="99"/>
              </w:rPr>
              <w:t>—</w:t>
            </w:r>
          </w:p>
        </w:tc>
        <w:tc>
          <w:tcPr>
            <w:tcW w:w="3640" w:type="dxa"/>
            <w:vAlign w:val="bottom"/>
          </w:tcPr>
          <w:p>
            <w:pPr>
              <w:jc w:val="center"/>
              <w:spacing w:after="0"/>
              <w:rPr>
                <w:sz w:val="20"/>
                <w:szCs w:val="20"/>
                <w:color w:val="auto"/>
              </w:rPr>
            </w:pPr>
            <w:r>
              <w:rPr>
                <w:rFonts w:ascii="Arial" w:cs="Arial" w:eastAsia="Arial" w:hAnsi="Arial"/>
                <w:sz w:val="8"/>
                <w:szCs w:val="8"/>
                <w:b w:val="1"/>
                <w:bCs w:val="1"/>
                <w:color w:val="auto"/>
                <w:w w:val="81"/>
              </w:rPr>
              <w:t>(1)</w:t>
            </w:r>
          </w:p>
        </w:tc>
        <w:tc>
          <w:tcPr>
            <w:tcW w:w="0" w:type="dxa"/>
            <w:vAlign w:val="bottom"/>
          </w:tcPr>
          <w:p>
            <w:pPr>
              <w:spacing w:after="0"/>
              <w:rPr>
                <w:sz w:val="1"/>
                <w:szCs w:val="1"/>
                <w:color w:val="auto"/>
              </w:rPr>
            </w:pPr>
          </w:p>
        </w:tc>
      </w:tr>
    </w:tbl>
    <w:p>
      <w:pPr>
        <w:spacing w:after="0" w:line="128" w:lineRule="exact"/>
        <w:rPr>
          <w:sz w:val="24"/>
          <w:szCs w:val="24"/>
          <w:color w:val="auto"/>
        </w:rPr>
      </w:pPr>
    </w:p>
    <w:p>
      <w:pPr>
        <w:ind w:left="108" w:hanging="108"/>
        <w:spacing w:after="0"/>
        <w:tabs>
          <w:tab w:leader="none" w:pos="108" w:val="left"/>
        </w:tabs>
        <w:numPr>
          <w:ilvl w:val="0"/>
          <w:numId w:val="4"/>
        </w:numPr>
        <w:rPr>
          <w:rFonts w:ascii="Arial" w:cs="Arial" w:eastAsia="Arial" w:hAnsi="Arial"/>
          <w:sz w:val="12"/>
          <w:szCs w:val="12"/>
          <w:color w:val="auto"/>
          <w:vertAlign w:val="superscript"/>
        </w:rPr>
      </w:pPr>
      <w:r>
        <w:rPr>
          <w:rFonts w:ascii="Arial" w:cs="Arial" w:eastAsia="Arial" w:hAnsi="Arial"/>
          <w:sz w:val="10"/>
          <w:szCs w:val="10"/>
          <w:color w:val="auto"/>
        </w:rPr>
        <w:t>Attached to the Common Stock</w:t>
      </w:r>
    </w:p>
    <w:p>
      <w:pPr>
        <w:spacing w:after="0" w:line="56" w:lineRule="exact"/>
        <w:rPr>
          <w:sz w:val="24"/>
          <w:szCs w:val="24"/>
          <w:color w:val="auto"/>
        </w:rPr>
      </w:pPr>
    </w:p>
    <w:p>
      <w:pPr>
        <w:ind w:left="8"/>
        <w:spacing w:after="0" w:line="28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9468"/>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268" w:lineRule="exact"/>
        <w:rPr>
          <w:sz w:val="24"/>
          <w:szCs w:val="24"/>
          <w:color w:val="auto"/>
        </w:rPr>
      </w:pPr>
    </w:p>
    <w:p>
      <w:pPr>
        <w:ind w:left="8" w:right="480"/>
        <w:spacing w:after="0" w:line="150"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492125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156210</wp:posOffset>
            </wp:positionV>
            <wp:extent cx="71666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661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133350</wp:posOffset>
            </wp:positionV>
            <wp:extent cx="71666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ectPr>
          <w:pgSz w:w="11900" w:h="16838" w:orient="portrait"/>
          <w:cols w:equalWidth="0" w:num="1">
            <w:col w:w="11308"/>
          </w:cols>
          <w:pgMar w:left="292" w:top="782" w:right="299" w:bottom="1440" w:gutter="0" w:footer="0" w:header="0"/>
        </w:sectPr>
      </w:pPr>
    </w:p>
    <w:bookmarkStart w:id="1" w:name="page2"/>
    <w:bookmarkEnd w:id="1"/>
    <w:p>
      <w:pPr>
        <w:spacing w:after="0"/>
        <w:tabs>
          <w:tab w:leader="none" w:pos="1560" w:val="left"/>
        </w:tabs>
        <w:rPr>
          <w:sz w:val="20"/>
          <w:szCs w:val="20"/>
          <w:color w:val="auto"/>
        </w:rPr>
      </w:pPr>
      <w:r>
        <w:rPr>
          <w:rFonts w:ascii="Arial" w:cs="Arial" w:eastAsia="Arial" w:hAnsi="Arial"/>
          <w:sz w:val="12"/>
          <w:szCs w:val="12"/>
          <w:b w:val="1"/>
          <w:bCs w:val="1"/>
          <w:color w:val="auto"/>
        </w:rPr>
        <w:t>ITEM 2.02.</w:t>
      </w:r>
      <w:r>
        <w:rPr>
          <w:sz w:val="20"/>
          <w:szCs w:val="20"/>
          <w:color w:val="auto"/>
        </w:rPr>
        <w:tab/>
      </w:r>
      <w:r>
        <w:rPr>
          <w:rFonts w:ascii="Arial" w:cs="Arial" w:eastAsia="Arial" w:hAnsi="Arial"/>
          <w:sz w:val="11"/>
          <w:szCs w:val="11"/>
          <w:b w:val="1"/>
          <w:bCs w:val="1"/>
          <w:color w:val="auto"/>
        </w:rPr>
        <w:t>RESULTS OF OPERATIONS AND FINANCIAL CONDITION.</w:t>
      </w:r>
    </w:p>
    <w:p>
      <w:pPr>
        <w:spacing w:after="0" w:line="123"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On April 23, 2026, American Airlines Group Inc. (the Company) issued a press release reporting financial results for the three months ended March 31, 2026. The press release is furnished as Exhibit 99.1 to this report.</w:t>
      </w:r>
    </w:p>
    <w:p>
      <w:pPr>
        <w:spacing w:after="0" w:line="148" w:lineRule="exact"/>
        <w:rPr>
          <w:sz w:val="20"/>
          <w:szCs w:val="20"/>
          <w:color w:val="auto"/>
        </w:rPr>
      </w:pPr>
    </w:p>
    <w:p>
      <w:pPr>
        <w:spacing w:after="0"/>
        <w:tabs>
          <w:tab w:leader="none" w:pos="156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1"/>
          <w:szCs w:val="11"/>
          <w:b w:val="1"/>
          <w:bCs w:val="1"/>
          <w:color w:val="auto"/>
        </w:rPr>
        <w:t>REGULATION FD DISCLOSURE.</w:t>
      </w:r>
    </w:p>
    <w:p>
      <w:pPr>
        <w:spacing w:after="0" w:line="114"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 xml:space="preserve">On April 23, 2026, the Company provided a presentation to investors. This investor presentation is located on the Company’s website at </w:t>
      </w:r>
      <w:r>
        <w:rPr>
          <w:rFonts w:ascii="Arial" w:cs="Arial" w:eastAsia="Arial" w:hAnsi="Arial"/>
          <w:sz w:val="12"/>
          <w:szCs w:val="12"/>
          <w:u w:val="single" w:color="auto"/>
          <w:color w:val="0E32E1"/>
        </w:rPr>
        <w:t>www.aa.com</w:t>
      </w:r>
      <w:r>
        <w:rPr>
          <w:rFonts w:ascii="Arial" w:cs="Arial" w:eastAsia="Arial" w:hAnsi="Arial"/>
          <w:sz w:val="12"/>
          <w:szCs w:val="12"/>
          <w:color w:val="auto"/>
        </w:rPr>
        <w:t xml:space="preserve"> under “Investor Relations” and is furnished as Exhibit 99.2 to this report.</w:t>
      </w:r>
    </w:p>
    <w:p>
      <w:pPr>
        <w:spacing w:after="0" w:line="67" w:lineRule="exact"/>
        <w:rPr>
          <w:sz w:val="20"/>
          <w:szCs w:val="20"/>
          <w:color w:val="auto"/>
        </w:rPr>
      </w:pPr>
    </w:p>
    <w:p>
      <w:pPr>
        <w:jc w:val="both"/>
        <w:ind w:right="20"/>
        <w:spacing w:after="0" w:line="268" w:lineRule="auto"/>
        <w:rPr>
          <w:sz w:val="20"/>
          <w:szCs w:val="20"/>
          <w:color w:val="auto"/>
        </w:rPr>
      </w:pPr>
      <w:r>
        <w:rPr>
          <w:rFonts w:ascii="Arial" w:cs="Arial" w:eastAsia="Arial" w:hAnsi="Arial"/>
          <w:sz w:val="12"/>
          <w:szCs w:val="12"/>
          <w:color w:val="auto"/>
        </w:rPr>
        <w:t>The information in Items 2.02 and 7.01 of this Current Report on Form 8-K, including Exhibits 99.1 and 99.2, is being furnished and shall not be deemed to be “filed” for purposes of Section 18 of the Securities Exchange Act of 1934, as amended, or otherwise subject to the liabilities of that Section and shall not be deemed incorporated by reference into any registration statement or other document filed pursuant to the Securities Act of 1933, as amended, except as shall be expressly set forth by specific reference in such filing.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200" w:type="dxa"/>
            <w:vAlign w:val="bottom"/>
          </w:tcPr>
          <w:p>
            <w:pPr>
              <w:spacing w:after="0"/>
              <w:rPr>
                <w:sz w:val="20"/>
                <w:szCs w:val="20"/>
                <w:color w:val="auto"/>
              </w:rPr>
            </w:pPr>
            <w:r>
              <w:rPr>
                <w:rFonts w:ascii="Arial" w:cs="Arial" w:eastAsia="Arial" w:hAnsi="Arial"/>
                <w:sz w:val="12"/>
                <w:szCs w:val="12"/>
                <w:b w:val="1"/>
                <w:bCs w:val="1"/>
                <w:color w:val="auto"/>
              </w:rPr>
              <w:t>ITEM 9.01.</w:t>
            </w:r>
          </w:p>
        </w:tc>
        <w:tc>
          <w:tcPr>
            <w:tcW w:w="10100" w:type="dxa"/>
            <w:vAlign w:val="bottom"/>
            <w:gridSpan w:val="4"/>
          </w:tcPr>
          <w:p>
            <w:pPr>
              <w:ind w:left="380"/>
              <w:spacing w:after="0"/>
              <w:rPr>
                <w:sz w:val="20"/>
                <w:szCs w:val="20"/>
                <w:color w:val="auto"/>
              </w:rPr>
            </w:pPr>
            <w:r>
              <w:rPr>
                <w:rFonts w:ascii="Arial" w:cs="Arial" w:eastAsia="Arial" w:hAnsi="Arial"/>
                <w:sz w:val="12"/>
                <w:szCs w:val="12"/>
                <w:b w:val="1"/>
                <w:bCs w:val="1"/>
                <w:color w:val="auto"/>
              </w:rPr>
              <w:t>FINANCIAL STATEMENTS AND EXHIBITS.</w:t>
            </w:r>
          </w:p>
        </w:tc>
      </w:tr>
      <w:tr>
        <w:trPr>
          <w:trHeight w:val="306"/>
        </w:trPr>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(d) Exhibits.</w:t>
            </w:r>
          </w:p>
        </w:tc>
        <w:tc>
          <w:tcPr>
            <w:tcW w:w="1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40" w:type="dxa"/>
            <w:vAlign w:val="bottom"/>
          </w:tcPr>
          <w:p>
            <w:pPr>
              <w:spacing w:after="0"/>
              <w:rPr>
                <w:sz w:val="24"/>
                <w:szCs w:val="24"/>
                <w:color w:val="auto"/>
              </w:rPr>
            </w:pPr>
          </w:p>
        </w:tc>
      </w:tr>
      <w:tr>
        <w:trPr>
          <w:trHeight w:val="297"/>
        </w:trPr>
        <w:tc>
          <w:tcPr>
            <w:tcW w:w="1200" w:type="dxa"/>
            <w:vAlign w:val="bottom"/>
          </w:tcPr>
          <w:p>
            <w:pPr>
              <w:ind w:left="220"/>
              <w:spacing w:after="0"/>
              <w:rPr>
                <w:sz w:val="20"/>
                <w:szCs w:val="20"/>
                <w:color w:val="auto"/>
              </w:rPr>
            </w:pPr>
            <w:r>
              <w:rPr>
                <w:rFonts w:ascii="Arial" w:cs="Arial" w:eastAsia="Arial" w:hAnsi="Arial"/>
                <w:sz w:val="12"/>
                <w:szCs w:val="12"/>
                <w:b w:val="1"/>
                <w:bCs w:val="1"/>
                <w:color w:val="auto"/>
              </w:rPr>
              <w:t>Exhibit No.</w:t>
            </w:r>
          </w:p>
        </w:tc>
        <w:tc>
          <w:tcPr>
            <w:tcW w:w="1160" w:type="dxa"/>
            <w:vAlign w:val="bottom"/>
          </w:tcPr>
          <w:p>
            <w:pPr>
              <w:spacing w:after="0"/>
              <w:rPr>
                <w:sz w:val="24"/>
                <w:szCs w:val="24"/>
                <w:color w:val="auto"/>
              </w:rPr>
            </w:pPr>
          </w:p>
        </w:tc>
        <w:tc>
          <w:tcPr>
            <w:tcW w:w="8940" w:type="dxa"/>
            <w:vAlign w:val="bottom"/>
            <w:gridSpan w:val="3"/>
          </w:tcPr>
          <w:p>
            <w:pPr>
              <w:spacing w:after="0"/>
              <w:rPr>
                <w:sz w:val="20"/>
                <w:szCs w:val="20"/>
                <w:color w:val="auto"/>
              </w:rPr>
            </w:pPr>
            <w:r>
              <w:rPr>
                <w:rFonts w:ascii="Arial" w:cs="Arial" w:eastAsia="Arial" w:hAnsi="Arial"/>
                <w:sz w:val="12"/>
                <w:szCs w:val="12"/>
                <w:b w:val="1"/>
                <w:bCs w:val="1"/>
                <w:color w:val="auto"/>
              </w:rPr>
              <w:t>Description</w:t>
            </w:r>
          </w:p>
        </w:tc>
      </w:tr>
      <w:tr>
        <w:trPr>
          <w:trHeight w:val="154"/>
        </w:trPr>
        <w:tc>
          <w:tcPr>
            <w:tcW w:w="1200" w:type="dxa"/>
            <w:vAlign w:val="bottom"/>
          </w:tcPr>
          <w:p>
            <w:pPr>
              <w:ind w:left="220"/>
              <w:spacing w:after="0"/>
              <w:rPr>
                <w:sz w:val="20"/>
                <w:szCs w:val="20"/>
                <w:color w:val="auto"/>
              </w:rPr>
            </w:pPr>
            <w:r>
              <w:rPr>
                <w:rFonts w:ascii="Arial" w:cs="Arial" w:eastAsia="Arial" w:hAnsi="Arial"/>
                <w:sz w:val="12"/>
                <w:szCs w:val="12"/>
                <w:color w:val="auto"/>
              </w:rPr>
              <w:t>99.1</w:t>
            </w:r>
          </w:p>
        </w:tc>
        <w:tc>
          <w:tcPr>
            <w:tcW w:w="1160" w:type="dxa"/>
            <w:vAlign w:val="bottom"/>
          </w:tcPr>
          <w:p>
            <w:pPr>
              <w:spacing w:after="0"/>
              <w:rPr>
                <w:sz w:val="13"/>
                <w:szCs w:val="13"/>
                <w:color w:val="auto"/>
              </w:rPr>
            </w:pPr>
          </w:p>
        </w:tc>
        <w:tc>
          <w:tcPr>
            <w:tcW w:w="8940" w:type="dxa"/>
            <w:vAlign w:val="bottom"/>
            <w:gridSpan w:val="3"/>
          </w:tcPr>
          <w:p>
            <w:pPr>
              <w:spacing w:after="0"/>
              <w:rPr>
                <w:sz w:val="20"/>
                <w:szCs w:val="20"/>
                <w:color w:val="auto"/>
              </w:rPr>
            </w:pPr>
            <w:r>
              <w:rPr>
                <w:rFonts w:ascii="Arial" w:cs="Arial" w:eastAsia="Arial" w:hAnsi="Arial"/>
                <w:sz w:val="12"/>
                <w:szCs w:val="12"/>
                <w:color w:val="0000FF"/>
              </w:rPr>
              <w:t>Press Release, dated April 23, 2026.</w:t>
            </w:r>
          </w:p>
        </w:tc>
      </w:tr>
      <w:tr>
        <w:trPr>
          <w:trHeight w:val="20"/>
        </w:trPr>
        <w:tc>
          <w:tcPr>
            <w:tcW w:w="1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69"/>
        </w:trPr>
        <w:tc>
          <w:tcPr>
            <w:tcW w:w="1200" w:type="dxa"/>
            <w:vAlign w:val="bottom"/>
          </w:tcPr>
          <w:p>
            <w:pPr>
              <w:ind w:left="220"/>
              <w:spacing w:after="0"/>
              <w:rPr>
                <w:sz w:val="20"/>
                <w:szCs w:val="20"/>
                <w:color w:val="auto"/>
              </w:rPr>
            </w:pPr>
            <w:r>
              <w:rPr>
                <w:rFonts w:ascii="Arial" w:cs="Arial" w:eastAsia="Arial" w:hAnsi="Arial"/>
                <w:sz w:val="12"/>
                <w:szCs w:val="12"/>
                <w:color w:val="auto"/>
              </w:rPr>
              <w:t>99.2</w:t>
            </w:r>
          </w:p>
        </w:tc>
        <w:tc>
          <w:tcPr>
            <w:tcW w:w="1160" w:type="dxa"/>
            <w:vAlign w:val="bottom"/>
          </w:tcPr>
          <w:p>
            <w:pPr>
              <w:spacing w:after="0"/>
              <w:rPr>
                <w:sz w:val="14"/>
                <w:szCs w:val="14"/>
                <w:color w:val="auto"/>
              </w:rPr>
            </w:pPr>
          </w:p>
        </w:tc>
        <w:tc>
          <w:tcPr>
            <w:tcW w:w="8940" w:type="dxa"/>
            <w:vAlign w:val="bottom"/>
            <w:gridSpan w:val="3"/>
          </w:tcPr>
          <w:p>
            <w:pPr>
              <w:spacing w:after="0"/>
              <w:rPr>
                <w:sz w:val="20"/>
                <w:szCs w:val="20"/>
                <w:color w:val="auto"/>
              </w:rPr>
            </w:pPr>
            <w:r>
              <w:rPr>
                <w:rFonts w:ascii="Arial" w:cs="Arial" w:eastAsia="Arial" w:hAnsi="Arial"/>
                <w:sz w:val="12"/>
                <w:szCs w:val="12"/>
                <w:color w:val="0000FF"/>
              </w:rPr>
              <w:t>Investor Presentation, dated April 23, 2026.</w:t>
            </w:r>
          </w:p>
        </w:tc>
      </w:tr>
      <w:tr>
        <w:trPr>
          <w:trHeight w:val="20"/>
        </w:trPr>
        <w:tc>
          <w:tcPr>
            <w:tcW w:w="1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8"/>
        </w:trPr>
        <w:tc>
          <w:tcPr>
            <w:tcW w:w="1200" w:type="dxa"/>
            <w:vAlign w:val="bottom"/>
          </w:tcPr>
          <w:p>
            <w:pPr>
              <w:ind w:left="220"/>
              <w:spacing w:after="0"/>
              <w:rPr>
                <w:sz w:val="20"/>
                <w:szCs w:val="20"/>
                <w:color w:val="auto"/>
              </w:rPr>
            </w:pPr>
            <w:r>
              <w:rPr>
                <w:rFonts w:ascii="Arial" w:cs="Arial" w:eastAsia="Arial" w:hAnsi="Arial"/>
                <w:sz w:val="12"/>
                <w:szCs w:val="12"/>
                <w:color w:val="auto"/>
              </w:rPr>
              <w:t>104.1</w:t>
            </w:r>
          </w:p>
        </w:tc>
        <w:tc>
          <w:tcPr>
            <w:tcW w:w="1160" w:type="dxa"/>
            <w:vAlign w:val="bottom"/>
          </w:tcPr>
          <w:p>
            <w:pPr>
              <w:spacing w:after="0"/>
              <w:rPr>
                <w:sz w:val="17"/>
                <w:szCs w:val="17"/>
                <w:color w:val="auto"/>
              </w:rPr>
            </w:pPr>
          </w:p>
        </w:tc>
        <w:tc>
          <w:tcPr>
            <w:tcW w:w="8940" w:type="dxa"/>
            <w:vAlign w:val="bottom"/>
            <w:gridSpan w:val="3"/>
          </w:tcPr>
          <w:p>
            <w:pPr>
              <w:spacing w:after="0"/>
              <w:rPr>
                <w:sz w:val="20"/>
                <w:szCs w:val="20"/>
                <w:color w:val="auto"/>
              </w:rPr>
            </w:pPr>
            <w:r>
              <w:rPr>
                <w:rFonts w:ascii="Arial" w:cs="Arial" w:eastAsia="Arial" w:hAnsi="Arial"/>
                <w:sz w:val="12"/>
                <w:szCs w:val="12"/>
                <w:color w:val="auto"/>
              </w:rPr>
              <w:t>Cover page interactive data file (embedded within the Inline XBRL document).</w:t>
            </w:r>
          </w:p>
        </w:tc>
      </w:tr>
      <w:tr>
        <w:trPr>
          <w:trHeight w:val="808"/>
        </w:trPr>
        <w:tc>
          <w:tcPr>
            <w:tcW w:w="12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67" w:right="299" w:bottom="1440" w:gutter="0" w:footer="0" w:header="0"/>
        </w:sectPr>
      </w:pPr>
    </w:p>
    <w:bookmarkStart w:id="2" w:name="page3"/>
    <w:bookmarkEnd w:id="2"/>
    <w:p>
      <w:pPr>
        <w:ind w:left="5260"/>
        <w:spacing w:after="0"/>
        <w:rPr>
          <w:sz w:val="20"/>
          <w:szCs w:val="20"/>
          <w:color w:val="auto"/>
        </w:rPr>
      </w:pPr>
      <w:r>
        <w:rPr>
          <w:rFonts w:ascii="Arial" w:cs="Arial" w:eastAsia="Arial" w:hAnsi="Arial"/>
          <w:sz w:val="12"/>
          <w:szCs w:val="12"/>
          <w:b w:val="1"/>
          <w:bCs w:val="1"/>
          <w:color w:val="auto"/>
        </w:rPr>
        <w:t>SIGNATURES</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the Securities Exchange Act of 1934, American Airlines Group Inc. has duly caused this report to be signed on its behalf by the undersigned hereunto duly authorized.</w:t>
      </w:r>
    </w:p>
    <w:p>
      <w:pPr>
        <w:spacing w:after="0" w:line="288" w:lineRule="exact"/>
        <w:rPr>
          <w:sz w:val="20"/>
          <w:szCs w:val="20"/>
          <w:color w:val="auto"/>
        </w:rPr>
      </w:pPr>
    </w:p>
    <w:p>
      <w:pPr>
        <w:ind w:left="6340"/>
        <w:spacing w:after="0"/>
        <w:rPr>
          <w:sz w:val="20"/>
          <w:szCs w:val="20"/>
          <w:color w:val="auto"/>
        </w:rPr>
      </w:pPr>
      <w:r>
        <w:rPr>
          <w:rFonts w:ascii="Arial" w:cs="Arial" w:eastAsia="Arial" w:hAnsi="Arial"/>
          <w:sz w:val="12"/>
          <w:szCs w:val="12"/>
          <w:b w:val="1"/>
          <w:bCs w:val="1"/>
          <w:color w:val="auto"/>
        </w:rPr>
        <w:t>A</w:t>
      </w:r>
      <w:r>
        <w:rPr>
          <w:rFonts w:ascii="Arial" w:cs="Arial" w:eastAsia="Arial" w:hAnsi="Arial"/>
          <w:sz w:val="9"/>
          <w:szCs w:val="9"/>
          <w:b w:val="1"/>
          <w:bCs w:val="1"/>
          <w:color w:val="auto"/>
        </w:rPr>
        <w:t>MERICAN</w:t>
      </w:r>
      <w:r>
        <w:rPr>
          <w:rFonts w:ascii="Arial" w:cs="Arial" w:eastAsia="Arial" w:hAnsi="Arial"/>
          <w:sz w:val="12"/>
          <w:szCs w:val="12"/>
          <w:b w:val="1"/>
          <w:bCs w:val="1"/>
          <w:color w:val="auto"/>
        </w:rPr>
        <w:t xml:space="preserve"> A</w:t>
      </w:r>
      <w:r>
        <w:rPr>
          <w:rFonts w:ascii="Arial" w:cs="Arial" w:eastAsia="Arial" w:hAnsi="Arial"/>
          <w:sz w:val="9"/>
          <w:szCs w:val="9"/>
          <w:b w:val="1"/>
          <w:bCs w:val="1"/>
          <w:color w:val="auto"/>
        </w:rPr>
        <w:t>IRLINES</w:t>
      </w:r>
      <w:r>
        <w:rPr>
          <w:rFonts w:ascii="Arial" w:cs="Arial" w:eastAsia="Arial" w:hAnsi="Arial"/>
          <w:sz w:val="12"/>
          <w:szCs w:val="12"/>
          <w:b w:val="1"/>
          <w:bCs w:val="1"/>
          <w:color w:val="auto"/>
        </w:rPr>
        <w:t xml:space="preserve"> G</w:t>
      </w:r>
      <w:r>
        <w:rPr>
          <w:rFonts w:ascii="Arial" w:cs="Arial" w:eastAsia="Arial" w:hAnsi="Arial"/>
          <w:sz w:val="9"/>
          <w:szCs w:val="9"/>
          <w:b w:val="1"/>
          <w:bCs w:val="1"/>
          <w:color w:val="auto"/>
        </w:rPr>
        <w:t>ROUP</w:t>
      </w:r>
      <w:r>
        <w:rPr>
          <w:rFonts w:ascii="Arial" w:cs="Arial" w:eastAsia="Arial" w:hAnsi="Arial"/>
          <w:sz w:val="12"/>
          <w:szCs w:val="12"/>
          <w:b w:val="1"/>
          <w:bCs w:val="1"/>
          <w:color w:val="auto"/>
        </w:rPr>
        <w:t xml:space="preserve"> I</w:t>
      </w:r>
      <w:r>
        <w:rPr>
          <w:rFonts w:ascii="Arial" w:cs="Arial" w:eastAsia="Arial" w:hAnsi="Arial"/>
          <w:sz w:val="9"/>
          <w:szCs w:val="9"/>
          <w:b w:val="1"/>
          <w:bCs w:val="1"/>
          <w:color w:val="auto"/>
        </w:rPr>
        <w:t>NC</w:t>
      </w:r>
      <w:r>
        <w:rPr>
          <w:rFonts w:ascii="Arial" w:cs="Arial" w:eastAsia="Arial" w:hAnsi="Arial"/>
          <w:sz w:val="12"/>
          <w:szCs w:val="12"/>
          <w:b w:val="1"/>
          <w:bCs w:val="1"/>
          <w:color w:val="auto"/>
        </w:rPr>
        <w:t>.</w:t>
      </w:r>
    </w:p>
    <w:p>
      <w:pPr>
        <w:spacing w:after="0" w:line="195" w:lineRule="exact"/>
        <w:rPr>
          <w:sz w:val="20"/>
          <w:szCs w:val="20"/>
          <w:color w:val="auto"/>
        </w:rPr>
      </w:pPr>
    </w:p>
    <w:p>
      <w:pPr>
        <w:spacing w:after="0"/>
        <w:tabs>
          <w:tab w:leader="none" w:pos="6320" w:val="left"/>
          <w:tab w:leader="none" w:pos="6860" w:val="left"/>
        </w:tabs>
        <w:rPr>
          <w:sz w:val="20"/>
          <w:szCs w:val="20"/>
          <w:color w:val="auto"/>
        </w:rPr>
      </w:pPr>
      <w:r>
        <w:rPr>
          <w:rFonts w:ascii="Arial" w:cs="Arial" w:eastAsia="Arial" w:hAnsi="Arial"/>
          <w:sz w:val="12"/>
          <w:szCs w:val="12"/>
          <w:color w:val="auto"/>
        </w:rPr>
        <w:t>Date: April 23, 2026</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12065</wp:posOffset>
            </wp:positionV>
            <wp:extent cx="280035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00350" cy="5715"/>
                    </a:xfrm>
                    <a:prstGeom prst="rect">
                      <a:avLst/>
                    </a:prstGeom>
                    <a:noFill/>
                  </pic:spPr>
                </pic:pic>
              </a:graphicData>
            </a:graphic>
          </wp:anchor>
        </w:drawing>
      </w:r>
    </w:p>
    <w:p>
      <w:pPr>
        <w:spacing w:after="0" w:line="4"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Devon E. May</w:t>
      </w:r>
    </w:p>
    <w:p>
      <w:pPr>
        <w:spacing w:after="0" w:line="24"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Executive Vice President and</w:t>
      </w:r>
    </w:p>
    <w:p>
      <w:pPr>
        <w:spacing w:after="0" w:line="18"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Chief Financial Officer</w:t>
      </w:r>
    </w:p>
    <w:p>
      <w:pPr>
        <w:spacing w:after="0" w:line="228"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American Airlines, Inc. has duly caused this report to be signed on its behalf by the undersigned hereunto duly authorized.</w:t>
      </w:r>
    </w:p>
    <w:p>
      <w:pPr>
        <w:spacing w:after="0" w:line="276" w:lineRule="exact"/>
        <w:rPr>
          <w:sz w:val="20"/>
          <w:szCs w:val="20"/>
          <w:color w:val="auto"/>
        </w:rPr>
      </w:pPr>
    </w:p>
    <w:p>
      <w:pPr>
        <w:ind w:left="6340"/>
        <w:spacing w:after="0"/>
        <w:rPr>
          <w:sz w:val="20"/>
          <w:szCs w:val="20"/>
          <w:color w:val="auto"/>
        </w:rPr>
      </w:pPr>
      <w:r>
        <w:rPr>
          <w:rFonts w:ascii="Arial" w:cs="Arial" w:eastAsia="Arial" w:hAnsi="Arial"/>
          <w:sz w:val="12"/>
          <w:szCs w:val="12"/>
          <w:b w:val="1"/>
          <w:bCs w:val="1"/>
          <w:color w:val="auto"/>
        </w:rPr>
        <w:t>A</w:t>
      </w:r>
      <w:r>
        <w:rPr>
          <w:rFonts w:ascii="Arial" w:cs="Arial" w:eastAsia="Arial" w:hAnsi="Arial"/>
          <w:sz w:val="9"/>
          <w:szCs w:val="9"/>
          <w:b w:val="1"/>
          <w:bCs w:val="1"/>
          <w:color w:val="auto"/>
        </w:rPr>
        <w:t>MERICAN</w:t>
      </w:r>
      <w:r>
        <w:rPr>
          <w:rFonts w:ascii="Arial" w:cs="Arial" w:eastAsia="Arial" w:hAnsi="Arial"/>
          <w:sz w:val="12"/>
          <w:szCs w:val="12"/>
          <w:b w:val="1"/>
          <w:bCs w:val="1"/>
          <w:color w:val="auto"/>
        </w:rPr>
        <w:t xml:space="preserve"> A</w:t>
      </w:r>
      <w:r>
        <w:rPr>
          <w:rFonts w:ascii="Arial" w:cs="Arial" w:eastAsia="Arial" w:hAnsi="Arial"/>
          <w:sz w:val="9"/>
          <w:szCs w:val="9"/>
          <w:b w:val="1"/>
          <w:bCs w:val="1"/>
          <w:color w:val="auto"/>
        </w:rPr>
        <w:t>IRLINES</w:t>
      </w:r>
      <w:r>
        <w:rPr>
          <w:rFonts w:ascii="Arial" w:cs="Arial" w:eastAsia="Arial" w:hAnsi="Arial"/>
          <w:sz w:val="12"/>
          <w:szCs w:val="12"/>
          <w:b w:val="1"/>
          <w:bCs w:val="1"/>
          <w:color w:val="auto"/>
        </w:rPr>
        <w:t>, I</w:t>
      </w:r>
      <w:r>
        <w:rPr>
          <w:rFonts w:ascii="Arial" w:cs="Arial" w:eastAsia="Arial" w:hAnsi="Arial"/>
          <w:sz w:val="9"/>
          <w:szCs w:val="9"/>
          <w:b w:val="1"/>
          <w:bCs w:val="1"/>
          <w:color w:val="auto"/>
        </w:rPr>
        <w:t>NC</w:t>
      </w:r>
      <w:r>
        <w:rPr>
          <w:rFonts w:ascii="Arial" w:cs="Arial" w:eastAsia="Arial" w:hAnsi="Arial"/>
          <w:sz w:val="12"/>
          <w:szCs w:val="12"/>
          <w:b w:val="1"/>
          <w:bCs w:val="1"/>
          <w:color w:val="auto"/>
        </w:rPr>
        <w:t>.</w:t>
      </w:r>
    </w:p>
    <w:p>
      <w:pPr>
        <w:spacing w:after="0" w:line="195" w:lineRule="exact"/>
        <w:rPr>
          <w:sz w:val="20"/>
          <w:szCs w:val="20"/>
          <w:color w:val="auto"/>
        </w:rPr>
      </w:pPr>
    </w:p>
    <w:p>
      <w:pPr>
        <w:spacing w:after="0"/>
        <w:tabs>
          <w:tab w:leader="none" w:pos="6320" w:val="left"/>
          <w:tab w:leader="none" w:pos="6860" w:val="left"/>
        </w:tabs>
        <w:rPr>
          <w:sz w:val="20"/>
          <w:szCs w:val="20"/>
          <w:color w:val="auto"/>
        </w:rPr>
      </w:pPr>
      <w:r>
        <w:rPr>
          <w:rFonts w:ascii="Arial" w:cs="Arial" w:eastAsia="Arial" w:hAnsi="Arial"/>
          <w:sz w:val="12"/>
          <w:szCs w:val="12"/>
          <w:color w:val="auto"/>
        </w:rPr>
        <w:t>Date: April 23, 2026</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12065</wp:posOffset>
            </wp:positionV>
            <wp:extent cx="280035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00350" cy="5715"/>
                    </a:xfrm>
                    <a:prstGeom prst="rect">
                      <a:avLst/>
                    </a:prstGeom>
                    <a:noFill/>
                  </pic:spPr>
                </pic:pic>
              </a:graphicData>
            </a:graphic>
          </wp:anchor>
        </w:drawing>
      </w:r>
    </w:p>
    <w:p>
      <w:pPr>
        <w:spacing w:after="0" w:line="4"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Devon E. May</w:t>
      </w:r>
    </w:p>
    <w:p>
      <w:pPr>
        <w:spacing w:after="0" w:line="24"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Executive Vice President and</w:t>
      </w:r>
    </w:p>
    <w:p>
      <w:pPr>
        <w:spacing w:after="0" w:line="18"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Chief Financial Officer</w:t>
      </w:r>
    </w:p>
    <w:p>
      <w:pPr>
        <w:sectPr>
          <w:pgSz w:w="11900" w:h="16838" w:orient="portrait"/>
          <w:cols w:equalWidth="0" w:num="1">
            <w:col w:w="10500"/>
          </w:cols>
          <w:pgMar w:left="300" w:top="640" w:right="1099" w:bottom="1440" w:gutter="0" w:footer="0" w:header="0"/>
        </w:sectPr>
      </w:pPr>
    </w:p>
    <w:bookmarkStart w:id="3" w:name="page4"/>
    <w:bookmarkEnd w:id="3"/>
    <w:p>
      <w:pPr>
        <w:jc w:val="right"/>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5852160</wp:posOffset>
            </wp:positionH>
            <wp:positionV relativeFrom="paragraph">
              <wp:posOffset>263525</wp:posOffset>
            </wp:positionV>
            <wp:extent cx="1303020" cy="280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03020" cy="28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8128"/>
        <w:spacing w:after="0"/>
        <w:rPr>
          <w:sz w:val="20"/>
          <w:szCs w:val="20"/>
          <w:color w:val="auto"/>
        </w:rPr>
      </w:pPr>
      <w:r>
        <w:rPr>
          <w:rFonts w:ascii="Arial" w:cs="Arial" w:eastAsia="Arial" w:hAnsi="Arial"/>
          <w:sz w:val="11"/>
          <w:szCs w:val="11"/>
          <w:b w:val="1"/>
          <w:bCs w:val="1"/>
          <w:color w:val="auto"/>
        </w:rPr>
        <w:t>Corporate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-76200</wp:posOffset>
            </wp:positionV>
            <wp:extent cx="874395" cy="914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74395" cy="91440"/>
                    </a:xfrm>
                    <a:prstGeom prst="rect">
                      <a:avLst/>
                    </a:prstGeom>
                    <a:noFill/>
                  </pic:spPr>
                </pic:pic>
              </a:graphicData>
            </a:graphic>
          </wp:anchor>
        </w:drawing>
      </w:r>
    </w:p>
    <w:p>
      <w:pPr>
        <w:spacing w:after="0" w:line="9" w:lineRule="exact"/>
        <w:rPr>
          <w:sz w:val="20"/>
          <w:szCs w:val="20"/>
          <w:color w:val="auto"/>
        </w:rPr>
      </w:pPr>
    </w:p>
    <w:p>
      <w:pPr>
        <w:ind w:left="8128"/>
        <w:spacing w:after="0"/>
        <w:rPr>
          <w:sz w:val="20"/>
          <w:szCs w:val="20"/>
          <w:color w:val="auto"/>
        </w:rPr>
      </w:pPr>
      <w:r>
        <w:rPr>
          <w:rFonts w:ascii="Arial" w:cs="Arial" w:eastAsia="Arial" w:hAnsi="Arial"/>
          <w:sz w:val="11"/>
          <w:szCs w:val="11"/>
          <w:b w:val="1"/>
          <w:bCs w:val="1"/>
          <w:u w:val="single" w:color="auto"/>
          <w:color w:val="0000FF"/>
        </w:rPr>
        <w:t>mediarelations@aa.com</w:t>
      </w:r>
    </w:p>
    <w:p>
      <w:pPr>
        <w:spacing w:after="0" w:line="132" w:lineRule="exact"/>
        <w:rPr>
          <w:sz w:val="20"/>
          <w:szCs w:val="20"/>
          <w:color w:val="auto"/>
        </w:rPr>
      </w:pPr>
    </w:p>
    <w:p>
      <w:pPr>
        <w:ind w:left="8128"/>
        <w:spacing w:after="0"/>
        <w:rPr>
          <w:sz w:val="20"/>
          <w:szCs w:val="20"/>
          <w:color w:val="auto"/>
        </w:rPr>
      </w:pPr>
      <w:r>
        <w:rPr>
          <w:rFonts w:ascii="Arial" w:cs="Arial" w:eastAsia="Arial" w:hAnsi="Arial"/>
          <w:sz w:val="11"/>
          <w:szCs w:val="11"/>
          <w:b w:val="1"/>
          <w:bCs w:val="1"/>
          <w:color w:val="auto"/>
        </w:rPr>
        <w:t>Investor Relations</w:t>
      </w:r>
    </w:p>
    <w:p>
      <w:pPr>
        <w:spacing w:after="0" w:line="29" w:lineRule="exact"/>
        <w:rPr>
          <w:sz w:val="20"/>
          <w:szCs w:val="20"/>
          <w:color w:val="auto"/>
        </w:rPr>
      </w:pPr>
    </w:p>
    <w:p>
      <w:pPr>
        <w:ind w:left="8128"/>
        <w:spacing w:after="0"/>
        <w:rPr>
          <w:sz w:val="20"/>
          <w:szCs w:val="20"/>
          <w:color w:val="auto"/>
        </w:rPr>
      </w:pPr>
      <w:r>
        <w:rPr>
          <w:rFonts w:ascii="Arial" w:cs="Arial" w:eastAsia="Arial" w:hAnsi="Arial"/>
          <w:sz w:val="11"/>
          <w:szCs w:val="11"/>
          <w:b w:val="1"/>
          <w:bCs w:val="1"/>
          <w:u w:val="single" w:color="auto"/>
          <w:color w:val="0000FF"/>
        </w:rPr>
        <w:t>investor.relations@aa.com</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3"/>
          <w:szCs w:val="13"/>
          <w:color w:val="auto"/>
        </w:rPr>
        <w:t>FOR RELEASE: Thursday, April 23, 2026</w:t>
      </w:r>
    </w:p>
    <w:p>
      <w:pPr>
        <w:spacing w:after="0" w:line="144" w:lineRule="exact"/>
        <w:rPr>
          <w:sz w:val="20"/>
          <w:szCs w:val="20"/>
          <w:color w:val="auto"/>
        </w:rPr>
      </w:pPr>
    </w:p>
    <w:p>
      <w:pPr>
        <w:ind w:left="2988"/>
        <w:spacing w:after="0"/>
        <w:rPr>
          <w:sz w:val="20"/>
          <w:szCs w:val="20"/>
          <w:color w:val="auto"/>
        </w:rPr>
      </w:pPr>
      <w:r>
        <w:rPr>
          <w:rFonts w:ascii="Arial" w:cs="Arial" w:eastAsia="Arial" w:hAnsi="Arial"/>
          <w:sz w:val="14"/>
          <w:szCs w:val="14"/>
          <w:b w:val="1"/>
          <w:bCs w:val="1"/>
          <w:color w:val="auto"/>
        </w:rPr>
        <w:t>AMERICAN AIRLINES REPORTS FIRST-QUARTER 2026 FINANCIAL RESULTS</w:t>
      </w:r>
    </w:p>
    <w:p>
      <w:pPr>
        <w:spacing w:after="0" w:line="158" w:lineRule="exact"/>
        <w:rPr>
          <w:sz w:val="20"/>
          <w:szCs w:val="20"/>
          <w:color w:val="auto"/>
        </w:rPr>
      </w:pPr>
    </w:p>
    <w:p>
      <w:pPr>
        <w:ind w:left="8"/>
        <w:spacing w:after="0"/>
        <w:rPr>
          <w:sz w:val="20"/>
          <w:szCs w:val="20"/>
          <w:color w:val="auto"/>
        </w:rPr>
      </w:pPr>
      <w:r>
        <w:rPr>
          <w:rFonts w:ascii="Arial" w:cs="Arial" w:eastAsia="Arial" w:hAnsi="Arial"/>
          <w:sz w:val="13"/>
          <w:szCs w:val="13"/>
          <w:color w:val="auto"/>
        </w:rPr>
        <w:t>FORT WORTH, Texas — American Airlines Group Inc. (NASDAQ: AAL) today reported its first-quarter 2026 financial results, including:</w:t>
      </w:r>
    </w:p>
    <w:p>
      <w:pPr>
        <w:spacing w:after="0" w:line="76" w:lineRule="exact"/>
        <w:rPr>
          <w:sz w:val="20"/>
          <w:szCs w:val="20"/>
          <w:color w:val="auto"/>
        </w:rPr>
      </w:pPr>
    </w:p>
    <w:p>
      <w:pPr>
        <w:ind w:left="208" w:hanging="208"/>
        <w:spacing w:after="0"/>
        <w:tabs>
          <w:tab w:leader="none" w:pos="208"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color w:val="auto"/>
        </w:rPr>
        <w:t>Record first-quarter revenue of $13.9 billion</w:t>
      </w:r>
    </w:p>
    <w:p>
      <w:pPr>
        <w:spacing w:after="0" w:line="24" w:lineRule="exact"/>
        <w:rPr>
          <w:rFonts w:ascii="Arial" w:cs="Arial" w:eastAsia="Arial" w:hAnsi="Arial"/>
          <w:sz w:val="13"/>
          <w:szCs w:val="13"/>
          <w:b w:val="1"/>
          <w:bCs w:val="1"/>
          <w:color w:val="auto"/>
        </w:rPr>
      </w:pPr>
    </w:p>
    <w:p>
      <w:pPr>
        <w:ind w:left="208" w:hanging="208"/>
        <w:spacing w:after="0"/>
        <w:tabs>
          <w:tab w:leader="none" w:pos="208"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color w:val="auto"/>
        </w:rPr>
        <w:t>First-quarter GAAP net loss of $382 million, or ($0.58) per diluted share</w:t>
      </w:r>
    </w:p>
    <w:p>
      <w:pPr>
        <w:spacing w:after="0" w:line="3" w:lineRule="exact"/>
        <w:rPr>
          <w:rFonts w:ascii="Arial" w:cs="Arial" w:eastAsia="Arial" w:hAnsi="Arial"/>
          <w:sz w:val="13"/>
          <w:szCs w:val="13"/>
          <w:b w:val="1"/>
          <w:bCs w:val="1"/>
          <w:color w:val="auto"/>
        </w:rPr>
      </w:pPr>
    </w:p>
    <w:p>
      <w:pPr>
        <w:ind w:left="208" w:hanging="208"/>
        <w:spacing w:after="0" w:line="198" w:lineRule="auto"/>
        <w:tabs>
          <w:tab w:leader="none" w:pos="208"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color w:val="auto"/>
        </w:rPr>
        <w:t>Excluding net special items</w:t>
      </w:r>
      <w:r>
        <w:rPr>
          <w:rFonts w:ascii="Arial" w:cs="Arial" w:eastAsia="Arial" w:hAnsi="Arial"/>
          <w:sz w:val="17"/>
          <w:szCs w:val="17"/>
          <w:b w:val="1"/>
          <w:bCs w:val="1"/>
          <w:color w:val="auto"/>
          <w:vertAlign w:val="superscript"/>
        </w:rPr>
        <w:t>1</w:t>
      </w:r>
      <w:r>
        <w:rPr>
          <w:rFonts w:ascii="Arial" w:cs="Arial" w:eastAsia="Arial" w:hAnsi="Arial"/>
          <w:sz w:val="13"/>
          <w:szCs w:val="13"/>
          <w:b w:val="1"/>
          <w:bCs w:val="1"/>
          <w:color w:val="auto"/>
        </w:rPr>
        <w:t>, first-quarter net loss of $267 million, or ($0.40) per diluted share</w:t>
      </w:r>
    </w:p>
    <w:p>
      <w:pPr>
        <w:ind w:left="208" w:hanging="208"/>
        <w:spacing w:after="0" w:line="198" w:lineRule="auto"/>
        <w:tabs>
          <w:tab w:leader="none" w:pos="208"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color w:val="auto"/>
        </w:rPr>
        <w:t>Ended the quarter with total debt</w:t>
      </w:r>
      <w:r>
        <w:rPr>
          <w:rFonts w:ascii="Arial" w:cs="Arial" w:eastAsia="Arial" w:hAnsi="Arial"/>
          <w:sz w:val="17"/>
          <w:szCs w:val="17"/>
          <w:b w:val="1"/>
          <w:bCs w:val="1"/>
          <w:color w:val="auto"/>
          <w:vertAlign w:val="superscript"/>
        </w:rPr>
        <w:t>2</w:t>
      </w:r>
      <w:r>
        <w:rPr>
          <w:rFonts w:ascii="Arial" w:cs="Arial" w:eastAsia="Arial" w:hAnsi="Arial"/>
          <w:sz w:val="13"/>
          <w:szCs w:val="13"/>
          <w:b w:val="1"/>
          <w:bCs w:val="1"/>
          <w:color w:val="auto"/>
        </w:rPr>
        <w:t xml:space="preserve"> of $34.7 billion, the company’s lowest total debt level since mid-2015</w:t>
      </w:r>
      <w:r>
        <w:rPr>
          <w:rFonts w:ascii="Arial" w:cs="Arial" w:eastAsia="Arial" w:hAnsi="Arial"/>
          <w:sz w:val="17"/>
          <w:szCs w:val="17"/>
          <w:b w:val="1"/>
          <w:bCs w:val="1"/>
          <w:color w:val="auto"/>
          <w:vertAlign w:val="superscript"/>
        </w:rPr>
        <w:t>2</w:t>
      </w:r>
    </w:p>
    <w:p>
      <w:pPr>
        <w:ind w:left="208" w:right="20" w:hanging="208"/>
        <w:spacing w:after="0" w:line="222" w:lineRule="auto"/>
        <w:tabs>
          <w:tab w:leader="none" w:pos="200"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color w:val="auto"/>
        </w:rPr>
        <w:t>Second-quarter adjusted EPS</w:t>
      </w:r>
      <w:r>
        <w:rPr>
          <w:rFonts w:ascii="Arial" w:cs="Arial" w:eastAsia="Arial" w:hAnsi="Arial"/>
          <w:sz w:val="17"/>
          <w:szCs w:val="17"/>
          <w:b w:val="1"/>
          <w:bCs w:val="1"/>
          <w:color w:val="auto"/>
          <w:vertAlign w:val="superscript"/>
        </w:rPr>
        <w:t>3</w:t>
      </w:r>
      <w:r>
        <w:rPr>
          <w:rFonts w:ascii="Arial" w:cs="Arial" w:eastAsia="Arial" w:hAnsi="Arial"/>
          <w:sz w:val="13"/>
          <w:szCs w:val="13"/>
          <w:b w:val="1"/>
          <w:bCs w:val="1"/>
          <w:color w:val="auto"/>
        </w:rPr>
        <w:t xml:space="preserve"> expected to be between ($0.20) and $0.20. Based on the forward fuel curve and the current revenue outlook, the midpoint of the full-year guidance is expected to be approximately flat to 2025, despite a greater than $4 billion increase in expense related to higher prices for jet fuel</w:t>
      </w:r>
    </w:p>
    <w:p>
      <w:pPr>
        <w:spacing w:after="0" w:line="146" w:lineRule="exact"/>
        <w:rPr>
          <w:sz w:val="20"/>
          <w:szCs w:val="20"/>
          <w:color w:val="auto"/>
        </w:rPr>
      </w:pPr>
    </w:p>
    <w:p>
      <w:pPr>
        <w:ind w:left="8" w:right="100"/>
        <w:spacing w:after="0" w:line="263" w:lineRule="auto"/>
        <w:rPr>
          <w:sz w:val="20"/>
          <w:szCs w:val="20"/>
          <w:color w:val="auto"/>
        </w:rPr>
      </w:pPr>
      <w:r>
        <w:rPr>
          <w:rFonts w:ascii="Arial" w:cs="Arial" w:eastAsia="Arial" w:hAnsi="Arial"/>
          <w:sz w:val="13"/>
          <w:szCs w:val="13"/>
          <w:color w:val="auto"/>
        </w:rPr>
        <w:t>“American delivered record revenue in the first quarter, and we’re on track for another record in the second quarter,” said American’s CEO Robert Isom. “This revenue momentum is the result of focus on our four commercial priorities — elevating the customer experience, growing our global network, driving premium revenue and leading in loyalty. Even in a volatile operating environment, our pretax margin improved by nearly 2 points year over year, and we still anticipate modest profitability for the year assuming the current forward fuel curve. Demand for our product is growing, and our customer satisfaction scores are improving. We have built a strong foundation to deliver value for our customers, team members and shareholders in 2026 and beyond.”</w:t>
      </w:r>
    </w:p>
    <w:p>
      <w:pPr>
        <w:spacing w:after="0" w:line="299" w:lineRule="exact"/>
        <w:rPr>
          <w:sz w:val="20"/>
          <w:szCs w:val="20"/>
          <w:color w:val="auto"/>
        </w:rPr>
      </w:pPr>
    </w:p>
    <w:p>
      <w:pPr>
        <w:ind w:left="8" w:right="60"/>
        <w:spacing w:after="0" w:line="262" w:lineRule="auto"/>
        <w:rPr>
          <w:sz w:val="20"/>
          <w:szCs w:val="20"/>
          <w:color w:val="auto"/>
        </w:rPr>
      </w:pPr>
      <w:r>
        <w:rPr>
          <w:rFonts w:ascii="Arial" w:cs="Arial" w:eastAsia="Arial" w:hAnsi="Arial"/>
          <w:sz w:val="13"/>
          <w:szCs w:val="13"/>
          <w:color w:val="auto"/>
        </w:rPr>
        <w:t>American’s four multiyear commercial initiatives are driving results. The company delivered record first-quarter revenue of $13.9 billion, despite an estimated $320 million revenue impact from winter storms. Demand was strong in the first quarter, and American recorded the nine highest revenue intake weeks in its 100-year history. American had year-over-year total revenue growth of 10.8% in the quarter. Total unit revenue was 7.6% higher year over year, improving sequentially each month in the quarter, culminating with March domestic and international passenger unit revenue both up more than 10% year over year. American’s domestic, Pacific and Atlantic entities delivered positive unit revenue growth year over year, with Atlantic passenger unit revenue up 16.7%. Demand remains strong, and based on current bookings, American expects total revenue growth between 13.5% and 16.5% in the second quarter.</w:t>
      </w:r>
    </w:p>
    <w:p>
      <w:pPr>
        <w:sectPr>
          <w:pgSz w:w="11900" w:h="16838" w:orient="portrait"/>
          <w:cols w:equalWidth="0" w:num="1">
            <w:col w:w="11308"/>
          </w:cols>
          <w:pgMar w:left="292" w:top="451" w:right="299" w:bottom="1440" w:gutter="0" w:footer="0" w:header="0"/>
        </w:sectPr>
      </w:pPr>
    </w:p>
    <w:bookmarkStart w:id="4" w:name="page5"/>
    <w:bookmarkEnd w:id="4"/>
    <w:p>
      <w:pPr>
        <w:spacing w:after="0"/>
        <w:rPr>
          <w:sz w:val="20"/>
          <w:szCs w:val="20"/>
          <w:color w:val="auto"/>
        </w:rPr>
      </w:pPr>
      <w:r>
        <w:rPr>
          <w:rFonts w:ascii="Arial" w:cs="Arial" w:eastAsia="Arial" w:hAnsi="Arial"/>
          <w:sz w:val="12"/>
          <w:szCs w:val="12"/>
          <w:b w:val="1"/>
          <w:bCs w:val="1"/>
          <w:color w:val="auto"/>
        </w:rPr>
        <w:t>American Airlines Reports First-Quarter 2026 Financial Results</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April 23, 2026</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Elevate the customer experience</w:t>
      </w:r>
    </w:p>
    <w:p>
      <w:pPr>
        <w:spacing w:after="0" w:line="25" w:lineRule="exact"/>
        <w:rPr>
          <w:sz w:val="20"/>
          <w:szCs w:val="20"/>
          <w:color w:val="auto"/>
        </w:rPr>
      </w:pPr>
    </w:p>
    <w:p>
      <w:pPr>
        <w:ind w:right="120"/>
        <w:spacing w:after="0" w:line="231" w:lineRule="auto"/>
        <w:rPr>
          <w:sz w:val="20"/>
          <w:szCs w:val="20"/>
          <w:color w:val="auto"/>
        </w:rPr>
      </w:pPr>
      <w:r>
        <w:rPr>
          <w:rFonts w:ascii="Arial" w:cs="Arial" w:eastAsia="Arial" w:hAnsi="Arial"/>
          <w:sz w:val="13"/>
          <w:szCs w:val="13"/>
          <w:color w:val="auto"/>
        </w:rPr>
        <w:t>American continues to elevate every step of the customer travel journey. The company offers the industry’s most extensive premium lounge network and is making significant investments in its Flagship</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and Admirals Club</w:t>
      </w:r>
      <w:r>
        <w:rPr>
          <w:rFonts w:ascii="Arial" w:cs="Arial" w:eastAsia="Arial" w:hAnsi="Arial"/>
          <w:sz w:val="17"/>
          <w:szCs w:val="17"/>
          <w:color w:val="auto"/>
          <w:vertAlign w:val="superscript"/>
        </w:rPr>
        <w:t>®</w:t>
      </w:r>
      <w:r>
        <w:rPr>
          <w:rFonts w:ascii="Arial" w:cs="Arial" w:eastAsia="Arial" w:hAnsi="Arial"/>
          <w:sz w:val="13"/>
          <w:szCs w:val="13"/>
          <w:color w:val="auto"/>
        </w:rPr>
        <w:t xml:space="preserve"> lounges at Chicago O’Hare International Airport (ORD), Miami International Airport (MIA), Charlotte Douglas International Airport (CLT), Ronald Reagan Washington National Airport (DCA), Austin-Bergstrom International Airport (AUS) and Nashville International Airport (BNA).</w:t>
      </w:r>
    </w:p>
    <w:p>
      <w:pPr>
        <w:spacing w:after="0" w:line="142" w:lineRule="exact"/>
        <w:rPr>
          <w:sz w:val="20"/>
          <w:szCs w:val="20"/>
          <w:color w:val="auto"/>
        </w:rPr>
      </w:pPr>
    </w:p>
    <w:p>
      <w:pPr>
        <w:ind w:right="40"/>
        <w:spacing w:after="0" w:line="243" w:lineRule="auto"/>
        <w:rPr>
          <w:sz w:val="20"/>
          <w:szCs w:val="20"/>
          <w:color w:val="auto"/>
        </w:rPr>
      </w:pPr>
      <w:r>
        <w:rPr>
          <w:rFonts w:ascii="Arial" w:cs="Arial" w:eastAsia="Arial" w:hAnsi="Arial"/>
          <w:sz w:val="13"/>
          <w:szCs w:val="13"/>
          <w:color w:val="auto"/>
        </w:rPr>
        <w:t>American is increasing the number of premium seats across its fleet through new deliveries and retrofits. In the first quarter, lie-flat and Premium Economy seats grew more than twice as fast as Main Cabin seats. In addition, the company has improved connectivity and elevated the inflight experience, successfully rolling out free high-speed satellite Wi-Fi, sponsored by AT&amp;T, for AAdvantage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members in January. The airline now offers free high-speed satellite Wi-Fi on more aircraft than any other carrier globally. Additionally, American introduced new features in its digital app that provide transparent, real-time notifications and more self-service options for customers to independently manage their itineraries in one convenient location.</w:t>
      </w:r>
    </w:p>
    <w:p>
      <w:pPr>
        <w:spacing w:after="0" w:line="149" w:lineRule="exact"/>
        <w:rPr>
          <w:sz w:val="20"/>
          <w:szCs w:val="20"/>
          <w:color w:val="auto"/>
        </w:rPr>
      </w:pPr>
    </w:p>
    <w:p>
      <w:pPr>
        <w:ind w:right="360"/>
        <w:spacing w:after="0" w:line="272" w:lineRule="auto"/>
        <w:rPr>
          <w:sz w:val="20"/>
          <w:szCs w:val="20"/>
          <w:color w:val="auto"/>
        </w:rPr>
      </w:pPr>
      <w:r>
        <w:rPr>
          <w:rFonts w:ascii="Arial" w:cs="Arial" w:eastAsia="Arial" w:hAnsi="Arial"/>
          <w:sz w:val="13"/>
          <w:szCs w:val="13"/>
          <w:color w:val="auto"/>
        </w:rPr>
        <w:t>American invested in strengthening its schedules across the system and rebanking its operation at Dallas Fort Worth International Airport (DFW) to reinforce operational reliability, ensuring customers experience more on-time flights and an overall smoother travel experience at its largest and most impactful hub. The company is also rebanking its operation at Philadelphia International Airport (PHL) to a seven-bank structure to grow and improve trans-Atlantic connectivity.</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Grow the global network</w:t>
      </w:r>
    </w:p>
    <w:p>
      <w:pPr>
        <w:spacing w:after="0" w:line="16" w:lineRule="exact"/>
        <w:rPr>
          <w:sz w:val="20"/>
          <w:szCs w:val="20"/>
          <w:color w:val="auto"/>
        </w:rPr>
      </w:pPr>
    </w:p>
    <w:p>
      <w:pPr>
        <w:ind w:right="340"/>
        <w:spacing w:after="0" w:line="262" w:lineRule="auto"/>
        <w:rPr>
          <w:sz w:val="20"/>
          <w:szCs w:val="20"/>
          <w:color w:val="auto"/>
        </w:rPr>
      </w:pPr>
      <w:r>
        <w:rPr>
          <w:rFonts w:ascii="Arial" w:cs="Arial" w:eastAsia="Arial" w:hAnsi="Arial"/>
          <w:sz w:val="13"/>
          <w:szCs w:val="13"/>
          <w:color w:val="auto"/>
        </w:rPr>
        <w:t>American operates the strongest domestic network in the industry and is prioritizing scaling local share in its hubs by utilizing existing infrastructure, particularly in Philadelphia, Miami and Phoenix. American supports the FAA’s action to establish an operational framework in Chicago that will benefit all customers. This summer, American expects to operate approximately 500 flights per day in Chicago, all featuring high-speed satellite Wi-Fi and premium cabins.</w:t>
      </w:r>
    </w:p>
    <w:p>
      <w:pPr>
        <w:spacing w:after="0" w:line="137" w:lineRule="exact"/>
        <w:rPr>
          <w:sz w:val="20"/>
          <w:szCs w:val="20"/>
          <w:color w:val="auto"/>
        </w:rPr>
      </w:pPr>
    </w:p>
    <w:p>
      <w:pPr>
        <w:spacing w:after="0" w:line="272" w:lineRule="auto"/>
        <w:rPr>
          <w:sz w:val="20"/>
          <w:szCs w:val="20"/>
          <w:color w:val="auto"/>
        </w:rPr>
      </w:pPr>
      <w:r>
        <w:rPr>
          <w:rFonts w:ascii="Arial" w:cs="Arial" w:eastAsia="Arial" w:hAnsi="Arial"/>
          <w:sz w:val="13"/>
          <w:szCs w:val="13"/>
          <w:color w:val="auto"/>
        </w:rPr>
        <w:t xml:space="preserve">The company recently announced a multiyear investment in Concourse D in Miami, which is expected to enhance American’s leading Latin America franchise with improved operations, elevated customer experience and more convenient international travel. American’s network, combined with the global reach of its joint business and </w:t>
      </w:r>
      <w:r>
        <w:rPr>
          <w:rFonts w:ascii="Arial" w:cs="Arial" w:eastAsia="Arial" w:hAnsi="Arial"/>
          <w:sz w:val="13"/>
          <w:szCs w:val="13"/>
          <w:b w:val="1"/>
          <w:bCs w:val="1"/>
          <w:color w:val="auto"/>
        </w:rPr>
        <w:t>one</w:t>
      </w:r>
      <w:r>
        <w:rPr>
          <w:rFonts w:ascii="Arial" w:cs="Arial" w:eastAsia="Arial" w:hAnsi="Arial"/>
          <w:sz w:val="13"/>
          <w:szCs w:val="13"/>
          <w:color w:val="auto"/>
        </w:rPr>
        <w:t>world partners, connects more people to more places than any other airline.</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Drive premium revenue</w:t>
      </w:r>
    </w:p>
    <w:p>
      <w:pPr>
        <w:spacing w:after="0" w:line="16" w:lineRule="exact"/>
        <w:rPr>
          <w:sz w:val="20"/>
          <w:szCs w:val="20"/>
          <w:color w:val="auto"/>
        </w:rPr>
      </w:pPr>
    </w:p>
    <w:p>
      <w:pPr>
        <w:ind w:right="200"/>
        <w:spacing w:after="0" w:line="262" w:lineRule="auto"/>
        <w:rPr>
          <w:sz w:val="20"/>
          <w:szCs w:val="20"/>
          <w:color w:val="auto"/>
        </w:rPr>
      </w:pPr>
      <w:r>
        <w:rPr>
          <w:rFonts w:ascii="Arial" w:cs="Arial" w:eastAsia="Arial" w:hAnsi="Arial"/>
          <w:sz w:val="13"/>
          <w:szCs w:val="13"/>
          <w:color w:val="auto"/>
        </w:rPr>
        <w:t>American remains focused on increasing premium, high-margin revenue. The company continued to win share in corporate channels during the first quarter, with managed corporate revenue increasing 13% year over year. Additionally, American is focused on increasing premium leisure revenue and improving upsell to higher-margin products. Premium unit revenue continued to outperform the Main Cabin in the first quarter.</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Lead in loyalty</w:t>
      </w:r>
    </w:p>
    <w:p>
      <w:pPr>
        <w:spacing w:after="0" w:line="21" w:lineRule="exact"/>
        <w:rPr>
          <w:sz w:val="20"/>
          <w:szCs w:val="20"/>
          <w:color w:val="auto"/>
        </w:rPr>
      </w:pPr>
    </w:p>
    <w:p>
      <w:pPr>
        <w:ind w:right="440"/>
        <w:spacing w:after="0" w:line="229" w:lineRule="auto"/>
        <w:rPr>
          <w:sz w:val="20"/>
          <w:szCs w:val="20"/>
          <w:color w:val="auto"/>
        </w:rPr>
      </w:pPr>
      <w:r>
        <w:rPr>
          <w:rFonts w:ascii="Arial" w:cs="Arial" w:eastAsia="Arial" w:hAnsi="Arial"/>
          <w:sz w:val="13"/>
          <w:szCs w:val="13"/>
          <w:color w:val="auto"/>
        </w:rPr>
        <w:t>American’s AAdvantage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program is the largest airline loyalty program, offering the highest value per mile of any airline in the U.S., numerous ways to earn and redeem miles and greater opportunities for member engagement. The AAdvantage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program continues to evolve and</w:t>
      </w:r>
    </w:p>
    <w:p>
      <w:pPr>
        <w:sectPr>
          <w:pgSz w:w="11900" w:h="16838" w:orient="portrait"/>
          <w:cols w:equalWidth="0" w:num="1">
            <w:col w:w="11260"/>
          </w:cols>
          <w:pgMar w:left="300" w:top="128" w:right="339" w:bottom="1440" w:gutter="0" w:footer="0" w:header="0"/>
        </w:sectPr>
      </w:pPr>
    </w:p>
    <w:bookmarkStart w:id="5" w:name="page6"/>
    <w:bookmarkEnd w:id="5"/>
    <w:p>
      <w:pPr>
        <w:spacing w:after="0"/>
        <w:rPr>
          <w:sz w:val="20"/>
          <w:szCs w:val="20"/>
          <w:color w:val="auto"/>
        </w:rPr>
      </w:pPr>
      <w:r>
        <w:rPr>
          <w:rFonts w:ascii="Arial" w:cs="Arial" w:eastAsia="Arial" w:hAnsi="Arial"/>
          <w:sz w:val="12"/>
          <w:szCs w:val="12"/>
          <w:b w:val="1"/>
          <w:bCs w:val="1"/>
          <w:color w:val="auto"/>
        </w:rPr>
        <w:t>American Airlines Reports First-Quarter 2026 Financial Results</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April 23, 2026</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Page 3</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3"/>
          <w:szCs w:val="13"/>
          <w:color w:val="auto"/>
        </w:rPr>
        <w:t>resonate with customers, as evidenced by record enrollments in the first quarter, up 25% year over year.</w:t>
      </w:r>
    </w:p>
    <w:p>
      <w:pPr>
        <w:spacing w:after="0" w:line="175" w:lineRule="exact"/>
        <w:rPr>
          <w:sz w:val="20"/>
          <w:szCs w:val="20"/>
          <w:color w:val="auto"/>
        </w:rPr>
      </w:pPr>
    </w:p>
    <w:p>
      <w:pPr>
        <w:spacing w:after="0" w:line="284" w:lineRule="auto"/>
        <w:rPr>
          <w:sz w:val="20"/>
          <w:szCs w:val="20"/>
          <w:color w:val="auto"/>
        </w:rPr>
      </w:pPr>
      <w:r>
        <w:rPr>
          <w:rFonts w:ascii="Arial" w:cs="Arial" w:eastAsia="Arial" w:hAnsi="Arial"/>
          <w:sz w:val="13"/>
          <w:szCs w:val="13"/>
          <w:color w:val="auto"/>
        </w:rPr>
        <w:t>At the beginning of the first quarter, American’s exclusive and expanded co-branded credit card partnership with Citi took effect. During the quarter, the company achieved record acquisitions and co-branded credit card spend was up 9% year over year.</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Balance sheet and liquidity</w:t>
      </w:r>
    </w:p>
    <w:p>
      <w:pPr>
        <w:spacing w:after="0" w:line="12" w:lineRule="exact"/>
        <w:rPr>
          <w:sz w:val="20"/>
          <w:szCs w:val="20"/>
          <w:color w:val="auto"/>
        </w:rPr>
      </w:pPr>
    </w:p>
    <w:p>
      <w:pPr>
        <w:jc w:val="both"/>
        <w:ind w:right="40"/>
        <w:spacing w:after="0" w:line="237" w:lineRule="auto"/>
        <w:rPr>
          <w:sz w:val="20"/>
          <w:szCs w:val="20"/>
          <w:color w:val="auto"/>
        </w:rPr>
      </w:pPr>
      <w:r>
        <w:rPr>
          <w:rFonts w:ascii="Arial" w:cs="Arial" w:eastAsia="Arial" w:hAnsi="Arial"/>
          <w:sz w:val="13"/>
          <w:szCs w:val="13"/>
          <w:color w:val="auto"/>
        </w:rPr>
        <w:t>The company has made significant progress on its financial priorities, ending the quarter with total debt</w:t>
      </w:r>
      <w:r>
        <w:rPr>
          <w:rFonts w:ascii="Arial" w:cs="Arial" w:eastAsia="Arial" w:hAnsi="Arial"/>
          <w:sz w:val="17"/>
          <w:szCs w:val="17"/>
          <w:color w:val="auto"/>
          <w:vertAlign w:val="superscript"/>
        </w:rPr>
        <w:t>2</w:t>
      </w:r>
      <w:r>
        <w:rPr>
          <w:rFonts w:ascii="Arial" w:cs="Arial" w:eastAsia="Arial" w:hAnsi="Arial"/>
          <w:sz w:val="13"/>
          <w:szCs w:val="13"/>
          <w:color w:val="auto"/>
        </w:rPr>
        <w:t xml:space="preserve"> of $34.7 billion, the first time it has been below $35 billion since mid-2015</w:t>
      </w:r>
      <w:r>
        <w:rPr>
          <w:rFonts w:ascii="Arial" w:cs="Arial" w:eastAsia="Arial" w:hAnsi="Arial"/>
          <w:sz w:val="17"/>
          <w:szCs w:val="17"/>
          <w:color w:val="auto"/>
          <w:vertAlign w:val="superscript"/>
        </w:rPr>
        <w:t>2</w:t>
      </w:r>
      <w:r>
        <w:rPr>
          <w:rFonts w:ascii="Arial" w:cs="Arial" w:eastAsia="Arial" w:hAnsi="Arial"/>
          <w:sz w:val="13"/>
          <w:szCs w:val="13"/>
          <w:color w:val="auto"/>
        </w:rPr>
        <w:t>. The company finished the quarter with $10.8 billion in liquidity and more than $27 billion in unencumbered assets and first-lien borrowing capacity. This strong financial position provides significant flexibility in the current environment.</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Financial guidance</w:t>
      </w:r>
    </w:p>
    <w:p>
      <w:pPr>
        <w:spacing w:after="0" w:line="25" w:lineRule="exact"/>
        <w:rPr>
          <w:sz w:val="20"/>
          <w:szCs w:val="20"/>
          <w:color w:val="auto"/>
        </w:rPr>
      </w:pPr>
    </w:p>
    <w:p>
      <w:pPr>
        <w:ind w:right="140"/>
        <w:spacing w:after="0" w:line="262" w:lineRule="auto"/>
        <w:rPr>
          <w:sz w:val="20"/>
          <w:szCs w:val="20"/>
          <w:color w:val="auto"/>
        </w:rPr>
      </w:pPr>
      <w:r>
        <w:rPr>
          <w:rFonts w:ascii="Arial" w:cs="Arial" w:eastAsia="Arial" w:hAnsi="Arial"/>
          <w:sz w:val="13"/>
          <w:szCs w:val="13"/>
          <w:color w:val="auto"/>
        </w:rPr>
        <w:t>The company’s second-quarter 2026 guidance assumes continued revenue improvement in the domestic entity, growth in corporate customer volumes and the ability to partially recapture elevated fuel prices, currently assumed to be approximately $4.00 per gallon. Based on the forward fuel curve and the current revenue outlook, the midpoint of the company's full-year earnings guidance is approximately flat to 2025, despite a more than $4 billion increase in expense related to higher prices for jet fuel.</w:t>
      </w:r>
    </w:p>
    <w:p>
      <w:pPr>
        <w:spacing w:after="0" w:line="150"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4160" w:type="dxa"/>
            <w:vAlign w:val="bottom"/>
            <w:tcBorders>
              <w:top w:val="single" w:sz="8" w:color="auto"/>
              <w:left w:val="single" w:sz="8" w:color="auto"/>
              <w:bottom w:val="single" w:sz="8" w:color="auto"/>
            </w:tcBorders>
            <w:shd w:val="clear" w:color="auto" w:fill="B8CCE4"/>
          </w:tcPr>
          <w:p>
            <w:pPr>
              <w:spacing w:after="0"/>
              <w:rPr>
                <w:sz w:val="16"/>
                <w:szCs w:val="16"/>
                <w:color w:val="auto"/>
              </w:rPr>
            </w:pPr>
          </w:p>
        </w:tc>
        <w:tc>
          <w:tcPr>
            <w:tcW w:w="7160" w:type="dxa"/>
            <w:vAlign w:val="bottom"/>
            <w:tcBorders>
              <w:top w:val="single" w:sz="8" w:color="auto"/>
              <w:bottom w:val="single" w:sz="8" w:color="auto"/>
              <w:right w:val="single" w:sz="8" w:color="auto"/>
            </w:tcBorders>
            <w:gridSpan w:val="2"/>
            <w:shd w:val="clear" w:color="auto" w:fill="B8CCE4"/>
          </w:tcPr>
          <w:p>
            <w:pPr>
              <w:jc w:val="center"/>
              <w:ind w:right="4114"/>
              <w:spacing w:after="0"/>
              <w:rPr>
                <w:sz w:val="20"/>
                <w:szCs w:val="20"/>
                <w:color w:val="auto"/>
              </w:rPr>
            </w:pPr>
            <w:r>
              <w:rPr>
                <w:rFonts w:ascii="Arial" w:cs="Arial" w:eastAsia="Arial" w:hAnsi="Arial"/>
                <w:sz w:val="13"/>
                <w:szCs w:val="13"/>
                <w:b w:val="1"/>
                <w:bCs w:val="1"/>
                <w:color w:val="auto"/>
              </w:rPr>
              <w:t>FY 2026E</w:t>
            </w:r>
          </w:p>
        </w:tc>
      </w:tr>
      <w:tr>
        <w:trPr>
          <w:trHeight w:val="169"/>
        </w:trPr>
        <w:tc>
          <w:tcPr>
            <w:tcW w:w="4160" w:type="dxa"/>
            <w:vAlign w:val="bottom"/>
            <w:tcBorders>
              <w:left w:val="single" w:sz="8" w:color="auto"/>
              <w:bottom w:val="single" w:sz="8" w:color="auto"/>
            </w:tcBorders>
          </w:tcPr>
          <w:p>
            <w:pPr>
              <w:ind w:left="20"/>
              <w:spacing w:after="0" w:line="169" w:lineRule="exact"/>
              <w:rPr>
                <w:sz w:val="20"/>
                <w:szCs w:val="20"/>
                <w:color w:val="auto"/>
              </w:rPr>
            </w:pPr>
            <w:r>
              <w:rPr>
                <w:rFonts w:ascii="Arial" w:cs="Arial" w:eastAsia="Arial" w:hAnsi="Arial"/>
                <w:sz w:val="13"/>
                <w:szCs w:val="13"/>
                <w:color w:val="auto"/>
              </w:rPr>
              <w:t>Adjusted earnings (loss) per diluted share</w:t>
            </w:r>
            <w:r>
              <w:rPr>
                <w:rFonts w:ascii="Arial" w:cs="Arial" w:eastAsia="Arial" w:hAnsi="Arial"/>
                <w:sz w:val="17"/>
                <w:szCs w:val="17"/>
                <w:color w:val="auto"/>
                <w:vertAlign w:val="superscript"/>
              </w:rPr>
              <w:t>3</w:t>
            </w:r>
          </w:p>
        </w:tc>
        <w:tc>
          <w:tcPr>
            <w:tcW w:w="3400" w:type="dxa"/>
            <w:vAlign w:val="bottom"/>
            <w:tcBorders>
              <w:bottom w:val="single" w:sz="8" w:color="auto"/>
              <w:right w:val="single" w:sz="8" w:color="auto"/>
            </w:tcBorders>
          </w:tcPr>
          <w:p>
            <w:pPr>
              <w:spacing w:after="0"/>
              <w:rPr>
                <w:sz w:val="14"/>
                <w:szCs w:val="14"/>
                <w:color w:val="auto"/>
              </w:rPr>
            </w:pP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($0.40) to $1.10</w:t>
            </w:r>
          </w:p>
        </w:tc>
      </w:tr>
      <w:tr>
        <w:trPr>
          <w:trHeight w:val="160"/>
        </w:trPr>
        <w:tc>
          <w:tcPr>
            <w:tcW w:w="4160" w:type="dxa"/>
            <w:vAlign w:val="bottom"/>
            <w:tcBorders>
              <w:bottom w:val="single" w:sz="8" w:color="auto"/>
            </w:tcBorders>
          </w:tcPr>
          <w:p>
            <w:pPr>
              <w:spacing w:after="0"/>
              <w:rPr>
                <w:sz w:val="13"/>
                <w:szCs w:val="13"/>
                <w:color w:val="auto"/>
              </w:rPr>
            </w:pPr>
          </w:p>
        </w:tc>
        <w:tc>
          <w:tcPr>
            <w:tcW w:w="3400" w:type="dxa"/>
            <w:vAlign w:val="bottom"/>
            <w:tcBorders>
              <w:bottom w:val="single" w:sz="8" w:color="auto"/>
            </w:tcBorders>
          </w:tcPr>
          <w:p>
            <w:pPr>
              <w:spacing w:after="0"/>
              <w:rPr>
                <w:sz w:val="13"/>
                <w:szCs w:val="13"/>
                <w:color w:val="auto"/>
              </w:rPr>
            </w:pPr>
          </w:p>
        </w:tc>
        <w:tc>
          <w:tcPr>
            <w:tcW w:w="3760" w:type="dxa"/>
            <w:vAlign w:val="bottom"/>
            <w:tcBorders>
              <w:bottom w:val="single" w:sz="8" w:color="auto"/>
            </w:tcBorders>
          </w:tcPr>
          <w:p>
            <w:pPr>
              <w:spacing w:after="0"/>
              <w:rPr>
                <w:sz w:val="13"/>
                <w:szCs w:val="13"/>
                <w:color w:val="auto"/>
              </w:rPr>
            </w:pPr>
          </w:p>
        </w:tc>
      </w:tr>
      <w:tr>
        <w:trPr>
          <w:trHeight w:val="169"/>
        </w:trPr>
        <w:tc>
          <w:tcPr>
            <w:tcW w:w="4160" w:type="dxa"/>
            <w:vAlign w:val="bottom"/>
            <w:tcBorders>
              <w:left w:val="single" w:sz="8" w:color="auto"/>
              <w:bottom w:val="single" w:sz="8" w:color="auto"/>
            </w:tcBorders>
            <w:shd w:val="clear" w:color="auto" w:fill="B8CCE4"/>
          </w:tcPr>
          <w:p>
            <w:pPr>
              <w:spacing w:after="0"/>
              <w:rPr>
                <w:sz w:val="14"/>
                <w:szCs w:val="14"/>
                <w:color w:val="auto"/>
              </w:rPr>
            </w:pPr>
          </w:p>
        </w:tc>
        <w:tc>
          <w:tcPr>
            <w:tcW w:w="7160" w:type="dxa"/>
            <w:vAlign w:val="bottom"/>
            <w:tcBorders>
              <w:bottom w:val="single" w:sz="8" w:color="auto"/>
              <w:right w:val="single" w:sz="8" w:color="auto"/>
            </w:tcBorders>
            <w:gridSpan w:val="2"/>
            <w:shd w:val="clear" w:color="auto" w:fill="B8CCE4"/>
          </w:tcPr>
          <w:p>
            <w:pPr>
              <w:jc w:val="center"/>
              <w:ind w:right="4114"/>
              <w:spacing w:after="0"/>
              <w:rPr>
                <w:sz w:val="20"/>
                <w:szCs w:val="20"/>
                <w:color w:val="auto"/>
              </w:rPr>
            </w:pPr>
            <w:r>
              <w:rPr>
                <w:rFonts w:ascii="Arial" w:cs="Arial" w:eastAsia="Arial" w:hAnsi="Arial"/>
                <w:sz w:val="13"/>
                <w:szCs w:val="13"/>
                <w:b w:val="1"/>
                <w:bCs w:val="1"/>
                <w:color w:val="auto"/>
              </w:rPr>
              <w:t>Q2 2026E (vs. Q2 2025)</w:t>
            </w:r>
          </w:p>
        </w:tc>
      </w:tr>
      <w:tr>
        <w:trPr>
          <w:trHeight w:val="167"/>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Available seat miles (ASMs)</w:t>
            </w:r>
          </w:p>
        </w:tc>
        <w:tc>
          <w:tcPr>
            <w:tcW w:w="3400" w:type="dxa"/>
            <w:vAlign w:val="bottom"/>
            <w:tcBorders>
              <w:bottom w:val="single" w:sz="8" w:color="auto"/>
              <w:right w:val="single" w:sz="8" w:color="auto"/>
            </w:tcBorders>
          </w:tcPr>
          <w:p>
            <w:pPr>
              <w:spacing w:after="0"/>
              <w:rPr>
                <w:sz w:val="14"/>
                <w:szCs w:val="14"/>
                <w:color w:val="auto"/>
              </w:rPr>
            </w:pP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Up 4.0% to 6.0%</w:t>
            </w:r>
          </w:p>
        </w:tc>
      </w:tr>
      <w:tr>
        <w:trPr>
          <w:trHeight w:val="169"/>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Total revenue</w:t>
            </w:r>
          </w:p>
        </w:tc>
        <w:tc>
          <w:tcPr>
            <w:tcW w:w="3400" w:type="dxa"/>
            <w:vAlign w:val="bottom"/>
            <w:tcBorders>
              <w:bottom w:val="single" w:sz="8" w:color="auto"/>
              <w:right w:val="single" w:sz="8" w:color="auto"/>
            </w:tcBorders>
          </w:tcPr>
          <w:p>
            <w:pPr>
              <w:spacing w:after="0"/>
              <w:rPr>
                <w:sz w:val="14"/>
                <w:szCs w:val="14"/>
                <w:color w:val="auto"/>
              </w:rPr>
            </w:pP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Up 13.5% to 16.5%</w:t>
            </w:r>
          </w:p>
        </w:tc>
      </w:tr>
      <w:tr>
        <w:trPr>
          <w:trHeight w:val="171"/>
        </w:trPr>
        <w:tc>
          <w:tcPr>
            <w:tcW w:w="4160" w:type="dxa"/>
            <w:vAlign w:val="bottom"/>
            <w:tcBorders>
              <w:left w:val="single" w:sz="8" w:color="auto"/>
              <w:bottom w:val="single" w:sz="8" w:color="auto"/>
            </w:tcBorders>
          </w:tcPr>
          <w:p>
            <w:pPr>
              <w:ind w:left="20"/>
              <w:spacing w:after="0" w:line="171" w:lineRule="exact"/>
              <w:rPr>
                <w:sz w:val="20"/>
                <w:szCs w:val="20"/>
                <w:color w:val="auto"/>
              </w:rPr>
            </w:pPr>
            <w:r>
              <w:rPr>
                <w:rFonts w:ascii="Arial" w:cs="Arial" w:eastAsia="Arial" w:hAnsi="Arial"/>
                <w:sz w:val="13"/>
                <w:szCs w:val="13"/>
                <w:color w:val="auto"/>
              </w:rPr>
              <w:t>CASM excluding net special items, fuel and profit sharing</w:t>
            </w:r>
            <w:r>
              <w:rPr>
                <w:rFonts w:ascii="Arial" w:cs="Arial" w:eastAsia="Arial" w:hAnsi="Arial"/>
                <w:sz w:val="17"/>
                <w:szCs w:val="17"/>
                <w:color w:val="auto"/>
                <w:vertAlign w:val="superscript"/>
              </w:rPr>
              <w:t>4</w:t>
            </w:r>
          </w:p>
        </w:tc>
        <w:tc>
          <w:tcPr>
            <w:tcW w:w="3400" w:type="dxa"/>
            <w:vAlign w:val="bottom"/>
            <w:tcBorders>
              <w:bottom w:val="single" w:sz="8" w:color="auto"/>
              <w:right w:val="single" w:sz="8" w:color="auto"/>
            </w:tcBorders>
          </w:tcPr>
          <w:p>
            <w:pPr>
              <w:spacing w:after="0"/>
              <w:rPr>
                <w:sz w:val="14"/>
                <w:szCs w:val="14"/>
                <w:color w:val="auto"/>
              </w:rPr>
            </w:pP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Up 2.0% to 4.0%</w:t>
            </w:r>
          </w:p>
        </w:tc>
      </w:tr>
      <w:tr>
        <w:trPr>
          <w:trHeight w:val="169"/>
        </w:trPr>
        <w:tc>
          <w:tcPr>
            <w:tcW w:w="4160" w:type="dxa"/>
            <w:vAlign w:val="bottom"/>
            <w:tcBorders>
              <w:left w:val="single" w:sz="8" w:color="auto"/>
              <w:bottom w:val="single" w:sz="8" w:color="auto"/>
            </w:tcBorders>
          </w:tcPr>
          <w:p>
            <w:pPr>
              <w:ind w:left="20"/>
              <w:spacing w:after="0" w:line="169" w:lineRule="exact"/>
              <w:rPr>
                <w:sz w:val="20"/>
                <w:szCs w:val="20"/>
                <w:color w:val="auto"/>
              </w:rPr>
            </w:pPr>
            <w:r>
              <w:rPr>
                <w:rFonts w:ascii="Arial" w:cs="Arial" w:eastAsia="Arial" w:hAnsi="Arial"/>
                <w:sz w:val="13"/>
                <w:szCs w:val="13"/>
                <w:color w:val="auto"/>
              </w:rPr>
              <w:t>Adjusted earnings (loss) per diluted share</w:t>
            </w:r>
            <w:r>
              <w:rPr>
                <w:rFonts w:ascii="Arial" w:cs="Arial" w:eastAsia="Arial" w:hAnsi="Arial"/>
                <w:sz w:val="17"/>
                <w:szCs w:val="17"/>
                <w:color w:val="auto"/>
                <w:vertAlign w:val="superscript"/>
              </w:rPr>
              <w:t>3</w:t>
            </w:r>
          </w:p>
        </w:tc>
        <w:tc>
          <w:tcPr>
            <w:tcW w:w="3400" w:type="dxa"/>
            <w:vAlign w:val="bottom"/>
            <w:tcBorders>
              <w:bottom w:val="single" w:sz="8" w:color="auto"/>
              <w:right w:val="single" w:sz="8" w:color="auto"/>
            </w:tcBorders>
          </w:tcPr>
          <w:p>
            <w:pPr>
              <w:spacing w:after="0"/>
              <w:rPr>
                <w:sz w:val="14"/>
                <w:szCs w:val="14"/>
                <w:color w:val="auto"/>
              </w:rPr>
            </w:pP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($0.20) to $0.20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Conference call and webcast details</w:t>
      </w:r>
    </w:p>
    <w:p>
      <w:pPr>
        <w:spacing w:after="0" w:line="25" w:lineRule="exact"/>
        <w:rPr>
          <w:sz w:val="20"/>
          <w:szCs w:val="20"/>
          <w:color w:val="auto"/>
        </w:rPr>
      </w:pPr>
    </w:p>
    <w:p>
      <w:pPr>
        <w:ind w:right="640"/>
        <w:spacing w:after="0" w:line="264" w:lineRule="auto"/>
        <w:rPr>
          <w:sz w:val="20"/>
          <w:szCs w:val="20"/>
          <w:color w:val="auto"/>
        </w:rPr>
      </w:pPr>
      <w:r>
        <w:rPr>
          <w:rFonts w:ascii="Arial" w:cs="Arial" w:eastAsia="Arial" w:hAnsi="Arial"/>
          <w:sz w:val="13"/>
          <w:szCs w:val="13"/>
          <w:color w:val="auto"/>
        </w:rPr>
        <w:t xml:space="preserve">The company will conduct a live audio webcast of its financial results conference call at 7:30 a.m. CT today. The call will be available to the public on a listen-only basis and archived at </w:t>
      </w:r>
      <w:r>
        <w:rPr>
          <w:rFonts w:ascii="Arial" w:cs="Arial" w:eastAsia="Arial" w:hAnsi="Arial"/>
          <w:sz w:val="13"/>
          <w:szCs w:val="13"/>
          <w:u w:val="single" w:color="auto"/>
          <w:color w:val="0000FF"/>
        </w:rPr>
        <w:t>aa.com/investorrelations</w:t>
      </w:r>
      <w:r>
        <w:rPr>
          <w:rFonts w:ascii="Arial" w:cs="Arial" w:eastAsia="Arial" w:hAnsi="Arial"/>
          <w:sz w:val="13"/>
          <w:szCs w:val="13"/>
          <w:color w:val="000000"/>
        </w:rPr>
        <w:t>.</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Notes</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See the accompanying notes in the financial tables section of this press release for further explanation, including reconciliations of certain GAAP to non-GAAP financial information.</w:t>
      </w:r>
    </w:p>
    <w:p>
      <w:pPr>
        <w:spacing w:after="0" w:line="154" w:lineRule="exact"/>
        <w:rPr>
          <w:sz w:val="20"/>
          <w:szCs w:val="20"/>
          <w:color w:val="auto"/>
        </w:rPr>
      </w:pPr>
    </w:p>
    <w:p>
      <w:pPr>
        <w:ind w:left="420" w:hanging="212"/>
        <w:spacing w:after="0"/>
        <w:tabs>
          <w:tab w:leader="none" w:pos="42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company recognized $115 million of net special items in the first quarter after the effect of taxes.</w:t>
      </w:r>
    </w:p>
    <w:p>
      <w:pPr>
        <w:spacing w:after="0" w:line="15" w:lineRule="exact"/>
        <w:rPr>
          <w:rFonts w:ascii="Arial" w:cs="Arial" w:eastAsia="Arial" w:hAnsi="Arial"/>
          <w:sz w:val="13"/>
          <w:szCs w:val="13"/>
          <w:color w:val="auto"/>
        </w:rPr>
      </w:pPr>
    </w:p>
    <w:p>
      <w:pPr>
        <w:ind w:left="420" w:hanging="212"/>
        <w:spacing w:after="0" w:line="231" w:lineRule="auto"/>
        <w:tabs>
          <w:tab w:leader="none" w:pos="420" w:val="left"/>
        </w:tabs>
        <w:numPr>
          <w:ilvl w:val="0"/>
          <w:numId w:val="6"/>
        </w:numPr>
        <w:rPr>
          <w:rFonts w:ascii="Arial" w:cs="Arial" w:eastAsia="Arial" w:hAnsi="Arial"/>
          <w:sz w:val="13"/>
          <w:szCs w:val="13"/>
          <w:color w:val="auto"/>
        </w:rPr>
      </w:pPr>
      <w:r>
        <w:rPr>
          <w:rFonts w:ascii="Arial" w:cs="Arial" w:eastAsia="Arial" w:hAnsi="Arial"/>
          <w:sz w:val="13"/>
          <w:szCs w:val="13"/>
          <w:color w:val="auto"/>
        </w:rPr>
        <w:t>All references to total debt include debt, finance and operating lease liabilities and pension obligations. 2015 total debt includes pro forma lease liabilities.</w:t>
      </w:r>
    </w:p>
    <w:p>
      <w:pPr>
        <w:ind w:left="420" w:right="420" w:hanging="212"/>
        <w:spacing w:after="0" w:line="264" w:lineRule="auto"/>
        <w:tabs>
          <w:tab w:leader="none" w:pos="413" w:val="left"/>
        </w:tabs>
        <w:numPr>
          <w:ilvl w:val="0"/>
          <w:numId w:val="6"/>
        </w:numPr>
        <w:rPr>
          <w:rFonts w:ascii="Arial" w:cs="Arial" w:eastAsia="Arial" w:hAnsi="Arial"/>
          <w:sz w:val="13"/>
          <w:szCs w:val="13"/>
          <w:color w:val="auto"/>
        </w:rPr>
      </w:pPr>
      <w:r>
        <w:rPr>
          <w:rFonts w:ascii="Arial" w:cs="Arial" w:eastAsia="Arial" w:hAnsi="Arial"/>
          <w:sz w:val="13"/>
          <w:szCs w:val="13"/>
          <w:color w:val="auto"/>
        </w:rPr>
        <w:t>Adjusted earnings (loss) per diluted share guidance excludes the impact of net special items and represents an absolute number, not a year over year comparison. The company is unable to reconcile certain forward-looking information to GAAP as the nature or amount of net special items cannot be determined at this time.</w:t>
      </w:r>
    </w:p>
    <w:p>
      <w:pPr>
        <w:sectPr>
          <w:pgSz w:w="11900" w:h="16838" w:orient="portrait"/>
          <w:cols w:equalWidth="0" w:num="1">
            <w:col w:w="11300"/>
          </w:cols>
          <w:pgMar w:left="300" w:top="128" w:right="299" w:bottom="1440" w:gutter="0" w:footer="0" w:header="0"/>
        </w:sectPr>
      </w:pPr>
    </w:p>
    <w:bookmarkStart w:id="6" w:name="page7"/>
    <w:bookmarkEnd w:id="6"/>
    <w:p>
      <w:pPr>
        <w:spacing w:after="0"/>
        <w:rPr>
          <w:sz w:val="20"/>
          <w:szCs w:val="20"/>
          <w:color w:val="auto"/>
        </w:rPr>
      </w:pPr>
      <w:r>
        <w:rPr>
          <w:rFonts w:ascii="Arial" w:cs="Arial" w:eastAsia="Arial" w:hAnsi="Arial"/>
          <w:sz w:val="12"/>
          <w:szCs w:val="12"/>
          <w:b w:val="1"/>
          <w:bCs w:val="1"/>
          <w:color w:val="auto"/>
        </w:rPr>
        <w:t>American Airlines Reports First-Quarter 2026 Financial Results</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April 23, 2026</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Page 4</w:t>
      </w:r>
    </w:p>
    <w:p>
      <w:pPr>
        <w:spacing w:after="0" w:line="200" w:lineRule="exact"/>
        <w:rPr>
          <w:sz w:val="20"/>
          <w:szCs w:val="20"/>
          <w:color w:val="auto"/>
        </w:rPr>
      </w:pPr>
    </w:p>
    <w:p>
      <w:pPr>
        <w:spacing w:after="0" w:line="224" w:lineRule="exact"/>
        <w:rPr>
          <w:sz w:val="20"/>
          <w:szCs w:val="20"/>
          <w:color w:val="auto"/>
        </w:rPr>
      </w:pPr>
    </w:p>
    <w:p>
      <w:pPr>
        <w:ind w:left="420" w:right="120" w:hanging="212"/>
        <w:spacing w:after="0" w:line="284" w:lineRule="auto"/>
        <w:tabs>
          <w:tab w:leader="none" w:pos="413" w:val="left"/>
        </w:tabs>
        <w:numPr>
          <w:ilvl w:val="0"/>
          <w:numId w:val="7"/>
        </w:numPr>
        <w:rPr>
          <w:rFonts w:ascii="Arial" w:cs="Arial" w:eastAsia="Arial" w:hAnsi="Arial"/>
          <w:sz w:val="13"/>
          <w:szCs w:val="13"/>
          <w:color w:val="auto"/>
        </w:rPr>
      </w:pPr>
      <w:r>
        <w:rPr>
          <w:rFonts w:ascii="Arial" w:cs="Arial" w:eastAsia="Arial" w:hAnsi="Arial"/>
          <w:sz w:val="13"/>
          <w:szCs w:val="13"/>
          <w:color w:val="auto"/>
        </w:rPr>
        <w:t>Cost per available seat mile (CASM) excluding net special items, fuel and profit sharing is a non-GAAP measure. The company is unable to reconcile certain forward-looking information to GAAP as the nature or amount of net special items cannot be determined at this time.</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American Airlines Group (NASDAQ: AAL)</w:t>
      </w:r>
    </w:p>
    <w:p>
      <w:pPr>
        <w:spacing w:after="0" w:line="16" w:lineRule="exact"/>
        <w:rPr>
          <w:sz w:val="20"/>
          <w:szCs w:val="20"/>
          <w:color w:val="auto"/>
        </w:rPr>
      </w:pPr>
    </w:p>
    <w:p>
      <w:pPr>
        <w:ind w:right="160"/>
        <w:spacing w:after="0" w:line="269" w:lineRule="auto"/>
        <w:rPr>
          <w:sz w:val="20"/>
          <w:szCs w:val="20"/>
          <w:color w:val="auto"/>
        </w:rPr>
      </w:pPr>
      <w:r>
        <w:rPr>
          <w:rFonts w:ascii="Arial" w:cs="Arial" w:eastAsia="Arial" w:hAnsi="Arial"/>
          <w:sz w:val="13"/>
          <w:szCs w:val="13"/>
          <w:color w:val="auto"/>
        </w:rPr>
        <w:t>American Airlines is a premium global airline connecting more of the U.S. to the world. With roots tracing back to an air mail carrier in the Midwestern United States in 1926, American now operates more than 6,000 daily flights to more than 350 destinations in more than 60 countries and serves more than 200 million customers annually. Powered by a proud and talented team of 130,000 aviation professionals, American’s team lives out the airline’s purpose of caring for people on life’s journey every day.</w:t>
      </w:r>
    </w:p>
    <w:p>
      <w:pPr>
        <w:spacing w:after="0" w:line="124" w:lineRule="exact"/>
        <w:rPr>
          <w:sz w:val="20"/>
          <w:szCs w:val="20"/>
          <w:color w:val="auto"/>
        </w:rPr>
      </w:pPr>
    </w:p>
    <w:p>
      <w:pPr>
        <w:ind w:right="40"/>
        <w:spacing w:after="0" w:line="239" w:lineRule="auto"/>
        <w:rPr>
          <w:sz w:val="20"/>
          <w:szCs w:val="20"/>
          <w:color w:val="auto"/>
        </w:rPr>
      </w:pPr>
      <w:r>
        <w:rPr>
          <w:rFonts w:ascii="Arial" w:cs="Arial" w:eastAsia="Arial" w:hAnsi="Arial"/>
          <w:sz w:val="13"/>
          <w:szCs w:val="13"/>
          <w:color w:val="auto"/>
        </w:rPr>
        <w:t>The world’s largest airline proudly celebrates its centennial year in 2026, reaching a milestone that reflects a century of innovation and the Forever Forward</w:t>
      </w:r>
      <w:r>
        <w:rPr>
          <w:rFonts w:ascii="Arial" w:cs="Arial" w:eastAsia="Arial" w:hAnsi="Arial"/>
          <w:sz w:val="17"/>
          <w:szCs w:val="17"/>
          <w:color w:val="auto"/>
          <w:vertAlign w:val="superscript"/>
        </w:rPr>
        <w:t>SM</w:t>
      </w:r>
      <w:r>
        <w:rPr>
          <w:rFonts w:ascii="Arial" w:cs="Arial" w:eastAsia="Arial" w:hAnsi="Arial"/>
          <w:sz w:val="13"/>
          <w:szCs w:val="13"/>
          <w:color w:val="auto"/>
        </w:rPr>
        <w:t xml:space="preserve"> spirit that changed the industry and the world. American introduced the first scheduled air cargo service, the first airport lounge and the first airline loyalty program and continues to reinvent the customer experience today. The airline is also a founding member of the </w:t>
      </w:r>
      <w:r>
        <w:rPr>
          <w:rFonts w:ascii="Arial" w:cs="Arial" w:eastAsia="Arial" w:hAnsi="Arial"/>
          <w:sz w:val="13"/>
          <w:szCs w:val="13"/>
          <w:b w:val="1"/>
          <w:bCs w:val="1"/>
          <w:color w:val="auto"/>
        </w:rPr>
        <w:t>one</w:t>
      </w:r>
      <w:r>
        <w:rPr>
          <w:rFonts w:ascii="Arial" w:cs="Arial" w:eastAsia="Arial" w:hAnsi="Arial"/>
          <w:sz w:val="13"/>
          <w:szCs w:val="13"/>
          <w:color w:val="auto"/>
        </w:rPr>
        <w:t>world alliance, whose members serve more than 900 destinations around the globe.</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Get the latest about American at </w:t>
      </w:r>
      <w:r>
        <w:rPr>
          <w:rFonts w:ascii="Arial" w:cs="Arial" w:eastAsia="Arial" w:hAnsi="Arial"/>
          <w:sz w:val="13"/>
          <w:szCs w:val="13"/>
          <w:u w:val="single" w:color="auto"/>
          <w:color w:val="0000FF"/>
        </w:rPr>
        <w:t>news.aa.com</w:t>
      </w:r>
      <w:r>
        <w:rPr>
          <w:rFonts w:ascii="Arial" w:cs="Arial" w:eastAsia="Arial" w:hAnsi="Arial"/>
          <w:sz w:val="13"/>
          <w:szCs w:val="13"/>
          <w:color w:val="auto"/>
        </w:rPr>
        <w:t xml:space="preserve"> and </w:t>
      </w:r>
      <w:r>
        <w:rPr>
          <w:rFonts w:ascii="Arial" w:cs="Arial" w:eastAsia="Arial" w:hAnsi="Arial"/>
          <w:sz w:val="13"/>
          <w:szCs w:val="13"/>
          <w:u w:val="single" w:color="auto"/>
          <w:color w:val="0000FF"/>
        </w:rPr>
        <w:t>@AmericanAir</w:t>
      </w:r>
      <w:r>
        <w:rPr>
          <w:rFonts w:ascii="Times New Roman" w:cs="Times New Roman" w:eastAsia="Times New Roman" w:hAnsi="Times New Roman"/>
          <w:sz w:val="11"/>
          <w:szCs w:val="1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Use of websites and social media to disclose information</w:t>
      </w:r>
    </w:p>
    <w:p>
      <w:pPr>
        <w:spacing w:after="0" w:line="25" w:lineRule="exact"/>
        <w:rPr>
          <w:sz w:val="20"/>
          <w:szCs w:val="20"/>
          <w:color w:val="auto"/>
        </w:rPr>
      </w:pPr>
    </w:p>
    <w:p>
      <w:pPr>
        <w:ind w:right="300"/>
        <w:spacing w:after="0" w:line="261" w:lineRule="auto"/>
        <w:rPr>
          <w:sz w:val="20"/>
          <w:szCs w:val="20"/>
          <w:color w:val="auto"/>
        </w:rPr>
      </w:pPr>
      <w:r>
        <w:rPr>
          <w:rFonts w:ascii="Arial" w:cs="Arial" w:eastAsia="Arial" w:hAnsi="Arial"/>
          <w:sz w:val="13"/>
          <w:szCs w:val="13"/>
          <w:color w:val="auto"/>
        </w:rPr>
        <w:t xml:space="preserve">American routinely uses the investor relations section of its website as well as its social media sites, including Facebook and X, and its newsroom at </w:t>
      </w:r>
      <w:r>
        <w:rPr>
          <w:rFonts w:ascii="Arial" w:cs="Arial" w:eastAsia="Arial" w:hAnsi="Arial"/>
          <w:sz w:val="13"/>
          <w:szCs w:val="13"/>
          <w:u w:val="single" w:color="auto"/>
          <w:color w:val="0000FF"/>
        </w:rPr>
        <w:t>news.aa.com</w:t>
      </w:r>
      <w:r>
        <w:rPr>
          <w:rFonts w:ascii="Arial" w:cs="Arial" w:eastAsia="Arial" w:hAnsi="Arial"/>
          <w:sz w:val="13"/>
          <w:szCs w:val="13"/>
          <w:color w:val="auto"/>
        </w:rPr>
        <w:t>, to disclose important information about American Airlines Group Inc. and its subsidiaries and comply with its disclosure obligations under Regulation Fair Disclosure. The information contained on, or that may be accessed through, the company’s website, social media channels or newsroom is not incorporated by reference into, and is not a part of, this document, and all website addresses in this document are intended to be inactive textual references only.</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Cautionary statement regarding forward-looking statements and information</w:t>
      </w:r>
    </w:p>
    <w:p>
      <w:pPr>
        <w:spacing w:after="0" w:line="25"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Certain of the statements contained in this report should be considered forward-looking statements within the meaning of the Securities Act of 1933, as amended, the Securities Exchange Act of 1934, as amended,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the company’s plans, objectives, expectations, intentions, estimates and strategies for the future, and other statements that are not historical facts. These forward-looking statements are based on the company’s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downturns in economic conditions could adversely affect our business; we will need to obtain sufficient financing or other capital to operate successfully; our high level of debt and other obligations may limit our ability to fund general corporate requirements and obtain additional financing, may limit our flexibility in responding to competitive developments and may cause our business to be vulnerable to</w:t>
      </w:r>
    </w:p>
    <w:p>
      <w:pPr>
        <w:sectPr>
          <w:pgSz w:w="11900" w:h="16838" w:orient="portrait"/>
          <w:cols w:equalWidth="0" w:num="1">
            <w:col w:w="11280"/>
          </w:cols>
          <w:pgMar w:left="300" w:top="128" w:right="319" w:bottom="1440" w:gutter="0" w:footer="0" w:header="0"/>
        </w:sectPr>
      </w:pPr>
    </w:p>
    <w:bookmarkStart w:id="7" w:name="page8"/>
    <w:bookmarkEnd w:id="7"/>
    <w:p>
      <w:pPr>
        <w:spacing w:after="0"/>
        <w:rPr>
          <w:sz w:val="20"/>
          <w:szCs w:val="20"/>
          <w:color w:val="auto"/>
        </w:rPr>
      </w:pPr>
      <w:r>
        <w:rPr>
          <w:rFonts w:ascii="Arial" w:cs="Arial" w:eastAsia="Arial" w:hAnsi="Arial"/>
          <w:sz w:val="12"/>
          <w:szCs w:val="12"/>
          <w:b w:val="1"/>
          <w:bCs w:val="1"/>
          <w:color w:val="auto"/>
        </w:rPr>
        <w:t>American Airlines Reports First-Quarter 2026 Financial Results</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April 23, 2026</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Page 5</w:t>
      </w:r>
    </w:p>
    <w:p>
      <w:pPr>
        <w:spacing w:after="0" w:line="200" w:lineRule="exact"/>
        <w:rPr>
          <w:sz w:val="20"/>
          <w:szCs w:val="20"/>
          <w:color w:val="auto"/>
        </w:rPr>
      </w:pPr>
    </w:p>
    <w:p>
      <w:pPr>
        <w:spacing w:after="0" w:line="224" w:lineRule="exact"/>
        <w:rPr>
          <w:sz w:val="20"/>
          <w:szCs w:val="20"/>
          <w:color w:val="auto"/>
        </w:rPr>
      </w:pPr>
    </w:p>
    <w:p>
      <w:pPr>
        <w:spacing w:after="0" w:line="256" w:lineRule="auto"/>
        <w:rPr>
          <w:sz w:val="20"/>
          <w:szCs w:val="20"/>
          <w:color w:val="auto"/>
        </w:rPr>
      </w:pPr>
      <w:r>
        <w:rPr>
          <w:rFonts w:ascii="Arial" w:cs="Arial" w:eastAsia="Arial" w:hAnsi="Arial"/>
          <w:sz w:val="13"/>
          <w:szCs w:val="13"/>
          <w:color w:val="auto"/>
        </w:rPr>
        <w:t>adverse economic and industry conditions; if our financial condition worsens, provisions in our credit card processing and other commercial agreements may adversely affect our liquidity; the loss of key personnel whom we depend on to operate our business, or the inability to attract, develop and retain additional qualified personnel could adversely affect our business; our business has been and will continue to be materially affected by many changing economic, geopolitical, commercial, regulatory and other conditions beyond our control, including global events that affect travel behavior; the airline industry is intensely competitive and dynamic; union disputes, employee strikes and other labor-related disruptions may adversely affect our operations and financial performance; if we encounter problems with any of our third-party regional operators or third-party service providers, our operations could be adversely affected by a resulting decline in revenue or negative public perception about our services; any damage to our reputation or brand image could adversely affect our business or financial results; risks of losses and adverse publicity from any public incidents involving our company, people or brand; changes to our business model that are designed to increase revenues and reduce costs may not be successful and may cause operational difficulties or decreased demand; our intellectual property rights, particularly our branding rights, are valuable, and any inability to protect them may adversely affect our business and financial results; we may be a party to litigation in the normal course of business or otherwise, which could affect our financial position and liquidity; we rely heavily on technology and automated systems, including artificial intelligence, to operate our business, and any failures could harm our business, results of operations and financial condition; evolving data privacy requirements could increase our costs, and any significant cybersecurity incident could disrupt our operations, harm our reputation, expose us to legal risks and otherwise materially adversely affect our business, results of operations and financial condition; we are exposed to risks from cyberattacks, and any cybersecurity incidents involving us, our third-party service providers, or one of our AAdvantage partners or other business partners; we have a significant amount of goodwill, which is assessed for impairment at least annually. We may never realize the full value of our intangible or long-lived assets, causing us to record material impairment charges; the commercial relationships that we have with other companies, including any related equity investments, may not produce the returns or results we expect; our business is very dependent on the price and availability of aircraft fuel. Continued periods of high volatility in fuel costs, increased fuel prices or significant disruptions in the supply of aircraft fuel could have a significant negative impact on consumer demand, our operating results and liquidity; our business is subject to extensive government regulation; we can be adversely affected by any prolonged partial or full U.S. Government shutdown; we operate a global business with international operations that are subject to economic and political instability and have been, and in the future may continue to be, adversely affected by numerous events, circumstances or government actions beyond our control; we may be adversely affected by conflicts overseas, terrorist attacks or other acts of violence, domestically or abroad; the travel industry continues to face ongoing security concerns; we are subject to risks associated with climate change, including increased regulation of our greenhouse gas emissions, changing consumer preferences and the potential for increased impacts of severe weather events on our operations and infrastructure; we are subject to various risks associated with environmental and social matters, and many forms of environmental and noise regulation; a shortage of pilots or other personnel could materially adversely affect our business; we depend on a limited number of suppliers for aircraft, aircraft engines and parts. Delays in scheduled aircraft deliveries, unexpected grounding of aircraft or aircraft engines whether by regulators or by us, or other loss of anticipated fleet capacity, and failure of new aircraft to receive regulatory approval, be produced or otherwise perform as and when expected, adversely impacts our business, results of operations and financial condition; we rely on third-party distribution channels and must</w:t>
      </w:r>
    </w:p>
    <w:p>
      <w:pPr>
        <w:sectPr>
          <w:pgSz w:w="11900" w:h="16838" w:orient="portrait"/>
          <w:cols w:equalWidth="0" w:num="1">
            <w:col w:w="11300"/>
          </w:cols>
          <w:pgMar w:left="300" w:top="128" w:right="299" w:bottom="1440" w:gutter="0" w:footer="0" w:header="0"/>
        </w:sectPr>
      </w:pPr>
    </w:p>
    <w:bookmarkStart w:id="8" w:name="page9"/>
    <w:bookmarkEnd w:id="8"/>
    <w:p>
      <w:pPr>
        <w:spacing w:after="0"/>
        <w:rPr>
          <w:sz w:val="20"/>
          <w:szCs w:val="20"/>
          <w:color w:val="auto"/>
        </w:rPr>
      </w:pPr>
      <w:r>
        <w:rPr>
          <w:rFonts w:ascii="Arial" w:cs="Arial" w:eastAsia="Arial" w:hAnsi="Arial"/>
          <w:sz w:val="12"/>
          <w:szCs w:val="12"/>
          <w:b w:val="1"/>
          <w:bCs w:val="1"/>
          <w:color w:val="auto"/>
        </w:rPr>
        <w:t>American Airlines Reports First-Quarter 2026 Financial Results</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April 23, 2026</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Page 6</w:t>
      </w:r>
    </w:p>
    <w:p>
      <w:pPr>
        <w:spacing w:after="0" w:line="200" w:lineRule="exact"/>
        <w:rPr>
          <w:sz w:val="20"/>
          <w:szCs w:val="20"/>
          <w:color w:val="auto"/>
        </w:rPr>
      </w:pPr>
    </w:p>
    <w:p>
      <w:pPr>
        <w:spacing w:after="0" w:line="224"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effectively manage the costs, rights and functionality of these channels; if we are unable to obtain and maintain adequate facilities and infrastructure throughout our system and, at some airports, adequate slots, we may be unable to operate our existing flight schedule and to expand or change our route network in the future; interruptions or disruptions in service at one of our key facilities; increases in insurance costs or reductions in insurance coverage, and heavy taxation of the airline industry; risks related to ownership of AAG common stock; and other risks set forth herein as well as in the company’s latest annual report on Form 10-K for the year ended December 31, 2025 (especially in Part I, Item 1A. Risk Factors and Part II, Item 7. Management’s Discussion and Analysis of Financial Condition and Results of Operations) and subsequent quarterly reports on Form 10-Q (especially in Part I, Item 2. Management’s Discussion and Analysis of Financial Condition and Results of Operations and Part II, Item 1A. Risk Factors), and other risks and uncertainties listed from time to time in the company’s other filings with the Securities and Exchange Commission. Additionally, there may be other factors of which the company is not currently aware that may affect matters discussed in the forward-looking statements and may also cause actual results to differ materially from those discussed. The company does not assume any obligation to publicly update or supplement any forward-looking statement to reflect actual results, changes in assumptions or changes in other factors affecting these forward-looking statements other than as required by law. Any forward-looking statements speak only as of the date hereof or as of the dates indicated in the statement.</w:t>
      </w:r>
    </w:p>
    <w:p>
      <w:pPr>
        <w:sectPr>
          <w:pgSz w:w="11900" w:h="16838" w:orient="portrait"/>
          <w:cols w:equalWidth="0" w:num="1">
            <w:col w:w="11300"/>
          </w:cols>
          <w:pgMar w:left="300" w:top="128" w:right="299" w:bottom="1440" w:gutter="0" w:footer="0" w:header="0"/>
        </w:sectPr>
      </w:pPr>
    </w:p>
    <w:bookmarkStart w:id="9" w:name="page10"/>
    <w:bookmarkEnd w:id="9"/>
    <w:p>
      <w:pPr>
        <w:ind w:left="8"/>
        <w:spacing w:after="0"/>
        <w:rPr>
          <w:sz w:val="20"/>
          <w:szCs w:val="20"/>
          <w:color w:val="auto"/>
        </w:rPr>
      </w:pPr>
      <w:r>
        <w:rPr>
          <w:rFonts w:ascii="Arial" w:cs="Arial" w:eastAsia="Arial" w:hAnsi="Arial"/>
          <w:sz w:val="12"/>
          <w:szCs w:val="12"/>
          <w:b w:val="1"/>
          <w:bCs w:val="1"/>
          <w:color w:val="auto"/>
        </w:rPr>
        <w:t>American Airlines Reports First-Quarter 2026 Financial Results</w:t>
      </w:r>
    </w:p>
    <w:p>
      <w:pPr>
        <w:spacing w:after="0" w:line="17" w:lineRule="exact"/>
        <w:rPr>
          <w:sz w:val="20"/>
          <w:szCs w:val="20"/>
          <w:color w:val="auto"/>
        </w:rPr>
      </w:pPr>
    </w:p>
    <w:p>
      <w:pPr>
        <w:ind w:left="8"/>
        <w:spacing w:after="0"/>
        <w:rPr>
          <w:sz w:val="20"/>
          <w:szCs w:val="20"/>
          <w:color w:val="auto"/>
        </w:rPr>
      </w:pPr>
      <w:r>
        <w:rPr>
          <w:rFonts w:ascii="Arial" w:cs="Arial" w:eastAsia="Arial" w:hAnsi="Arial"/>
          <w:sz w:val="12"/>
          <w:szCs w:val="12"/>
          <w:color w:val="auto"/>
        </w:rPr>
        <w:t>April 23, 2026</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Page 7</w:t>
      </w:r>
    </w:p>
    <w:p>
      <w:pPr>
        <w:spacing w:after="0" w:line="214" w:lineRule="exact"/>
        <w:rPr>
          <w:sz w:val="20"/>
          <w:szCs w:val="20"/>
          <w:color w:val="auto"/>
        </w:rPr>
      </w:pPr>
    </w:p>
    <w:p>
      <w:pPr>
        <w:jc w:val="center"/>
        <w:ind w:right="-27"/>
        <w:spacing w:after="0"/>
        <w:rPr>
          <w:sz w:val="20"/>
          <w:szCs w:val="20"/>
          <w:color w:val="auto"/>
        </w:rPr>
      </w:pPr>
      <w:r>
        <w:rPr>
          <w:rFonts w:ascii="Arial" w:cs="Arial" w:eastAsia="Arial" w:hAnsi="Arial"/>
          <w:sz w:val="11"/>
          <w:szCs w:val="11"/>
          <w:b w:val="1"/>
          <w:bCs w:val="1"/>
          <w:color w:val="auto"/>
        </w:rPr>
        <w:t>American Airlines Group Inc.</w:t>
      </w:r>
    </w:p>
    <w:p>
      <w:pPr>
        <w:spacing w:after="0" w:line="10" w:lineRule="exact"/>
        <w:rPr>
          <w:sz w:val="20"/>
          <w:szCs w:val="20"/>
          <w:color w:val="auto"/>
        </w:rPr>
      </w:pPr>
    </w:p>
    <w:p>
      <w:pPr>
        <w:jc w:val="center"/>
        <w:ind w:right="-27"/>
        <w:spacing w:after="0"/>
        <w:rPr>
          <w:sz w:val="20"/>
          <w:szCs w:val="20"/>
          <w:color w:val="auto"/>
        </w:rPr>
      </w:pPr>
      <w:r>
        <w:rPr>
          <w:rFonts w:ascii="Arial" w:cs="Arial" w:eastAsia="Arial" w:hAnsi="Arial"/>
          <w:sz w:val="11"/>
          <w:szCs w:val="11"/>
          <w:b w:val="1"/>
          <w:bCs w:val="1"/>
          <w:color w:val="auto"/>
        </w:rPr>
        <w:t>Condensed Consolidated Statements of Operations</w:t>
      </w:r>
    </w:p>
    <w:p>
      <w:pPr>
        <w:spacing w:after="0" w:line="8" w:lineRule="exact"/>
        <w:rPr>
          <w:sz w:val="20"/>
          <w:szCs w:val="20"/>
          <w:color w:val="auto"/>
        </w:rPr>
      </w:pPr>
    </w:p>
    <w:p>
      <w:pPr>
        <w:jc w:val="center"/>
        <w:ind w:right="-27"/>
        <w:spacing w:after="0"/>
        <w:rPr>
          <w:sz w:val="20"/>
          <w:szCs w:val="20"/>
          <w:color w:val="auto"/>
        </w:rPr>
      </w:pPr>
      <w:r>
        <w:rPr>
          <w:rFonts w:ascii="Arial" w:cs="Arial" w:eastAsia="Arial" w:hAnsi="Arial"/>
          <w:sz w:val="11"/>
          <w:szCs w:val="11"/>
          <w:b w:val="1"/>
          <w:bCs w:val="1"/>
          <w:color w:val="auto"/>
        </w:rPr>
        <w:t>(In millions, except share and per share amounts)</w:t>
      </w:r>
    </w:p>
    <w:p>
      <w:pPr>
        <w:jc w:val="center"/>
        <w:ind w:right="-7"/>
        <w:spacing w:after="0"/>
        <w:rPr>
          <w:sz w:val="20"/>
          <w:szCs w:val="20"/>
          <w:color w:val="auto"/>
        </w:rPr>
      </w:pPr>
      <w:r>
        <w:rPr>
          <w:rFonts w:ascii="Arial" w:cs="Arial" w:eastAsia="Arial" w:hAnsi="Arial"/>
          <w:sz w:val="11"/>
          <w:szCs w:val="11"/>
          <w:b w:val="1"/>
          <w:bCs w:val="1"/>
          <w:color w:val="auto"/>
        </w:rPr>
        <w:t>(Unaudited)</w:t>
      </w:r>
    </w:p>
    <w:p>
      <w:pPr>
        <w:spacing w:after="0" w:line="94" w:lineRule="exact"/>
        <w:rPr>
          <w:sz w:val="20"/>
          <w:szCs w:val="20"/>
          <w:color w:val="auto"/>
        </w:rPr>
      </w:pPr>
    </w:p>
    <w:tbl>
      <w:tblPr>
        <w:tblLayout w:type="fixed"/>
        <w:tblInd w:w="28" w:type="dxa"/>
        <w:tblCellMar>
          <w:top w:w="0" w:type="dxa"/>
          <w:left w:w="0" w:type="dxa"/>
          <w:bottom w:w="0" w:type="dxa"/>
          <w:right w:w="0" w:type="dxa"/>
        </w:tblCellMar>
      </w:tblPr>
      <w:tr>
        <w:trPr>
          <w:trHeight w:val="115"/>
        </w:trPr>
        <w:tc>
          <w:tcPr>
            <w:tcW w:w="59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80" w:type="dxa"/>
            <w:vAlign w:val="bottom"/>
            <w:gridSpan w:val="3"/>
          </w:tcPr>
          <w:p>
            <w:pPr>
              <w:jc w:val="right"/>
              <w:ind w:right="206"/>
              <w:spacing w:after="0"/>
              <w:rPr>
                <w:sz w:val="20"/>
                <w:szCs w:val="20"/>
                <w:color w:val="auto"/>
              </w:rPr>
            </w:pPr>
            <w:r>
              <w:rPr>
                <w:rFonts w:ascii="Arial" w:cs="Arial" w:eastAsia="Arial" w:hAnsi="Arial"/>
                <w:sz w:val="10"/>
                <w:szCs w:val="10"/>
                <w:color w:val="auto"/>
              </w:rPr>
              <w:t>3 Months Ended</w:t>
            </w: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0"/>
                <w:szCs w:val="10"/>
                <w:color w:val="auto"/>
                <w:w w:val="98"/>
              </w:rPr>
              <w:t>Percent</w:t>
            </w:r>
          </w:p>
        </w:tc>
      </w:tr>
      <w:tr>
        <w:trPr>
          <w:trHeight w:val="135"/>
        </w:trPr>
        <w:tc>
          <w:tcPr>
            <w:tcW w:w="59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80" w:type="dxa"/>
            <w:vAlign w:val="bottom"/>
            <w:gridSpan w:val="3"/>
          </w:tcPr>
          <w:p>
            <w:pPr>
              <w:jc w:val="right"/>
              <w:ind w:right="346"/>
              <w:spacing w:after="0"/>
              <w:rPr>
                <w:sz w:val="20"/>
                <w:szCs w:val="20"/>
                <w:color w:val="auto"/>
              </w:rPr>
            </w:pPr>
            <w:r>
              <w:rPr>
                <w:rFonts w:ascii="Arial" w:cs="Arial" w:eastAsia="Arial" w:hAnsi="Arial"/>
                <w:sz w:val="10"/>
                <w:szCs w:val="10"/>
                <w:color w:val="auto"/>
              </w:rPr>
              <w:t>March 31,</w:t>
            </w: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0"/>
                <w:szCs w:val="10"/>
                <w:color w:val="auto"/>
                <w:w w:val="98"/>
              </w:rPr>
              <w:t>Increase</w:t>
            </w:r>
          </w:p>
        </w:tc>
      </w:tr>
      <w:tr>
        <w:trPr>
          <w:trHeight w:val="128"/>
        </w:trPr>
        <w:tc>
          <w:tcPr>
            <w:tcW w:w="59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tcPr>
          <w:p>
            <w:pPr>
              <w:jc w:val="right"/>
              <w:ind w:right="767"/>
              <w:spacing w:after="0"/>
              <w:rPr>
                <w:sz w:val="20"/>
                <w:szCs w:val="20"/>
                <w:color w:val="auto"/>
              </w:rPr>
            </w:pPr>
            <w:r>
              <w:rPr>
                <w:rFonts w:ascii="Arial" w:cs="Arial" w:eastAsia="Arial" w:hAnsi="Arial"/>
                <w:sz w:val="10"/>
                <w:szCs w:val="10"/>
                <w:color w:val="auto"/>
              </w:rPr>
              <w:t>2026</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00" w:type="dxa"/>
            <w:vAlign w:val="bottom"/>
          </w:tcPr>
          <w:p>
            <w:pPr>
              <w:jc w:val="right"/>
              <w:ind w:right="786"/>
              <w:spacing w:after="0"/>
              <w:rPr>
                <w:sz w:val="20"/>
                <w:szCs w:val="20"/>
                <w:color w:val="auto"/>
              </w:rPr>
            </w:pPr>
            <w:r>
              <w:rPr>
                <w:rFonts w:ascii="Arial" w:cs="Arial" w:eastAsia="Arial" w:hAnsi="Arial"/>
                <w:sz w:val="10"/>
                <w:szCs w:val="10"/>
                <w:color w:val="auto"/>
              </w:rPr>
              <w:t>2025</w:t>
            </w:r>
          </w:p>
        </w:tc>
        <w:tc>
          <w:tcPr>
            <w:tcW w:w="80" w:type="dxa"/>
            <w:vAlign w:val="bottom"/>
          </w:tcPr>
          <w:p>
            <w:pPr>
              <w:spacing w:after="0"/>
              <w:rPr>
                <w:sz w:val="11"/>
                <w:szCs w:val="11"/>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0"/>
                <w:szCs w:val="10"/>
                <w:color w:val="auto"/>
                <w:w w:val="92"/>
              </w:rPr>
              <w:t>(Decrease)</w:t>
            </w:r>
          </w:p>
        </w:tc>
      </w:tr>
      <w:tr>
        <w:trPr>
          <w:trHeight w:val="127"/>
        </w:trPr>
        <w:tc>
          <w:tcPr>
            <w:tcW w:w="5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Operating revenues:</w:t>
            </w:r>
          </w:p>
        </w:tc>
        <w:tc>
          <w:tcPr>
            <w:tcW w:w="440" w:type="dxa"/>
            <w:vAlign w:val="bottom"/>
            <w:tcBorders>
              <w:top w:val="single" w:sz="8" w:color="auto"/>
            </w:tcBorders>
            <w:shd w:val="clear" w:color="auto" w:fill="CCEEFF"/>
          </w:tcPr>
          <w:p>
            <w:pPr>
              <w:spacing w:after="0"/>
              <w:rPr>
                <w:sz w:val="11"/>
                <w:szCs w:val="11"/>
                <w:color w:val="auto"/>
              </w:rPr>
            </w:pPr>
          </w:p>
        </w:tc>
        <w:tc>
          <w:tcPr>
            <w:tcW w:w="14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r>
      <w:tr>
        <w:trPr>
          <w:trHeight w:val="143"/>
        </w:trPr>
        <w:tc>
          <w:tcPr>
            <w:tcW w:w="5960" w:type="dxa"/>
            <w:vAlign w:val="bottom"/>
          </w:tcPr>
          <w:p>
            <w:pPr>
              <w:ind w:left="240"/>
              <w:spacing w:after="0"/>
              <w:rPr>
                <w:sz w:val="20"/>
                <w:szCs w:val="20"/>
                <w:color w:val="auto"/>
              </w:rPr>
            </w:pPr>
            <w:r>
              <w:rPr>
                <w:rFonts w:ascii="Arial" w:cs="Arial" w:eastAsia="Arial" w:hAnsi="Arial"/>
                <w:sz w:val="11"/>
                <w:szCs w:val="11"/>
                <w:color w:val="auto"/>
              </w:rPr>
              <w:t>Passenger</w:t>
            </w:r>
          </w:p>
        </w:tc>
        <w:tc>
          <w:tcPr>
            <w:tcW w:w="440" w:type="dxa"/>
            <w:vAlign w:val="bottom"/>
          </w:tcPr>
          <w:p>
            <w:pPr>
              <w:jc w:val="right"/>
              <w:ind w:right="331"/>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spacing w:after="0"/>
              <w:rPr>
                <w:sz w:val="20"/>
                <w:szCs w:val="20"/>
                <w:color w:val="auto"/>
              </w:rPr>
            </w:pPr>
            <w:r>
              <w:rPr>
                <w:rFonts w:ascii="Arial" w:cs="Arial" w:eastAsia="Arial" w:hAnsi="Arial"/>
                <w:sz w:val="11"/>
                <w:szCs w:val="11"/>
                <w:color w:val="auto"/>
              </w:rPr>
              <w:t>12,495</w:t>
            </w:r>
          </w:p>
        </w:tc>
        <w:tc>
          <w:tcPr>
            <w:tcW w:w="80" w:type="dxa"/>
            <w:vAlign w:val="bottom"/>
          </w:tcPr>
          <w:p>
            <w:pPr>
              <w:spacing w:after="0"/>
              <w:rPr>
                <w:sz w:val="12"/>
                <w:szCs w:val="12"/>
                <w:color w:val="auto"/>
              </w:rPr>
            </w:pPr>
          </w:p>
        </w:tc>
        <w:tc>
          <w:tcPr>
            <w:tcW w:w="580" w:type="dxa"/>
            <w:vAlign w:val="bottom"/>
          </w:tcPr>
          <w:p>
            <w:pPr>
              <w:jc w:val="right"/>
              <w:ind w:right="446"/>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11,391</w:t>
            </w:r>
          </w:p>
        </w:tc>
        <w:tc>
          <w:tcPr>
            <w:tcW w:w="1140" w:type="dxa"/>
            <w:vAlign w:val="bottom"/>
            <w:gridSpan w:val="2"/>
          </w:tcPr>
          <w:p>
            <w:pPr>
              <w:jc w:val="right"/>
              <w:ind w:right="16"/>
              <w:spacing w:after="0"/>
              <w:rPr>
                <w:sz w:val="20"/>
                <w:szCs w:val="20"/>
                <w:color w:val="auto"/>
              </w:rPr>
            </w:pPr>
            <w:r>
              <w:rPr>
                <w:rFonts w:ascii="Arial" w:cs="Arial" w:eastAsia="Arial" w:hAnsi="Arial"/>
                <w:sz w:val="11"/>
                <w:szCs w:val="11"/>
                <w:color w:val="auto"/>
              </w:rPr>
              <w:t>9.7</w:t>
            </w:r>
          </w:p>
        </w:tc>
        <w:tc>
          <w:tcPr>
            <w:tcW w:w="320" w:type="dxa"/>
            <w:vAlign w:val="bottom"/>
          </w:tcPr>
          <w:p>
            <w:pPr>
              <w:spacing w:after="0"/>
              <w:rPr>
                <w:sz w:val="12"/>
                <w:szCs w:val="12"/>
                <w:color w:val="auto"/>
              </w:rPr>
            </w:pPr>
          </w:p>
        </w:tc>
      </w:tr>
      <w:tr>
        <w:trPr>
          <w:trHeight w:val="145"/>
        </w:trPr>
        <w:tc>
          <w:tcPr>
            <w:tcW w:w="5960" w:type="dxa"/>
            <w:vAlign w:val="bottom"/>
            <w:shd w:val="clear" w:color="auto" w:fill="CCEEFF"/>
          </w:tcPr>
          <w:p>
            <w:pPr>
              <w:ind w:left="240"/>
              <w:spacing w:after="0"/>
              <w:rPr>
                <w:sz w:val="20"/>
                <w:szCs w:val="20"/>
                <w:color w:val="auto"/>
              </w:rPr>
            </w:pPr>
            <w:r>
              <w:rPr>
                <w:rFonts w:ascii="Arial" w:cs="Arial" w:eastAsia="Arial" w:hAnsi="Arial"/>
                <w:sz w:val="11"/>
                <w:szCs w:val="11"/>
                <w:color w:val="auto"/>
              </w:rPr>
              <w:t>Cargo</w:t>
            </w:r>
          </w:p>
        </w:tc>
        <w:tc>
          <w:tcPr>
            <w:tcW w:w="4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214</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189</w:t>
            </w:r>
          </w:p>
        </w:tc>
        <w:tc>
          <w:tcPr>
            <w:tcW w:w="1140" w:type="dxa"/>
            <w:vAlign w:val="bottom"/>
            <w:gridSpan w:val="2"/>
            <w:shd w:val="clear" w:color="auto" w:fill="CCEEFF"/>
          </w:tcPr>
          <w:p>
            <w:pPr>
              <w:jc w:val="right"/>
              <w:ind w:right="16"/>
              <w:spacing w:after="0"/>
              <w:rPr>
                <w:sz w:val="20"/>
                <w:szCs w:val="20"/>
                <w:color w:val="auto"/>
              </w:rPr>
            </w:pPr>
            <w:r>
              <w:rPr>
                <w:rFonts w:ascii="Arial" w:cs="Arial" w:eastAsia="Arial" w:hAnsi="Arial"/>
                <w:sz w:val="11"/>
                <w:szCs w:val="11"/>
                <w:color w:val="auto"/>
              </w:rPr>
              <w:t>12.9</w:t>
            </w:r>
          </w:p>
        </w:tc>
        <w:tc>
          <w:tcPr>
            <w:tcW w:w="320" w:type="dxa"/>
            <w:vAlign w:val="bottom"/>
            <w:shd w:val="clear" w:color="auto" w:fill="CCEEFF"/>
          </w:tcPr>
          <w:p>
            <w:pPr>
              <w:spacing w:after="0"/>
              <w:rPr>
                <w:sz w:val="12"/>
                <w:szCs w:val="12"/>
                <w:color w:val="auto"/>
              </w:rPr>
            </w:pPr>
          </w:p>
        </w:tc>
      </w:tr>
      <w:tr>
        <w:trPr>
          <w:trHeight w:val="143"/>
        </w:trPr>
        <w:tc>
          <w:tcPr>
            <w:tcW w:w="5960" w:type="dxa"/>
            <w:vAlign w:val="bottom"/>
            <w:tcBorders>
              <w:bottom w:val="single" w:sz="8" w:color="CCEEFF"/>
            </w:tcBorders>
          </w:tcPr>
          <w:p>
            <w:pPr>
              <w:ind w:left="240"/>
              <w:spacing w:after="0"/>
              <w:rPr>
                <w:sz w:val="20"/>
                <w:szCs w:val="20"/>
                <w:color w:val="auto"/>
              </w:rPr>
            </w:pPr>
            <w:r>
              <w:rPr>
                <w:rFonts w:ascii="Arial" w:cs="Arial" w:eastAsia="Arial" w:hAnsi="Arial"/>
                <w:sz w:val="11"/>
                <w:szCs w:val="11"/>
                <w:color w:val="auto"/>
              </w:rPr>
              <w:t>Other</w:t>
            </w:r>
          </w:p>
        </w:tc>
        <w:tc>
          <w:tcPr>
            <w:tcW w:w="4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1,203</w:t>
            </w: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971</w:t>
            </w:r>
          </w:p>
        </w:tc>
        <w:tc>
          <w:tcPr>
            <w:tcW w:w="1140" w:type="dxa"/>
            <w:vAlign w:val="bottom"/>
            <w:tcBorders>
              <w:bottom w:val="single" w:sz="8" w:color="CCEEFF"/>
            </w:tcBorders>
            <w:gridSpan w:val="2"/>
          </w:tcPr>
          <w:p>
            <w:pPr>
              <w:jc w:val="right"/>
              <w:ind w:right="16"/>
              <w:spacing w:after="0"/>
              <w:rPr>
                <w:sz w:val="20"/>
                <w:szCs w:val="20"/>
                <w:color w:val="auto"/>
              </w:rPr>
            </w:pPr>
            <w:r>
              <w:rPr>
                <w:rFonts w:ascii="Arial" w:cs="Arial" w:eastAsia="Arial" w:hAnsi="Arial"/>
                <w:sz w:val="11"/>
                <w:szCs w:val="11"/>
                <w:color w:val="auto"/>
              </w:rPr>
              <w:t>23.9</w:t>
            </w:r>
          </w:p>
        </w:tc>
        <w:tc>
          <w:tcPr>
            <w:tcW w:w="320" w:type="dxa"/>
            <w:vAlign w:val="bottom"/>
            <w:tcBorders>
              <w:bottom w:val="single" w:sz="8" w:color="CCEEFF"/>
            </w:tcBorders>
          </w:tcPr>
          <w:p>
            <w:pPr>
              <w:spacing w:after="0"/>
              <w:rPr>
                <w:sz w:val="12"/>
                <w:szCs w:val="12"/>
                <w:color w:val="auto"/>
              </w:rPr>
            </w:pPr>
          </w:p>
        </w:tc>
      </w:tr>
      <w:tr>
        <w:trPr>
          <w:trHeight w:val="134"/>
        </w:trPr>
        <w:tc>
          <w:tcPr>
            <w:tcW w:w="5960" w:type="dxa"/>
            <w:vAlign w:val="bottom"/>
            <w:shd w:val="clear" w:color="auto" w:fill="CCEEFF"/>
          </w:tcPr>
          <w:p>
            <w:pPr>
              <w:ind w:left="240"/>
              <w:spacing w:after="0" w:line="123" w:lineRule="exact"/>
              <w:rPr>
                <w:sz w:val="20"/>
                <w:szCs w:val="20"/>
                <w:color w:val="auto"/>
              </w:rPr>
            </w:pPr>
            <w:r>
              <w:rPr>
                <w:rFonts w:ascii="Arial" w:cs="Arial" w:eastAsia="Arial" w:hAnsi="Arial"/>
                <w:sz w:val="11"/>
                <w:szCs w:val="11"/>
                <w:color w:val="auto"/>
              </w:rPr>
              <w:t>Total operating revenues</w:t>
            </w:r>
          </w:p>
        </w:tc>
        <w:tc>
          <w:tcPr>
            <w:tcW w:w="440" w:type="dxa"/>
            <w:vAlign w:val="bottom"/>
            <w:shd w:val="clear" w:color="auto" w:fill="CCEEFF"/>
          </w:tcPr>
          <w:p>
            <w:pPr>
              <w:spacing w:after="0"/>
              <w:rPr>
                <w:sz w:val="11"/>
                <w:szCs w:val="1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13,912</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3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12,551</w:t>
            </w:r>
          </w:p>
        </w:tc>
        <w:tc>
          <w:tcPr>
            <w:tcW w:w="1140" w:type="dxa"/>
            <w:vAlign w:val="bottom"/>
            <w:gridSpan w:val="2"/>
            <w:shd w:val="clear" w:color="auto" w:fill="CCEEFF"/>
          </w:tcPr>
          <w:p>
            <w:pPr>
              <w:jc w:val="right"/>
              <w:ind w:right="16"/>
              <w:spacing w:after="0"/>
              <w:rPr>
                <w:sz w:val="20"/>
                <w:szCs w:val="20"/>
                <w:color w:val="auto"/>
              </w:rPr>
            </w:pPr>
            <w:r>
              <w:rPr>
                <w:rFonts w:ascii="Arial" w:cs="Arial" w:eastAsia="Arial" w:hAnsi="Arial"/>
                <w:sz w:val="11"/>
                <w:szCs w:val="11"/>
                <w:color w:val="auto"/>
              </w:rPr>
              <w:t>10.8</w:t>
            </w:r>
          </w:p>
        </w:tc>
        <w:tc>
          <w:tcPr>
            <w:tcW w:w="320" w:type="dxa"/>
            <w:vAlign w:val="bottom"/>
            <w:shd w:val="clear" w:color="auto" w:fill="CCEEFF"/>
          </w:tcPr>
          <w:p>
            <w:pPr>
              <w:spacing w:after="0"/>
              <w:rPr>
                <w:sz w:val="11"/>
                <w:szCs w:val="11"/>
                <w:color w:val="auto"/>
              </w:rPr>
            </w:pPr>
          </w:p>
        </w:tc>
      </w:tr>
      <w:tr>
        <w:trPr>
          <w:trHeight w:val="144"/>
        </w:trPr>
        <w:tc>
          <w:tcPr>
            <w:tcW w:w="5960" w:type="dxa"/>
            <w:vAlign w:val="bottom"/>
          </w:tcPr>
          <w:p>
            <w:pPr>
              <w:ind w:left="20"/>
              <w:spacing w:after="0"/>
              <w:rPr>
                <w:sz w:val="20"/>
                <w:szCs w:val="20"/>
                <w:color w:val="auto"/>
              </w:rPr>
            </w:pPr>
            <w:r>
              <w:rPr>
                <w:rFonts w:ascii="Arial" w:cs="Arial" w:eastAsia="Arial" w:hAnsi="Arial"/>
                <w:sz w:val="11"/>
                <w:szCs w:val="11"/>
                <w:b w:val="1"/>
                <w:bCs w:val="1"/>
                <w:color w:val="auto"/>
              </w:rPr>
              <w:t>Operating expenses:</w:t>
            </w:r>
          </w:p>
        </w:tc>
        <w:tc>
          <w:tcPr>
            <w:tcW w:w="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4"/>
        </w:trPr>
        <w:tc>
          <w:tcPr>
            <w:tcW w:w="5960" w:type="dxa"/>
            <w:vAlign w:val="bottom"/>
            <w:shd w:val="clear" w:color="auto" w:fill="CCEEFF"/>
          </w:tcPr>
          <w:p>
            <w:pPr>
              <w:ind w:left="240"/>
              <w:spacing w:after="0"/>
              <w:rPr>
                <w:sz w:val="20"/>
                <w:szCs w:val="20"/>
                <w:color w:val="auto"/>
              </w:rPr>
            </w:pPr>
            <w:r>
              <w:rPr>
                <w:rFonts w:ascii="Arial" w:cs="Arial" w:eastAsia="Arial" w:hAnsi="Arial"/>
                <w:sz w:val="11"/>
                <w:szCs w:val="11"/>
                <w:color w:val="auto"/>
              </w:rPr>
              <w:t>Aircraft fuel and related taxes</w:t>
            </w:r>
          </w:p>
        </w:tc>
        <w:tc>
          <w:tcPr>
            <w:tcW w:w="4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2,928</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2,587</w:t>
            </w:r>
          </w:p>
        </w:tc>
        <w:tc>
          <w:tcPr>
            <w:tcW w:w="1140" w:type="dxa"/>
            <w:vAlign w:val="bottom"/>
            <w:gridSpan w:val="2"/>
            <w:shd w:val="clear" w:color="auto" w:fill="CCEEFF"/>
          </w:tcPr>
          <w:p>
            <w:pPr>
              <w:jc w:val="right"/>
              <w:ind w:right="16"/>
              <w:spacing w:after="0"/>
              <w:rPr>
                <w:sz w:val="20"/>
                <w:szCs w:val="20"/>
                <w:color w:val="auto"/>
              </w:rPr>
            </w:pPr>
            <w:r>
              <w:rPr>
                <w:rFonts w:ascii="Arial" w:cs="Arial" w:eastAsia="Arial" w:hAnsi="Arial"/>
                <w:sz w:val="11"/>
                <w:szCs w:val="11"/>
                <w:color w:val="auto"/>
              </w:rPr>
              <w:t>13.2</w:t>
            </w:r>
          </w:p>
        </w:tc>
        <w:tc>
          <w:tcPr>
            <w:tcW w:w="320" w:type="dxa"/>
            <w:vAlign w:val="bottom"/>
            <w:shd w:val="clear" w:color="auto" w:fill="CCEEFF"/>
          </w:tcPr>
          <w:p>
            <w:pPr>
              <w:spacing w:after="0"/>
              <w:rPr>
                <w:sz w:val="12"/>
                <w:szCs w:val="12"/>
                <w:color w:val="auto"/>
              </w:rPr>
            </w:pPr>
          </w:p>
        </w:tc>
      </w:tr>
      <w:tr>
        <w:trPr>
          <w:trHeight w:val="143"/>
        </w:trPr>
        <w:tc>
          <w:tcPr>
            <w:tcW w:w="5960" w:type="dxa"/>
            <w:vAlign w:val="bottom"/>
          </w:tcPr>
          <w:p>
            <w:pPr>
              <w:ind w:left="240"/>
              <w:spacing w:after="0"/>
              <w:rPr>
                <w:sz w:val="20"/>
                <w:szCs w:val="20"/>
                <w:color w:val="auto"/>
              </w:rPr>
            </w:pPr>
            <w:r>
              <w:rPr>
                <w:rFonts w:ascii="Arial" w:cs="Arial" w:eastAsia="Arial" w:hAnsi="Arial"/>
                <w:sz w:val="11"/>
                <w:szCs w:val="11"/>
                <w:color w:val="auto"/>
              </w:rPr>
              <w:t>Salaries, wages and benefits</w:t>
            </w:r>
          </w:p>
        </w:tc>
        <w:tc>
          <w:tcPr>
            <w:tcW w:w="4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4,674</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4,222</w:t>
            </w:r>
          </w:p>
        </w:tc>
        <w:tc>
          <w:tcPr>
            <w:tcW w:w="1140" w:type="dxa"/>
            <w:vAlign w:val="bottom"/>
            <w:gridSpan w:val="2"/>
          </w:tcPr>
          <w:p>
            <w:pPr>
              <w:jc w:val="right"/>
              <w:ind w:right="16"/>
              <w:spacing w:after="0"/>
              <w:rPr>
                <w:sz w:val="20"/>
                <w:szCs w:val="20"/>
                <w:color w:val="auto"/>
              </w:rPr>
            </w:pPr>
            <w:r>
              <w:rPr>
                <w:rFonts w:ascii="Arial" w:cs="Arial" w:eastAsia="Arial" w:hAnsi="Arial"/>
                <w:sz w:val="11"/>
                <w:szCs w:val="11"/>
                <w:color w:val="auto"/>
              </w:rPr>
              <w:t>10.7</w:t>
            </w:r>
          </w:p>
        </w:tc>
        <w:tc>
          <w:tcPr>
            <w:tcW w:w="320" w:type="dxa"/>
            <w:vAlign w:val="bottom"/>
          </w:tcPr>
          <w:p>
            <w:pPr>
              <w:spacing w:after="0"/>
              <w:rPr>
                <w:sz w:val="12"/>
                <w:szCs w:val="12"/>
                <w:color w:val="auto"/>
              </w:rPr>
            </w:pPr>
          </w:p>
        </w:tc>
      </w:tr>
      <w:tr>
        <w:trPr>
          <w:trHeight w:val="145"/>
        </w:trPr>
        <w:tc>
          <w:tcPr>
            <w:tcW w:w="5960" w:type="dxa"/>
            <w:vAlign w:val="bottom"/>
            <w:shd w:val="clear" w:color="auto" w:fill="CCEEFF"/>
          </w:tcPr>
          <w:p>
            <w:pPr>
              <w:ind w:left="240"/>
              <w:spacing w:after="0"/>
              <w:rPr>
                <w:sz w:val="20"/>
                <w:szCs w:val="20"/>
                <w:color w:val="auto"/>
              </w:rPr>
            </w:pPr>
            <w:r>
              <w:rPr>
                <w:rFonts w:ascii="Arial" w:cs="Arial" w:eastAsia="Arial" w:hAnsi="Arial"/>
                <w:sz w:val="11"/>
                <w:szCs w:val="11"/>
                <w:color w:val="auto"/>
              </w:rPr>
              <w:t>Regional expenses:</w:t>
            </w:r>
          </w:p>
        </w:tc>
        <w:tc>
          <w:tcPr>
            <w:tcW w:w="4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r>
      <w:tr>
        <w:trPr>
          <w:trHeight w:val="143"/>
        </w:trPr>
        <w:tc>
          <w:tcPr>
            <w:tcW w:w="5960" w:type="dxa"/>
            <w:vAlign w:val="bottom"/>
          </w:tcPr>
          <w:p>
            <w:pPr>
              <w:ind w:left="300"/>
              <w:spacing w:after="0"/>
              <w:rPr>
                <w:sz w:val="20"/>
                <w:szCs w:val="20"/>
                <w:color w:val="auto"/>
              </w:rPr>
            </w:pPr>
            <w:r>
              <w:rPr>
                <w:rFonts w:ascii="Arial" w:cs="Arial" w:eastAsia="Arial" w:hAnsi="Arial"/>
                <w:sz w:val="11"/>
                <w:szCs w:val="11"/>
                <w:color w:val="auto"/>
              </w:rPr>
              <w:t>Regional operating expenses</w:t>
            </w:r>
          </w:p>
        </w:tc>
        <w:tc>
          <w:tcPr>
            <w:tcW w:w="4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1,313</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1,272</w:t>
            </w:r>
          </w:p>
        </w:tc>
        <w:tc>
          <w:tcPr>
            <w:tcW w:w="1140" w:type="dxa"/>
            <w:vAlign w:val="bottom"/>
            <w:gridSpan w:val="2"/>
          </w:tcPr>
          <w:p>
            <w:pPr>
              <w:jc w:val="right"/>
              <w:ind w:right="16"/>
              <w:spacing w:after="0"/>
              <w:rPr>
                <w:sz w:val="20"/>
                <w:szCs w:val="20"/>
                <w:color w:val="auto"/>
              </w:rPr>
            </w:pPr>
            <w:r>
              <w:rPr>
                <w:rFonts w:ascii="Arial" w:cs="Arial" w:eastAsia="Arial" w:hAnsi="Arial"/>
                <w:sz w:val="11"/>
                <w:szCs w:val="11"/>
                <w:color w:val="auto"/>
              </w:rPr>
              <w:t>3.2</w:t>
            </w:r>
          </w:p>
        </w:tc>
        <w:tc>
          <w:tcPr>
            <w:tcW w:w="320" w:type="dxa"/>
            <w:vAlign w:val="bottom"/>
          </w:tcPr>
          <w:p>
            <w:pPr>
              <w:spacing w:after="0"/>
              <w:rPr>
                <w:sz w:val="12"/>
                <w:szCs w:val="12"/>
                <w:color w:val="auto"/>
              </w:rPr>
            </w:pPr>
          </w:p>
        </w:tc>
      </w:tr>
      <w:tr>
        <w:trPr>
          <w:trHeight w:val="145"/>
        </w:trPr>
        <w:tc>
          <w:tcPr>
            <w:tcW w:w="5960" w:type="dxa"/>
            <w:vAlign w:val="bottom"/>
            <w:shd w:val="clear" w:color="auto" w:fill="CCEEFF"/>
          </w:tcPr>
          <w:p>
            <w:pPr>
              <w:ind w:left="300"/>
              <w:spacing w:after="0"/>
              <w:rPr>
                <w:sz w:val="20"/>
                <w:szCs w:val="20"/>
                <w:color w:val="auto"/>
              </w:rPr>
            </w:pPr>
            <w:r>
              <w:rPr>
                <w:rFonts w:ascii="Arial" w:cs="Arial" w:eastAsia="Arial" w:hAnsi="Arial"/>
                <w:sz w:val="11"/>
                <w:szCs w:val="11"/>
                <w:color w:val="auto"/>
              </w:rPr>
              <w:t>Regional depreciation and amortization</w:t>
            </w:r>
          </w:p>
        </w:tc>
        <w:tc>
          <w:tcPr>
            <w:tcW w:w="4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79</w:t>
            </w:r>
          </w:p>
        </w:tc>
        <w:tc>
          <w:tcPr>
            <w:tcW w:w="1140" w:type="dxa"/>
            <w:vAlign w:val="bottom"/>
            <w:gridSpan w:val="2"/>
            <w:shd w:val="clear" w:color="auto" w:fill="CCEEFF"/>
          </w:tcPr>
          <w:p>
            <w:pPr>
              <w:jc w:val="right"/>
              <w:ind w:right="16"/>
              <w:spacing w:after="0"/>
              <w:rPr>
                <w:sz w:val="20"/>
                <w:szCs w:val="20"/>
                <w:color w:val="auto"/>
              </w:rPr>
            </w:pPr>
            <w:r>
              <w:rPr>
                <w:rFonts w:ascii="Arial" w:cs="Arial" w:eastAsia="Arial" w:hAnsi="Arial"/>
                <w:sz w:val="11"/>
                <w:szCs w:val="11"/>
                <w:color w:val="auto"/>
              </w:rPr>
              <w:t>15.4</w:t>
            </w:r>
          </w:p>
        </w:tc>
        <w:tc>
          <w:tcPr>
            <w:tcW w:w="320" w:type="dxa"/>
            <w:vAlign w:val="bottom"/>
            <w:shd w:val="clear" w:color="auto" w:fill="CCEEFF"/>
          </w:tcPr>
          <w:p>
            <w:pPr>
              <w:spacing w:after="0"/>
              <w:rPr>
                <w:sz w:val="12"/>
                <w:szCs w:val="12"/>
                <w:color w:val="auto"/>
              </w:rPr>
            </w:pPr>
          </w:p>
        </w:tc>
      </w:tr>
      <w:tr>
        <w:trPr>
          <w:trHeight w:val="143"/>
        </w:trPr>
        <w:tc>
          <w:tcPr>
            <w:tcW w:w="5960" w:type="dxa"/>
            <w:vAlign w:val="bottom"/>
          </w:tcPr>
          <w:p>
            <w:pPr>
              <w:ind w:left="240"/>
              <w:spacing w:after="0"/>
              <w:rPr>
                <w:sz w:val="20"/>
                <w:szCs w:val="20"/>
                <w:color w:val="auto"/>
              </w:rPr>
            </w:pPr>
            <w:r>
              <w:rPr>
                <w:rFonts w:ascii="Arial" w:cs="Arial" w:eastAsia="Arial" w:hAnsi="Arial"/>
                <w:sz w:val="11"/>
                <w:szCs w:val="11"/>
                <w:color w:val="auto"/>
              </w:rPr>
              <w:t>Maintenance, materials and repairs</w:t>
            </w:r>
          </w:p>
        </w:tc>
        <w:tc>
          <w:tcPr>
            <w:tcW w:w="4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982</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922</w:t>
            </w:r>
          </w:p>
        </w:tc>
        <w:tc>
          <w:tcPr>
            <w:tcW w:w="1140" w:type="dxa"/>
            <w:vAlign w:val="bottom"/>
            <w:gridSpan w:val="2"/>
          </w:tcPr>
          <w:p>
            <w:pPr>
              <w:jc w:val="right"/>
              <w:ind w:right="16"/>
              <w:spacing w:after="0"/>
              <w:rPr>
                <w:sz w:val="20"/>
                <w:szCs w:val="20"/>
                <w:color w:val="auto"/>
              </w:rPr>
            </w:pPr>
            <w:r>
              <w:rPr>
                <w:rFonts w:ascii="Arial" w:cs="Arial" w:eastAsia="Arial" w:hAnsi="Arial"/>
                <w:sz w:val="11"/>
                <w:szCs w:val="11"/>
                <w:color w:val="auto"/>
              </w:rPr>
              <w:t>6.5</w:t>
            </w:r>
          </w:p>
        </w:tc>
        <w:tc>
          <w:tcPr>
            <w:tcW w:w="320" w:type="dxa"/>
            <w:vAlign w:val="bottom"/>
          </w:tcPr>
          <w:p>
            <w:pPr>
              <w:spacing w:after="0"/>
              <w:rPr>
                <w:sz w:val="12"/>
                <w:szCs w:val="12"/>
                <w:color w:val="auto"/>
              </w:rPr>
            </w:pPr>
          </w:p>
        </w:tc>
      </w:tr>
      <w:tr>
        <w:trPr>
          <w:trHeight w:val="145"/>
        </w:trPr>
        <w:tc>
          <w:tcPr>
            <w:tcW w:w="5960" w:type="dxa"/>
            <w:vAlign w:val="bottom"/>
            <w:shd w:val="clear" w:color="auto" w:fill="CCEEFF"/>
          </w:tcPr>
          <w:p>
            <w:pPr>
              <w:ind w:left="240"/>
              <w:spacing w:after="0"/>
              <w:rPr>
                <w:sz w:val="20"/>
                <w:szCs w:val="20"/>
                <w:color w:val="auto"/>
              </w:rPr>
            </w:pPr>
            <w:r>
              <w:rPr>
                <w:rFonts w:ascii="Arial" w:cs="Arial" w:eastAsia="Arial" w:hAnsi="Arial"/>
                <w:sz w:val="11"/>
                <w:szCs w:val="11"/>
                <w:color w:val="auto"/>
              </w:rPr>
              <w:t>Other rent and landing fees</w:t>
            </w:r>
          </w:p>
        </w:tc>
        <w:tc>
          <w:tcPr>
            <w:tcW w:w="4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890</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826</w:t>
            </w:r>
          </w:p>
        </w:tc>
        <w:tc>
          <w:tcPr>
            <w:tcW w:w="1140" w:type="dxa"/>
            <w:vAlign w:val="bottom"/>
            <w:gridSpan w:val="2"/>
            <w:shd w:val="clear" w:color="auto" w:fill="CCEEFF"/>
          </w:tcPr>
          <w:p>
            <w:pPr>
              <w:jc w:val="right"/>
              <w:ind w:right="16"/>
              <w:spacing w:after="0"/>
              <w:rPr>
                <w:sz w:val="20"/>
                <w:szCs w:val="20"/>
                <w:color w:val="auto"/>
              </w:rPr>
            </w:pPr>
            <w:r>
              <w:rPr>
                <w:rFonts w:ascii="Arial" w:cs="Arial" w:eastAsia="Arial" w:hAnsi="Arial"/>
                <w:sz w:val="11"/>
                <w:szCs w:val="11"/>
                <w:color w:val="auto"/>
              </w:rPr>
              <w:t>7.7</w:t>
            </w:r>
          </w:p>
        </w:tc>
        <w:tc>
          <w:tcPr>
            <w:tcW w:w="320" w:type="dxa"/>
            <w:vAlign w:val="bottom"/>
            <w:shd w:val="clear" w:color="auto" w:fill="CCEEFF"/>
          </w:tcPr>
          <w:p>
            <w:pPr>
              <w:spacing w:after="0"/>
              <w:rPr>
                <w:sz w:val="12"/>
                <w:szCs w:val="12"/>
                <w:color w:val="auto"/>
              </w:rPr>
            </w:pPr>
          </w:p>
        </w:tc>
      </w:tr>
      <w:tr>
        <w:trPr>
          <w:trHeight w:val="143"/>
        </w:trPr>
        <w:tc>
          <w:tcPr>
            <w:tcW w:w="5960" w:type="dxa"/>
            <w:vAlign w:val="bottom"/>
          </w:tcPr>
          <w:p>
            <w:pPr>
              <w:ind w:left="240"/>
              <w:spacing w:after="0"/>
              <w:rPr>
                <w:sz w:val="20"/>
                <w:szCs w:val="20"/>
                <w:color w:val="auto"/>
              </w:rPr>
            </w:pPr>
            <w:r>
              <w:rPr>
                <w:rFonts w:ascii="Arial" w:cs="Arial" w:eastAsia="Arial" w:hAnsi="Arial"/>
                <w:sz w:val="11"/>
                <w:szCs w:val="11"/>
                <w:color w:val="auto"/>
              </w:rPr>
              <w:t>Aircraft rent</w:t>
            </w:r>
          </w:p>
        </w:tc>
        <w:tc>
          <w:tcPr>
            <w:tcW w:w="4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309</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297</w:t>
            </w:r>
          </w:p>
        </w:tc>
        <w:tc>
          <w:tcPr>
            <w:tcW w:w="1140" w:type="dxa"/>
            <w:vAlign w:val="bottom"/>
            <w:gridSpan w:val="2"/>
          </w:tcPr>
          <w:p>
            <w:pPr>
              <w:jc w:val="right"/>
              <w:ind w:right="16"/>
              <w:spacing w:after="0"/>
              <w:rPr>
                <w:sz w:val="20"/>
                <w:szCs w:val="20"/>
                <w:color w:val="auto"/>
              </w:rPr>
            </w:pPr>
            <w:r>
              <w:rPr>
                <w:rFonts w:ascii="Arial" w:cs="Arial" w:eastAsia="Arial" w:hAnsi="Arial"/>
                <w:sz w:val="11"/>
                <w:szCs w:val="11"/>
                <w:color w:val="auto"/>
              </w:rPr>
              <w:t>3.9</w:t>
            </w:r>
          </w:p>
        </w:tc>
        <w:tc>
          <w:tcPr>
            <w:tcW w:w="320" w:type="dxa"/>
            <w:vAlign w:val="bottom"/>
          </w:tcPr>
          <w:p>
            <w:pPr>
              <w:spacing w:after="0"/>
              <w:rPr>
                <w:sz w:val="12"/>
                <w:szCs w:val="12"/>
                <w:color w:val="auto"/>
              </w:rPr>
            </w:pPr>
          </w:p>
        </w:tc>
      </w:tr>
      <w:tr>
        <w:trPr>
          <w:trHeight w:val="145"/>
        </w:trPr>
        <w:tc>
          <w:tcPr>
            <w:tcW w:w="5960" w:type="dxa"/>
            <w:vAlign w:val="bottom"/>
            <w:shd w:val="clear" w:color="auto" w:fill="CCEEFF"/>
          </w:tcPr>
          <w:p>
            <w:pPr>
              <w:ind w:left="240"/>
              <w:spacing w:after="0"/>
              <w:rPr>
                <w:sz w:val="20"/>
                <w:szCs w:val="20"/>
                <w:color w:val="auto"/>
              </w:rPr>
            </w:pPr>
            <w:r>
              <w:rPr>
                <w:rFonts w:ascii="Arial" w:cs="Arial" w:eastAsia="Arial" w:hAnsi="Arial"/>
                <w:sz w:val="11"/>
                <w:szCs w:val="11"/>
                <w:color w:val="auto"/>
              </w:rPr>
              <w:t>Selling expenses</w:t>
            </w:r>
          </w:p>
        </w:tc>
        <w:tc>
          <w:tcPr>
            <w:tcW w:w="4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507</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450</w:t>
            </w:r>
          </w:p>
        </w:tc>
        <w:tc>
          <w:tcPr>
            <w:tcW w:w="1140" w:type="dxa"/>
            <w:vAlign w:val="bottom"/>
            <w:gridSpan w:val="2"/>
            <w:shd w:val="clear" w:color="auto" w:fill="CCEEFF"/>
          </w:tcPr>
          <w:p>
            <w:pPr>
              <w:jc w:val="right"/>
              <w:ind w:right="16"/>
              <w:spacing w:after="0"/>
              <w:rPr>
                <w:sz w:val="20"/>
                <w:szCs w:val="20"/>
                <w:color w:val="auto"/>
              </w:rPr>
            </w:pPr>
            <w:r>
              <w:rPr>
                <w:rFonts w:ascii="Arial" w:cs="Arial" w:eastAsia="Arial" w:hAnsi="Arial"/>
                <w:sz w:val="11"/>
                <w:szCs w:val="11"/>
                <w:color w:val="auto"/>
              </w:rPr>
              <w:t>12.8</w:t>
            </w:r>
          </w:p>
        </w:tc>
        <w:tc>
          <w:tcPr>
            <w:tcW w:w="320" w:type="dxa"/>
            <w:vAlign w:val="bottom"/>
            <w:shd w:val="clear" w:color="auto" w:fill="CCEEFF"/>
          </w:tcPr>
          <w:p>
            <w:pPr>
              <w:spacing w:after="0"/>
              <w:rPr>
                <w:sz w:val="12"/>
                <w:szCs w:val="12"/>
                <w:color w:val="auto"/>
              </w:rPr>
            </w:pPr>
          </w:p>
        </w:tc>
      </w:tr>
      <w:tr>
        <w:trPr>
          <w:trHeight w:val="143"/>
        </w:trPr>
        <w:tc>
          <w:tcPr>
            <w:tcW w:w="5960" w:type="dxa"/>
            <w:vAlign w:val="bottom"/>
          </w:tcPr>
          <w:p>
            <w:pPr>
              <w:ind w:left="240"/>
              <w:spacing w:after="0"/>
              <w:rPr>
                <w:sz w:val="20"/>
                <w:szCs w:val="20"/>
                <w:color w:val="auto"/>
              </w:rPr>
            </w:pPr>
            <w:r>
              <w:rPr>
                <w:rFonts w:ascii="Arial" w:cs="Arial" w:eastAsia="Arial" w:hAnsi="Arial"/>
                <w:sz w:val="11"/>
                <w:szCs w:val="11"/>
                <w:color w:val="auto"/>
              </w:rPr>
              <w:t>Depreciation and amortization</w:t>
            </w:r>
          </w:p>
        </w:tc>
        <w:tc>
          <w:tcPr>
            <w:tcW w:w="4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475</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468</w:t>
            </w:r>
          </w:p>
        </w:tc>
        <w:tc>
          <w:tcPr>
            <w:tcW w:w="1140" w:type="dxa"/>
            <w:vAlign w:val="bottom"/>
            <w:gridSpan w:val="2"/>
          </w:tcPr>
          <w:p>
            <w:pPr>
              <w:jc w:val="right"/>
              <w:ind w:right="16"/>
              <w:spacing w:after="0"/>
              <w:rPr>
                <w:sz w:val="20"/>
                <w:szCs w:val="20"/>
                <w:color w:val="auto"/>
              </w:rPr>
            </w:pPr>
            <w:r>
              <w:rPr>
                <w:rFonts w:ascii="Arial" w:cs="Arial" w:eastAsia="Arial" w:hAnsi="Arial"/>
                <w:sz w:val="11"/>
                <w:szCs w:val="11"/>
                <w:color w:val="auto"/>
              </w:rPr>
              <w:t>1.6</w:t>
            </w:r>
          </w:p>
        </w:tc>
        <w:tc>
          <w:tcPr>
            <w:tcW w:w="320" w:type="dxa"/>
            <w:vAlign w:val="bottom"/>
          </w:tcPr>
          <w:p>
            <w:pPr>
              <w:spacing w:after="0"/>
              <w:rPr>
                <w:sz w:val="12"/>
                <w:szCs w:val="12"/>
                <w:color w:val="auto"/>
              </w:rPr>
            </w:pPr>
          </w:p>
        </w:tc>
      </w:tr>
      <w:tr>
        <w:trPr>
          <w:trHeight w:val="163"/>
        </w:trPr>
        <w:tc>
          <w:tcPr>
            <w:tcW w:w="5960" w:type="dxa"/>
            <w:vAlign w:val="bottom"/>
            <w:shd w:val="clear" w:color="auto" w:fill="CCEEFF"/>
          </w:tcPr>
          <w:p>
            <w:pPr>
              <w:ind w:left="240"/>
              <w:spacing w:after="0"/>
              <w:rPr>
                <w:sz w:val="20"/>
                <w:szCs w:val="20"/>
                <w:color w:val="auto"/>
              </w:rPr>
            </w:pPr>
            <w:r>
              <w:rPr>
                <w:rFonts w:ascii="Arial" w:cs="Arial" w:eastAsia="Arial" w:hAnsi="Arial"/>
                <w:sz w:val="11"/>
                <w:szCs w:val="11"/>
                <w:color w:val="auto"/>
              </w:rPr>
              <w:t>Special items, net</w:t>
            </w:r>
          </w:p>
        </w:tc>
        <w:tc>
          <w:tcPr>
            <w:tcW w:w="4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(80.6)</w:t>
            </w:r>
          </w:p>
        </w:tc>
        <w:tc>
          <w:tcPr>
            <w:tcW w:w="320" w:type="dxa"/>
            <w:vAlign w:val="bottom"/>
            <w:shd w:val="clear" w:color="auto" w:fill="CCEEFF"/>
          </w:tcPr>
          <w:p>
            <w:pPr>
              <w:spacing w:after="0"/>
              <w:rPr>
                <w:sz w:val="14"/>
                <w:szCs w:val="14"/>
                <w:color w:val="auto"/>
              </w:rPr>
            </w:pPr>
          </w:p>
        </w:tc>
      </w:tr>
      <w:tr>
        <w:trPr>
          <w:trHeight w:val="143"/>
        </w:trPr>
        <w:tc>
          <w:tcPr>
            <w:tcW w:w="5960" w:type="dxa"/>
            <w:vAlign w:val="bottom"/>
            <w:tcBorders>
              <w:bottom w:val="single" w:sz="8" w:color="CCEEFF"/>
            </w:tcBorders>
          </w:tcPr>
          <w:p>
            <w:pPr>
              <w:ind w:left="240"/>
              <w:spacing w:after="0"/>
              <w:rPr>
                <w:sz w:val="20"/>
                <w:szCs w:val="20"/>
                <w:color w:val="auto"/>
              </w:rPr>
            </w:pPr>
            <w:r>
              <w:rPr>
                <w:rFonts w:ascii="Arial" w:cs="Arial" w:eastAsia="Arial" w:hAnsi="Arial"/>
                <w:sz w:val="11"/>
                <w:szCs w:val="11"/>
                <w:color w:val="auto"/>
              </w:rPr>
              <w:t>Other</w:t>
            </w:r>
          </w:p>
        </w:tc>
        <w:tc>
          <w:tcPr>
            <w:tcW w:w="4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1,770</w:t>
            </w: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1,628</w:t>
            </w:r>
          </w:p>
        </w:tc>
        <w:tc>
          <w:tcPr>
            <w:tcW w:w="1140" w:type="dxa"/>
            <w:vAlign w:val="bottom"/>
            <w:tcBorders>
              <w:bottom w:val="single" w:sz="8" w:color="CCEEFF"/>
            </w:tcBorders>
            <w:gridSpan w:val="2"/>
          </w:tcPr>
          <w:p>
            <w:pPr>
              <w:jc w:val="right"/>
              <w:ind w:right="16"/>
              <w:spacing w:after="0"/>
              <w:rPr>
                <w:sz w:val="20"/>
                <w:szCs w:val="20"/>
                <w:color w:val="auto"/>
              </w:rPr>
            </w:pPr>
            <w:r>
              <w:rPr>
                <w:rFonts w:ascii="Arial" w:cs="Arial" w:eastAsia="Arial" w:hAnsi="Arial"/>
                <w:sz w:val="11"/>
                <w:szCs w:val="11"/>
                <w:color w:val="auto"/>
              </w:rPr>
              <w:t>8.7</w:t>
            </w:r>
          </w:p>
        </w:tc>
        <w:tc>
          <w:tcPr>
            <w:tcW w:w="320" w:type="dxa"/>
            <w:vAlign w:val="bottom"/>
            <w:tcBorders>
              <w:bottom w:val="single" w:sz="8" w:color="CCEEFF"/>
            </w:tcBorders>
          </w:tcPr>
          <w:p>
            <w:pPr>
              <w:spacing w:after="0"/>
              <w:rPr>
                <w:sz w:val="12"/>
                <w:szCs w:val="12"/>
                <w:color w:val="auto"/>
              </w:rPr>
            </w:pPr>
          </w:p>
        </w:tc>
      </w:tr>
      <w:tr>
        <w:trPr>
          <w:trHeight w:val="134"/>
        </w:trPr>
        <w:tc>
          <w:tcPr>
            <w:tcW w:w="5960" w:type="dxa"/>
            <w:vAlign w:val="bottom"/>
            <w:shd w:val="clear" w:color="auto" w:fill="CCEEFF"/>
          </w:tcPr>
          <w:p>
            <w:pPr>
              <w:ind w:left="240"/>
              <w:spacing w:after="0" w:line="123" w:lineRule="exact"/>
              <w:rPr>
                <w:sz w:val="20"/>
                <w:szCs w:val="20"/>
                <w:color w:val="auto"/>
              </w:rPr>
            </w:pPr>
            <w:r>
              <w:rPr>
                <w:rFonts w:ascii="Arial" w:cs="Arial" w:eastAsia="Arial" w:hAnsi="Arial"/>
                <w:sz w:val="11"/>
                <w:szCs w:val="11"/>
                <w:color w:val="auto"/>
              </w:rPr>
              <w:t>Total operating expenses</w:t>
            </w:r>
          </w:p>
        </w:tc>
        <w:tc>
          <w:tcPr>
            <w:tcW w:w="440" w:type="dxa"/>
            <w:vAlign w:val="bottom"/>
            <w:tcBorders>
              <w:bottom w:val="single" w:sz="8" w:color="auto"/>
            </w:tcBorders>
            <w:shd w:val="clear" w:color="auto" w:fill="CCEEFF"/>
          </w:tcPr>
          <w:p>
            <w:pPr>
              <w:spacing w:after="0"/>
              <w:rPr>
                <w:sz w:val="11"/>
                <w:szCs w:val="1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13,953</w:t>
            </w:r>
          </w:p>
        </w:tc>
        <w:tc>
          <w:tcPr>
            <w:tcW w:w="80" w:type="dxa"/>
            <w:vAlign w:val="bottom"/>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13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12,821</w:t>
            </w:r>
          </w:p>
        </w:tc>
        <w:tc>
          <w:tcPr>
            <w:tcW w:w="1140" w:type="dxa"/>
            <w:vAlign w:val="bottom"/>
            <w:gridSpan w:val="2"/>
            <w:shd w:val="clear" w:color="auto" w:fill="CCEEFF"/>
          </w:tcPr>
          <w:p>
            <w:pPr>
              <w:jc w:val="right"/>
              <w:ind w:right="16"/>
              <w:spacing w:after="0"/>
              <w:rPr>
                <w:sz w:val="20"/>
                <w:szCs w:val="20"/>
                <w:color w:val="auto"/>
              </w:rPr>
            </w:pPr>
            <w:r>
              <w:rPr>
                <w:rFonts w:ascii="Arial" w:cs="Arial" w:eastAsia="Arial" w:hAnsi="Arial"/>
                <w:sz w:val="11"/>
                <w:szCs w:val="11"/>
                <w:color w:val="auto"/>
              </w:rPr>
              <w:t>8.8</w:t>
            </w:r>
          </w:p>
        </w:tc>
        <w:tc>
          <w:tcPr>
            <w:tcW w:w="320" w:type="dxa"/>
            <w:vAlign w:val="bottom"/>
            <w:shd w:val="clear" w:color="auto" w:fill="CCEEFF"/>
          </w:tcPr>
          <w:p>
            <w:pPr>
              <w:spacing w:after="0"/>
              <w:rPr>
                <w:sz w:val="11"/>
                <w:szCs w:val="11"/>
                <w:color w:val="auto"/>
              </w:rPr>
            </w:pPr>
          </w:p>
        </w:tc>
      </w:tr>
      <w:tr>
        <w:trPr>
          <w:trHeight w:val="132"/>
        </w:trPr>
        <w:tc>
          <w:tcPr>
            <w:tcW w:w="5960" w:type="dxa"/>
            <w:vAlign w:val="bottom"/>
          </w:tcPr>
          <w:p>
            <w:pPr>
              <w:ind w:left="240"/>
              <w:spacing w:after="0"/>
              <w:rPr>
                <w:sz w:val="20"/>
                <w:szCs w:val="20"/>
                <w:color w:val="auto"/>
              </w:rPr>
            </w:pPr>
            <w:r>
              <w:rPr>
                <w:rFonts w:ascii="Arial" w:cs="Arial" w:eastAsia="Arial" w:hAnsi="Arial"/>
                <w:sz w:val="11"/>
                <w:szCs w:val="11"/>
                <w:b w:val="1"/>
                <w:bCs w:val="1"/>
                <w:color w:val="auto"/>
              </w:rPr>
              <w:t>Operating loss</w:t>
            </w:r>
          </w:p>
        </w:tc>
        <w:tc>
          <w:tcPr>
            <w:tcW w:w="44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(41)</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(270)</w:t>
            </w:r>
          </w:p>
        </w:tc>
        <w:tc>
          <w:tcPr>
            <w:tcW w:w="1140" w:type="dxa"/>
            <w:vAlign w:val="bottom"/>
            <w:gridSpan w:val="2"/>
          </w:tcPr>
          <w:p>
            <w:pPr>
              <w:jc w:val="right"/>
              <w:spacing w:after="0"/>
              <w:rPr>
                <w:sz w:val="20"/>
                <w:szCs w:val="20"/>
                <w:color w:val="auto"/>
              </w:rPr>
            </w:pPr>
            <w:r>
              <w:rPr>
                <w:rFonts w:ascii="Arial" w:cs="Arial" w:eastAsia="Arial" w:hAnsi="Arial"/>
                <w:sz w:val="11"/>
                <w:szCs w:val="11"/>
                <w:color w:val="auto"/>
              </w:rPr>
              <w:t>(85.0)</w:t>
            </w:r>
          </w:p>
        </w:tc>
        <w:tc>
          <w:tcPr>
            <w:tcW w:w="320" w:type="dxa"/>
            <w:vAlign w:val="bottom"/>
          </w:tcPr>
          <w:p>
            <w:pPr>
              <w:spacing w:after="0"/>
              <w:rPr>
                <w:sz w:val="11"/>
                <w:szCs w:val="11"/>
                <w:color w:val="auto"/>
              </w:rPr>
            </w:pPr>
          </w:p>
        </w:tc>
      </w:tr>
      <w:tr>
        <w:trPr>
          <w:trHeight w:val="145"/>
        </w:trPr>
        <w:tc>
          <w:tcPr>
            <w:tcW w:w="59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Nonoperating income (expense):</w:t>
            </w:r>
          </w:p>
        </w:tc>
        <w:tc>
          <w:tcPr>
            <w:tcW w:w="4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r>
      <w:tr>
        <w:trPr>
          <w:trHeight w:val="143"/>
        </w:trPr>
        <w:tc>
          <w:tcPr>
            <w:tcW w:w="5960" w:type="dxa"/>
            <w:vAlign w:val="bottom"/>
          </w:tcPr>
          <w:p>
            <w:pPr>
              <w:ind w:left="240"/>
              <w:spacing w:after="0"/>
              <w:rPr>
                <w:sz w:val="20"/>
                <w:szCs w:val="20"/>
                <w:color w:val="auto"/>
              </w:rPr>
            </w:pPr>
            <w:r>
              <w:rPr>
                <w:rFonts w:ascii="Arial" w:cs="Arial" w:eastAsia="Arial" w:hAnsi="Arial"/>
                <w:sz w:val="11"/>
                <w:szCs w:val="11"/>
                <w:color w:val="auto"/>
              </w:rPr>
              <w:t>Interest income</w:t>
            </w:r>
          </w:p>
        </w:tc>
        <w:tc>
          <w:tcPr>
            <w:tcW w:w="4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55</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94</w:t>
            </w:r>
          </w:p>
        </w:tc>
        <w:tc>
          <w:tcPr>
            <w:tcW w:w="1140" w:type="dxa"/>
            <w:vAlign w:val="bottom"/>
            <w:gridSpan w:val="2"/>
          </w:tcPr>
          <w:p>
            <w:pPr>
              <w:jc w:val="right"/>
              <w:spacing w:after="0"/>
              <w:rPr>
                <w:sz w:val="20"/>
                <w:szCs w:val="20"/>
                <w:color w:val="auto"/>
              </w:rPr>
            </w:pPr>
            <w:r>
              <w:rPr>
                <w:rFonts w:ascii="Arial" w:cs="Arial" w:eastAsia="Arial" w:hAnsi="Arial"/>
                <w:sz w:val="11"/>
                <w:szCs w:val="11"/>
                <w:color w:val="auto"/>
              </w:rPr>
              <w:t>(41.3)</w:t>
            </w:r>
          </w:p>
        </w:tc>
        <w:tc>
          <w:tcPr>
            <w:tcW w:w="320" w:type="dxa"/>
            <w:vAlign w:val="bottom"/>
          </w:tcPr>
          <w:p>
            <w:pPr>
              <w:spacing w:after="0"/>
              <w:rPr>
                <w:sz w:val="12"/>
                <w:szCs w:val="12"/>
                <w:color w:val="auto"/>
              </w:rPr>
            </w:pPr>
          </w:p>
        </w:tc>
      </w:tr>
      <w:tr>
        <w:trPr>
          <w:trHeight w:val="145"/>
        </w:trPr>
        <w:tc>
          <w:tcPr>
            <w:tcW w:w="5960" w:type="dxa"/>
            <w:vAlign w:val="bottom"/>
            <w:shd w:val="clear" w:color="auto" w:fill="CCEEFF"/>
          </w:tcPr>
          <w:p>
            <w:pPr>
              <w:ind w:left="240"/>
              <w:spacing w:after="0"/>
              <w:rPr>
                <w:sz w:val="20"/>
                <w:szCs w:val="20"/>
                <w:color w:val="auto"/>
              </w:rPr>
            </w:pPr>
            <w:r>
              <w:rPr>
                <w:rFonts w:ascii="Arial" w:cs="Arial" w:eastAsia="Arial" w:hAnsi="Arial"/>
                <w:sz w:val="11"/>
                <w:szCs w:val="11"/>
                <w:color w:val="auto"/>
              </w:rPr>
              <w:t>Interest expense, net</w:t>
            </w:r>
          </w:p>
        </w:tc>
        <w:tc>
          <w:tcPr>
            <w:tcW w:w="4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(397)</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(7.3)</w:t>
            </w:r>
          </w:p>
        </w:tc>
        <w:tc>
          <w:tcPr>
            <w:tcW w:w="320" w:type="dxa"/>
            <w:vAlign w:val="bottom"/>
            <w:shd w:val="clear" w:color="auto" w:fill="CCEEFF"/>
          </w:tcPr>
          <w:p>
            <w:pPr>
              <w:spacing w:after="0"/>
              <w:rPr>
                <w:sz w:val="12"/>
                <w:szCs w:val="12"/>
                <w:color w:val="auto"/>
              </w:rPr>
            </w:pPr>
          </w:p>
        </w:tc>
      </w:tr>
      <w:tr>
        <w:trPr>
          <w:trHeight w:val="144"/>
        </w:trPr>
        <w:tc>
          <w:tcPr>
            <w:tcW w:w="5960" w:type="dxa"/>
            <w:vAlign w:val="bottom"/>
            <w:tcBorders>
              <w:bottom w:val="single" w:sz="8" w:color="CCEEFF"/>
            </w:tcBorders>
          </w:tcPr>
          <w:p>
            <w:pPr>
              <w:ind w:left="240"/>
              <w:spacing w:after="0"/>
              <w:rPr>
                <w:sz w:val="20"/>
                <w:szCs w:val="20"/>
                <w:color w:val="auto"/>
              </w:rPr>
            </w:pPr>
            <w:r>
              <w:rPr>
                <w:rFonts w:ascii="Arial" w:cs="Arial" w:eastAsia="Arial" w:hAnsi="Arial"/>
                <w:sz w:val="11"/>
                <w:szCs w:val="11"/>
                <w:color w:val="auto"/>
              </w:rPr>
              <w:t>Other expense, net</w:t>
            </w:r>
          </w:p>
        </w:tc>
        <w:tc>
          <w:tcPr>
            <w:tcW w:w="4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(93)</w:t>
            </w: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w:t>
            </w:r>
          </w:p>
        </w:tc>
        <w:tc>
          <w:tcPr>
            <w:tcW w:w="8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gridSpan w:val="2"/>
          </w:tcPr>
          <w:p>
            <w:pPr>
              <w:ind w:left="900"/>
              <w:spacing w:after="0" w:line="144" w:lineRule="exact"/>
              <w:rPr>
                <w:sz w:val="20"/>
                <w:szCs w:val="20"/>
                <w:color w:val="auto"/>
              </w:rPr>
            </w:pPr>
            <w:r>
              <w:rPr>
                <w:rFonts w:ascii="Arial" w:cs="Arial" w:eastAsia="Arial" w:hAnsi="Arial"/>
                <w:sz w:val="16"/>
                <w:szCs w:val="16"/>
                <w:color w:val="auto"/>
                <w:vertAlign w:val="subscript"/>
              </w:rPr>
              <w:t>nm</w:t>
            </w:r>
            <w:r>
              <w:rPr>
                <w:rFonts w:ascii="Arial" w:cs="Arial" w:eastAsia="Arial" w:hAnsi="Arial"/>
                <w:sz w:val="6"/>
                <w:szCs w:val="6"/>
                <w:color w:val="auto"/>
              </w:rPr>
              <w:t xml:space="preserve"> (1)</w:t>
            </w:r>
          </w:p>
        </w:tc>
      </w:tr>
      <w:tr>
        <w:trPr>
          <w:trHeight w:val="133"/>
        </w:trPr>
        <w:tc>
          <w:tcPr>
            <w:tcW w:w="596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Total nonoperating expense, net</w:t>
            </w:r>
          </w:p>
        </w:tc>
        <w:tc>
          <w:tcPr>
            <w:tcW w:w="440" w:type="dxa"/>
            <w:vAlign w:val="bottom"/>
            <w:tcBorders>
              <w:bottom w:val="single" w:sz="8" w:color="auto"/>
            </w:tcBorders>
            <w:shd w:val="clear" w:color="auto" w:fill="CCEEFF"/>
          </w:tcPr>
          <w:p>
            <w:pPr>
              <w:spacing w:after="0"/>
              <w:rPr>
                <w:sz w:val="11"/>
                <w:szCs w:val="1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(435)</w:t>
            </w:r>
          </w:p>
        </w:tc>
        <w:tc>
          <w:tcPr>
            <w:tcW w:w="80" w:type="dxa"/>
            <w:vAlign w:val="bottom"/>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(378)</w:t>
            </w:r>
          </w:p>
        </w:tc>
        <w:tc>
          <w:tcPr>
            <w:tcW w:w="1140" w:type="dxa"/>
            <w:vAlign w:val="bottom"/>
            <w:gridSpan w:val="2"/>
            <w:shd w:val="clear" w:color="auto" w:fill="CCEEFF"/>
          </w:tcPr>
          <w:p>
            <w:pPr>
              <w:jc w:val="right"/>
              <w:ind w:right="16"/>
              <w:spacing w:after="0"/>
              <w:rPr>
                <w:sz w:val="20"/>
                <w:szCs w:val="20"/>
                <w:color w:val="auto"/>
              </w:rPr>
            </w:pPr>
            <w:r>
              <w:rPr>
                <w:rFonts w:ascii="Arial" w:cs="Arial" w:eastAsia="Arial" w:hAnsi="Arial"/>
                <w:sz w:val="11"/>
                <w:szCs w:val="11"/>
                <w:color w:val="auto"/>
              </w:rPr>
              <w:t>15.1</w:t>
            </w:r>
          </w:p>
        </w:tc>
        <w:tc>
          <w:tcPr>
            <w:tcW w:w="320" w:type="dxa"/>
            <w:vAlign w:val="bottom"/>
            <w:shd w:val="clear" w:color="auto" w:fill="CCEEFF"/>
          </w:tcPr>
          <w:p>
            <w:pPr>
              <w:spacing w:after="0"/>
              <w:rPr>
                <w:sz w:val="11"/>
                <w:szCs w:val="11"/>
                <w:color w:val="auto"/>
              </w:rPr>
            </w:pPr>
          </w:p>
        </w:tc>
      </w:tr>
      <w:tr>
        <w:trPr>
          <w:trHeight w:val="132"/>
        </w:trPr>
        <w:tc>
          <w:tcPr>
            <w:tcW w:w="5960" w:type="dxa"/>
            <w:vAlign w:val="bottom"/>
          </w:tcPr>
          <w:p>
            <w:pPr>
              <w:ind w:left="20"/>
              <w:spacing w:after="0"/>
              <w:rPr>
                <w:sz w:val="20"/>
                <w:szCs w:val="20"/>
                <w:color w:val="auto"/>
              </w:rPr>
            </w:pPr>
            <w:r>
              <w:rPr>
                <w:rFonts w:ascii="Arial" w:cs="Arial" w:eastAsia="Arial" w:hAnsi="Arial"/>
                <w:sz w:val="11"/>
                <w:szCs w:val="11"/>
                <w:b w:val="1"/>
                <w:bCs w:val="1"/>
                <w:color w:val="auto"/>
              </w:rPr>
              <w:t>Loss before income taxes</w:t>
            </w:r>
          </w:p>
        </w:tc>
        <w:tc>
          <w:tcPr>
            <w:tcW w:w="44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(476)</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(648)</w:t>
            </w:r>
          </w:p>
        </w:tc>
        <w:tc>
          <w:tcPr>
            <w:tcW w:w="1140" w:type="dxa"/>
            <w:vAlign w:val="bottom"/>
            <w:gridSpan w:val="2"/>
          </w:tcPr>
          <w:p>
            <w:pPr>
              <w:jc w:val="right"/>
              <w:spacing w:after="0"/>
              <w:rPr>
                <w:sz w:val="20"/>
                <w:szCs w:val="20"/>
                <w:color w:val="auto"/>
              </w:rPr>
            </w:pPr>
            <w:r>
              <w:rPr>
                <w:rFonts w:ascii="Arial" w:cs="Arial" w:eastAsia="Arial" w:hAnsi="Arial"/>
                <w:sz w:val="11"/>
                <w:szCs w:val="11"/>
                <w:color w:val="auto"/>
              </w:rPr>
              <w:t>(26.6)</w:t>
            </w:r>
          </w:p>
        </w:tc>
        <w:tc>
          <w:tcPr>
            <w:tcW w:w="320" w:type="dxa"/>
            <w:vAlign w:val="bottom"/>
          </w:tcPr>
          <w:p>
            <w:pPr>
              <w:spacing w:after="0"/>
              <w:rPr>
                <w:sz w:val="11"/>
                <w:szCs w:val="11"/>
                <w:color w:val="auto"/>
              </w:rPr>
            </w:pPr>
          </w:p>
        </w:tc>
      </w:tr>
      <w:tr>
        <w:trPr>
          <w:trHeight w:val="145"/>
        </w:trPr>
        <w:tc>
          <w:tcPr>
            <w:tcW w:w="5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Income tax benefit</w:t>
            </w:r>
          </w:p>
        </w:tc>
        <w:tc>
          <w:tcPr>
            <w:tcW w:w="44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(94)</w:t>
            </w:r>
          </w:p>
        </w:tc>
        <w:tc>
          <w:tcPr>
            <w:tcW w:w="8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(46.7)</w:t>
            </w:r>
          </w:p>
        </w:tc>
        <w:tc>
          <w:tcPr>
            <w:tcW w:w="320" w:type="dxa"/>
            <w:vAlign w:val="bottom"/>
            <w:shd w:val="clear" w:color="auto" w:fill="CCEEFF"/>
          </w:tcPr>
          <w:p>
            <w:pPr>
              <w:spacing w:after="0"/>
              <w:rPr>
                <w:sz w:val="12"/>
                <w:szCs w:val="12"/>
                <w:color w:val="auto"/>
              </w:rPr>
            </w:pPr>
          </w:p>
        </w:tc>
      </w:tr>
      <w:tr>
        <w:trPr>
          <w:trHeight w:val="149"/>
        </w:trPr>
        <w:tc>
          <w:tcPr>
            <w:tcW w:w="5960" w:type="dxa"/>
            <w:vAlign w:val="bottom"/>
            <w:tcBorders>
              <w:bottom w:val="single" w:sz="8" w:color="CCEEFF"/>
            </w:tcBorders>
          </w:tcPr>
          <w:p>
            <w:pPr>
              <w:ind w:left="240"/>
              <w:spacing w:after="0"/>
              <w:rPr>
                <w:sz w:val="20"/>
                <w:szCs w:val="20"/>
                <w:color w:val="auto"/>
              </w:rPr>
            </w:pPr>
            <w:r>
              <w:rPr>
                <w:rFonts w:ascii="Arial" w:cs="Arial" w:eastAsia="Arial" w:hAnsi="Arial"/>
                <w:sz w:val="11"/>
                <w:szCs w:val="11"/>
                <w:b w:val="1"/>
                <w:bCs w:val="1"/>
                <w:color w:val="auto"/>
              </w:rPr>
              <w:t>Net loss</w:t>
            </w:r>
          </w:p>
        </w:tc>
        <w:tc>
          <w:tcPr>
            <w:tcW w:w="440" w:type="dxa"/>
            <w:vAlign w:val="bottom"/>
            <w:tcBorders>
              <w:bottom w:val="single" w:sz="8" w:color="auto"/>
            </w:tcBorders>
          </w:tcPr>
          <w:p>
            <w:pPr>
              <w:jc w:val="right"/>
              <w:ind w:right="331"/>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(382)</w:t>
            </w: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446"/>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(473)</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1"/>
                <w:szCs w:val="11"/>
                <w:color w:val="auto"/>
              </w:rPr>
              <w:t>(19.2)</w:t>
            </w:r>
          </w:p>
        </w:tc>
        <w:tc>
          <w:tcPr>
            <w:tcW w:w="320" w:type="dxa"/>
            <w:vAlign w:val="bottom"/>
            <w:tcBorders>
              <w:bottom w:val="single" w:sz="8" w:color="CCEEFF"/>
            </w:tcBorders>
          </w:tcPr>
          <w:p>
            <w:pPr>
              <w:spacing w:after="0"/>
              <w:rPr>
                <w:sz w:val="12"/>
                <w:szCs w:val="12"/>
                <w:color w:val="auto"/>
              </w:rPr>
            </w:pPr>
          </w:p>
        </w:tc>
      </w:tr>
      <w:tr>
        <w:trPr>
          <w:trHeight w:val="126"/>
        </w:trPr>
        <w:tc>
          <w:tcPr>
            <w:tcW w:w="59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r>
      <w:tr>
        <w:trPr>
          <w:trHeight w:val="144"/>
        </w:trPr>
        <w:tc>
          <w:tcPr>
            <w:tcW w:w="5960" w:type="dxa"/>
            <w:vAlign w:val="bottom"/>
          </w:tcPr>
          <w:p>
            <w:pPr>
              <w:ind w:left="20"/>
              <w:spacing w:after="0"/>
              <w:rPr>
                <w:sz w:val="20"/>
                <w:szCs w:val="20"/>
                <w:color w:val="auto"/>
              </w:rPr>
            </w:pPr>
            <w:r>
              <w:rPr>
                <w:rFonts w:ascii="Arial" w:cs="Arial" w:eastAsia="Arial" w:hAnsi="Arial"/>
                <w:sz w:val="11"/>
                <w:szCs w:val="11"/>
                <w:b w:val="1"/>
                <w:bCs w:val="1"/>
                <w:color w:val="auto"/>
              </w:rPr>
              <w:t>Loss per common share:</w:t>
            </w:r>
          </w:p>
        </w:tc>
        <w:tc>
          <w:tcPr>
            <w:tcW w:w="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6"/>
        </w:trPr>
        <w:tc>
          <w:tcPr>
            <w:tcW w:w="5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Basic and diluted</w:t>
            </w:r>
          </w:p>
        </w:tc>
        <w:tc>
          <w:tcPr>
            <w:tcW w:w="44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(0.58)</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446"/>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(0.72)</w:t>
            </w:r>
          </w:p>
        </w:tc>
        <w:tc>
          <w:tcPr>
            <w:tcW w:w="8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r>
      <w:tr>
        <w:trPr>
          <w:trHeight w:val="122"/>
        </w:trPr>
        <w:tc>
          <w:tcPr>
            <w:tcW w:w="596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Weighted average shares outstanding (in thousands):</w:t>
            </w:r>
          </w:p>
        </w:tc>
        <w:tc>
          <w:tcPr>
            <w:tcW w:w="4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 w:type="dxa"/>
            <w:vAlign w:val="bottom"/>
          </w:tcPr>
          <w:p>
            <w:pPr>
              <w:spacing w:after="0"/>
              <w:rPr>
                <w:sz w:val="10"/>
                <w:szCs w:val="10"/>
                <w:color w:val="auto"/>
              </w:rPr>
            </w:pPr>
          </w:p>
        </w:tc>
      </w:tr>
      <w:tr>
        <w:trPr>
          <w:trHeight w:val="160"/>
        </w:trPr>
        <w:tc>
          <w:tcPr>
            <w:tcW w:w="5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Basic and diluted</w:t>
            </w:r>
          </w:p>
        </w:tc>
        <w:tc>
          <w:tcPr>
            <w:tcW w:w="44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661,181</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658,880</w:t>
            </w:r>
          </w:p>
        </w:tc>
        <w:tc>
          <w:tcPr>
            <w:tcW w:w="8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r>
    </w:tbl>
    <w:p>
      <w:pPr>
        <w:spacing w:after="0" w:line="81"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Note: Percent change may not recalculate due to rounding.</w:t>
      </w:r>
    </w:p>
    <w:p>
      <w:pPr>
        <w:spacing w:after="0" w:line="61" w:lineRule="exact"/>
        <w:rPr>
          <w:sz w:val="20"/>
          <w:szCs w:val="20"/>
          <w:color w:val="auto"/>
        </w:rPr>
      </w:pPr>
    </w:p>
    <w:p>
      <w:pPr>
        <w:ind w:left="208" w:hanging="208"/>
        <w:spacing w:after="0"/>
        <w:tabs>
          <w:tab w:leader="none" w:pos="208" w:val="left"/>
        </w:tabs>
        <w:numPr>
          <w:ilvl w:val="0"/>
          <w:numId w:val="8"/>
        </w:numPr>
        <w:rPr>
          <w:rFonts w:ascii="Arial" w:cs="Arial" w:eastAsia="Arial" w:hAnsi="Arial"/>
          <w:sz w:val="14"/>
          <w:szCs w:val="14"/>
          <w:color w:val="auto"/>
          <w:vertAlign w:val="superscript"/>
        </w:rPr>
      </w:pPr>
      <w:r>
        <w:rPr>
          <w:rFonts w:ascii="Arial" w:cs="Arial" w:eastAsia="Arial" w:hAnsi="Arial"/>
          <w:sz w:val="11"/>
          <w:szCs w:val="11"/>
          <w:color w:val="auto"/>
        </w:rPr>
        <w:t>Not meaningful or greater than 100% change.</w:t>
      </w:r>
    </w:p>
    <w:p>
      <w:pPr>
        <w:sectPr>
          <w:pgSz w:w="11900" w:h="16838" w:orient="portrait"/>
          <w:cols w:equalWidth="0" w:num="1">
            <w:col w:w="11268"/>
          </w:cols>
          <w:pgMar w:left="292" w:top="128" w:right="339" w:bottom="1440" w:gutter="0" w:footer="0" w:header="0"/>
        </w:sectPr>
      </w:pPr>
    </w:p>
    <w:bookmarkStart w:id="10" w:name="page11"/>
    <w:bookmarkEnd w:id="10"/>
    <w:p>
      <w:pPr>
        <w:ind w:left="8"/>
        <w:spacing w:after="0"/>
        <w:rPr>
          <w:sz w:val="20"/>
          <w:szCs w:val="20"/>
          <w:color w:val="auto"/>
        </w:rPr>
      </w:pPr>
      <w:r>
        <w:rPr>
          <w:rFonts w:ascii="Arial" w:cs="Arial" w:eastAsia="Arial" w:hAnsi="Arial"/>
          <w:sz w:val="12"/>
          <w:szCs w:val="12"/>
          <w:b w:val="1"/>
          <w:bCs w:val="1"/>
          <w:color w:val="auto"/>
        </w:rPr>
        <w:t>American Airlines Reports First-Quarter 2026 Financial Results</w:t>
      </w:r>
    </w:p>
    <w:p>
      <w:pPr>
        <w:spacing w:after="0" w:line="17" w:lineRule="exact"/>
        <w:rPr>
          <w:sz w:val="20"/>
          <w:szCs w:val="20"/>
          <w:color w:val="auto"/>
        </w:rPr>
      </w:pPr>
    </w:p>
    <w:p>
      <w:pPr>
        <w:ind w:left="8"/>
        <w:spacing w:after="0"/>
        <w:rPr>
          <w:sz w:val="20"/>
          <w:szCs w:val="20"/>
          <w:color w:val="auto"/>
        </w:rPr>
      </w:pPr>
      <w:r>
        <w:rPr>
          <w:rFonts w:ascii="Arial" w:cs="Arial" w:eastAsia="Arial" w:hAnsi="Arial"/>
          <w:sz w:val="12"/>
          <w:szCs w:val="12"/>
          <w:color w:val="auto"/>
        </w:rPr>
        <w:t>April 23, 2026</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Page 8</w:t>
      </w:r>
    </w:p>
    <w:p>
      <w:pPr>
        <w:spacing w:after="0" w:line="214"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American Airlines Group Inc.</w:t>
      </w:r>
    </w:p>
    <w:p>
      <w:pPr>
        <w:jc w:val="center"/>
        <w:ind w:right="-7"/>
        <w:spacing w:after="0" w:line="215" w:lineRule="auto"/>
        <w:rPr>
          <w:sz w:val="20"/>
          <w:szCs w:val="20"/>
          <w:color w:val="auto"/>
        </w:rPr>
      </w:pPr>
      <w:r>
        <w:rPr>
          <w:rFonts w:ascii="Arial" w:cs="Arial" w:eastAsia="Arial" w:hAnsi="Arial"/>
          <w:sz w:val="11"/>
          <w:szCs w:val="11"/>
          <w:b w:val="1"/>
          <w:bCs w:val="1"/>
          <w:color w:val="auto"/>
        </w:rPr>
        <w:t xml:space="preserve">Consolidated Operating Statistics </w:t>
      </w:r>
      <w:r>
        <w:rPr>
          <w:rFonts w:ascii="Arial" w:cs="Arial" w:eastAsia="Arial" w:hAnsi="Arial"/>
          <w:sz w:val="14"/>
          <w:szCs w:val="14"/>
          <w:b w:val="1"/>
          <w:bCs w:val="1"/>
          <w:color w:val="auto"/>
          <w:vertAlign w:val="superscript"/>
        </w:rPr>
        <w:t>(1)</w:t>
      </w:r>
    </w:p>
    <w:p>
      <w:pPr>
        <w:jc w:val="center"/>
        <w:ind w:right="-7"/>
        <w:spacing w:after="0"/>
        <w:rPr>
          <w:sz w:val="20"/>
          <w:szCs w:val="20"/>
          <w:color w:val="auto"/>
        </w:rPr>
      </w:pPr>
      <w:r>
        <w:rPr>
          <w:rFonts w:ascii="Arial" w:cs="Arial" w:eastAsia="Arial" w:hAnsi="Arial"/>
          <w:sz w:val="11"/>
          <w:szCs w:val="11"/>
          <w:b w:val="1"/>
          <w:bCs w:val="1"/>
          <w:color w:val="auto"/>
        </w:rPr>
        <w:t>(Unaudited)</w:t>
      </w:r>
    </w:p>
    <w:p>
      <w:pPr>
        <w:spacing w:after="0" w:line="92" w:lineRule="exact"/>
        <w:rPr>
          <w:sz w:val="20"/>
          <w:szCs w:val="20"/>
          <w:color w:val="auto"/>
        </w:rPr>
      </w:pPr>
    </w:p>
    <w:tbl>
      <w:tblPr>
        <w:tblLayout w:type="fixed"/>
        <w:tblInd w:w="108" w:type="dxa"/>
        <w:tblCellMar>
          <w:top w:w="0" w:type="dxa"/>
          <w:left w:w="0" w:type="dxa"/>
          <w:bottom w:w="0" w:type="dxa"/>
          <w:right w:w="0" w:type="dxa"/>
        </w:tblCellMar>
      </w:tblPr>
      <w:tr>
        <w:trPr>
          <w:trHeight w:val="117"/>
        </w:trPr>
        <w:tc>
          <w:tcPr>
            <w:tcW w:w="7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gridSpan w:val="3"/>
          </w:tcPr>
          <w:p>
            <w:pPr>
              <w:jc w:val="center"/>
              <w:spacing w:after="0"/>
              <w:rPr>
                <w:sz w:val="20"/>
                <w:szCs w:val="20"/>
                <w:color w:val="auto"/>
              </w:rPr>
            </w:pPr>
            <w:r>
              <w:rPr>
                <w:rFonts w:ascii="Arial" w:cs="Arial" w:eastAsia="Arial" w:hAnsi="Arial"/>
                <w:sz w:val="10"/>
                <w:szCs w:val="10"/>
                <w:color w:val="auto"/>
                <w:w w:val="96"/>
              </w:rPr>
              <w:t>3 Months Ended</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125"/>
        </w:trPr>
        <w:tc>
          <w:tcPr>
            <w:tcW w:w="7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gridSpan w:val="3"/>
          </w:tcPr>
          <w:p>
            <w:pPr>
              <w:jc w:val="center"/>
              <w:spacing w:after="0"/>
              <w:rPr>
                <w:sz w:val="20"/>
                <w:szCs w:val="20"/>
                <w:color w:val="auto"/>
              </w:rPr>
            </w:pPr>
            <w:r>
              <w:rPr>
                <w:rFonts w:ascii="Arial" w:cs="Arial" w:eastAsia="Arial" w:hAnsi="Arial"/>
                <w:sz w:val="10"/>
                <w:szCs w:val="10"/>
                <w:color w:val="auto"/>
                <w:w w:val="94"/>
              </w:rPr>
              <w:t>March 31,</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169"/>
        </w:trPr>
        <w:tc>
          <w:tcPr>
            <w:tcW w:w="7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2026</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2025</w:t>
            </w:r>
          </w:p>
        </w:tc>
        <w:tc>
          <w:tcPr>
            <w:tcW w:w="8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Increase</w:t>
            </w:r>
          </w:p>
        </w:tc>
      </w:tr>
      <w:tr>
        <w:trPr>
          <w:trHeight w:val="132"/>
        </w:trPr>
        <w:tc>
          <w:tcPr>
            <w:tcW w:w="79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Revenue passenger miles (millions)</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58,551</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56,356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3.9 %</w:t>
            </w:r>
          </w:p>
        </w:tc>
      </w:tr>
      <w:tr>
        <w:trPr>
          <w:trHeight w:val="132"/>
        </w:trPr>
        <w:tc>
          <w:tcPr>
            <w:tcW w:w="7920" w:type="dxa"/>
            <w:vAlign w:val="bottom"/>
            <w:gridSpan w:val="2"/>
          </w:tcPr>
          <w:p>
            <w:pPr>
              <w:ind w:left="20"/>
              <w:spacing w:after="0"/>
              <w:rPr>
                <w:sz w:val="20"/>
                <w:szCs w:val="20"/>
                <w:color w:val="auto"/>
              </w:rPr>
            </w:pPr>
            <w:r>
              <w:rPr>
                <w:rFonts w:ascii="Arial" w:cs="Arial" w:eastAsia="Arial" w:hAnsi="Arial"/>
                <w:sz w:val="10"/>
                <w:szCs w:val="10"/>
                <w:color w:val="auto"/>
              </w:rPr>
              <w:t>Available seat miles (ASM) (millions)</w:t>
            </w:r>
          </w:p>
        </w:tc>
        <w:tc>
          <w:tcPr>
            <w:tcW w:w="440" w:type="dxa"/>
            <w:vAlign w:val="bottom"/>
          </w:tcPr>
          <w:p>
            <w:pPr>
              <w:jc w:val="right"/>
              <w:spacing w:after="0"/>
              <w:rPr>
                <w:sz w:val="20"/>
                <w:szCs w:val="20"/>
                <w:color w:val="auto"/>
              </w:rPr>
            </w:pPr>
            <w:r>
              <w:rPr>
                <w:rFonts w:ascii="Arial" w:cs="Arial" w:eastAsia="Arial" w:hAnsi="Arial"/>
                <w:sz w:val="10"/>
                <w:szCs w:val="10"/>
                <w:color w:val="auto"/>
              </w:rPr>
              <w:t>72,009</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69,904</w:t>
            </w:r>
          </w:p>
        </w:tc>
        <w:tc>
          <w:tcPr>
            <w:tcW w:w="1360" w:type="dxa"/>
            <w:vAlign w:val="bottom"/>
            <w:gridSpan w:val="2"/>
          </w:tcPr>
          <w:p>
            <w:pPr>
              <w:jc w:val="right"/>
              <w:spacing w:after="0"/>
              <w:rPr>
                <w:sz w:val="20"/>
                <w:szCs w:val="20"/>
                <w:color w:val="auto"/>
              </w:rPr>
            </w:pPr>
            <w:r>
              <w:rPr>
                <w:rFonts w:ascii="Arial" w:cs="Arial" w:eastAsia="Arial" w:hAnsi="Arial"/>
                <w:sz w:val="10"/>
                <w:szCs w:val="10"/>
                <w:color w:val="auto"/>
              </w:rPr>
              <w:t>3.0 %</w:t>
            </w:r>
          </w:p>
        </w:tc>
      </w:tr>
      <w:tr>
        <w:trPr>
          <w:trHeight w:val="138"/>
        </w:trPr>
        <w:tc>
          <w:tcPr>
            <w:tcW w:w="79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Passenger load factor (percent)</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81.3</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80.6</w:t>
            </w: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0.7 pts</w:t>
            </w:r>
          </w:p>
        </w:tc>
      </w:tr>
      <w:tr>
        <w:trPr>
          <w:trHeight w:val="132"/>
        </w:trPr>
        <w:tc>
          <w:tcPr>
            <w:tcW w:w="7920" w:type="dxa"/>
            <w:vAlign w:val="bottom"/>
            <w:gridSpan w:val="2"/>
          </w:tcPr>
          <w:p>
            <w:pPr>
              <w:ind w:left="20"/>
              <w:spacing w:after="0"/>
              <w:rPr>
                <w:sz w:val="20"/>
                <w:szCs w:val="20"/>
                <w:color w:val="auto"/>
              </w:rPr>
            </w:pPr>
            <w:r>
              <w:rPr>
                <w:rFonts w:ascii="Arial" w:cs="Arial" w:eastAsia="Arial" w:hAnsi="Arial"/>
                <w:sz w:val="10"/>
                <w:szCs w:val="10"/>
                <w:color w:val="auto"/>
              </w:rPr>
              <w:t>Yield (cents)</w:t>
            </w:r>
          </w:p>
        </w:tc>
        <w:tc>
          <w:tcPr>
            <w:tcW w:w="440" w:type="dxa"/>
            <w:vAlign w:val="bottom"/>
          </w:tcPr>
          <w:p>
            <w:pPr>
              <w:jc w:val="right"/>
              <w:spacing w:after="0"/>
              <w:rPr>
                <w:sz w:val="20"/>
                <w:szCs w:val="20"/>
                <w:color w:val="auto"/>
              </w:rPr>
            </w:pPr>
            <w:r>
              <w:rPr>
                <w:rFonts w:ascii="Arial" w:cs="Arial" w:eastAsia="Arial" w:hAnsi="Arial"/>
                <w:sz w:val="10"/>
                <w:szCs w:val="10"/>
                <w:color w:val="auto"/>
              </w:rPr>
              <w:t>21.34</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20.21</w:t>
            </w:r>
          </w:p>
        </w:tc>
        <w:tc>
          <w:tcPr>
            <w:tcW w:w="1360" w:type="dxa"/>
            <w:vAlign w:val="bottom"/>
            <w:gridSpan w:val="2"/>
          </w:tcPr>
          <w:p>
            <w:pPr>
              <w:jc w:val="right"/>
              <w:spacing w:after="0"/>
              <w:rPr>
                <w:sz w:val="20"/>
                <w:szCs w:val="20"/>
                <w:color w:val="auto"/>
              </w:rPr>
            </w:pPr>
            <w:r>
              <w:rPr>
                <w:rFonts w:ascii="Arial" w:cs="Arial" w:eastAsia="Arial" w:hAnsi="Arial"/>
                <w:sz w:val="10"/>
                <w:szCs w:val="10"/>
                <w:color w:val="auto"/>
              </w:rPr>
              <w:t>5.6 %</w:t>
            </w:r>
          </w:p>
        </w:tc>
      </w:tr>
      <w:tr>
        <w:trPr>
          <w:trHeight w:val="138"/>
        </w:trPr>
        <w:tc>
          <w:tcPr>
            <w:tcW w:w="79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Passenger revenue per ASM (cents)</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17.35</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16.30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6.5 %</w:t>
            </w:r>
          </w:p>
        </w:tc>
      </w:tr>
      <w:tr>
        <w:trPr>
          <w:trHeight w:val="132"/>
        </w:trPr>
        <w:tc>
          <w:tcPr>
            <w:tcW w:w="7920" w:type="dxa"/>
            <w:vAlign w:val="bottom"/>
            <w:gridSpan w:val="2"/>
          </w:tcPr>
          <w:p>
            <w:pPr>
              <w:ind w:left="20"/>
              <w:spacing w:after="0"/>
              <w:rPr>
                <w:sz w:val="20"/>
                <w:szCs w:val="20"/>
                <w:color w:val="auto"/>
              </w:rPr>
            </w:pPr>
            <w:r>
              <w:rPr>
                <w:rFonts w:ascii="Arial" w:cs="Arial" w:eastAsia="Arial" w:hAnsi="Arial"/>
                <w:sz w:val="10"/>
                <w:szCs w:val="10"/>
                <w:color w:val="auto"/>
              </w:rPr>
              <w:t>Total revenue per ASM (cents)</w:t>
            </w:r>
          </w:p>
        </w:tc>
        <w:tc>
          <w:tcPr>
            <w:tcW w:w="440" w:type="dxa"/>
            <w:vAlign w:val="bottom"/>
          </w:tcPr>
          <w:p>
            <w:pPr>
              <w:jc w:val="right"/>
              <w:spacing w:after="0"/>
              <w:rPr>
                <w:sz w:val="20"/>
                <w:szCs w:val="20"/>
                <w:color w:val="auto"/>
              </w:rPr>
            </w:pPr>
            <w:r>
              <w:rPr>
                <w:rFonts w:ascii="Arial" w:cs="Arial" w:eastAsia="Arial" w:hAnsi="Arial"/>
                <w:sz w:val="10"/>
                <w:szCs w:val="10"/>
                <w:color w:val="auto"/>
              </w:rPr>
              <w:t>19.32</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17.95</w:t>
            </w:r>
          </w:p>
        </w:tc>
        <w:tc>
          <w:tcPr>
            <w:tcW w:w="1360" w:type="dxa"/>
            <w:vAlign w:val="bottom"/>
            <w:gridSpan w:val="2"/>
          </w:tcPr>
          <w:p>
            <w:pPr>
              <w:jc w:val="right"/>
              <w:spacing w:after="0"/>
              <w:rPr>
                <w:sz w:val="20"/>
                <w:szCs w:val="20"/>
                <w:color w:val="auto"/>
              </w:rPr>
            </w:pPr>
            <w:r>
              <w:rPr>
                <w:rFonts w:ascii="Arial" w:cs="Arial" w:eastAsia="Arial" w:hAnsi="Arial"/>
                <w:sz w:val="10"/>
                <w:szCs w:val="10"/>
                <w:color w:val="auto"/>
              </w:rPr>
              <w:t>7.6 %</w:t>
            </w:r>
          </w:p>
        </w:tc>
      </w:tr>
      <w:tr>
        <w:trPr>
          <w:trHeight w:val="138"/>
        </w:trPr>
        <w:tc>
          <w:tcPr>
            <w:tcW w:w="79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Cargo ton miles (millions)</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527</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483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9.0 %</w:t>
            </w:r>
          </w:p>
        </w:tc>
      </w:tr>
      <w:tr>
        <w:trPr>
          <w:trHeight w:val="132"/>
        </w:trPr>
        <w:tc>
          <w:tcPr>
            <w:tcW w:w="7920" w:type="dxa"/>
            <w:vAlign w:val="bottom"/>
            <w:gridSpan w:val="2"/>
          </w:tcPr>
          <w:p>
            <w:pPr>
              <w:ind w:left="20"/>
              <w:spacing w:after="0"/>
              <w:rPr>
                <w:sz w:val="20"/>
                <w:szCs w:val="20"/>
                <w:color w:val="auto"/>
              </w:rPr>
            </w:pPr>
            <w:r>
              <w:rPr>
                <w:rFonts w:ascii="Arial" w:cs="Arial" w:eastAsia="Arial" w:hAnsi="Arial"/>
                <w:sz w:val="10"/>
                <w:szCs w:val="10"/>
                <w:color w:val="auto"/>
              </w:rPr>
              <w:t>Cargo yield per ton mile (cents)</w:t>
            </w:r>
          </w:p>
        </w:tc>
        <w:tc>
          <w:tcPr>
            <w:tcW w:w="440" w:type="dxa"/>
            <w:vAlign w:val="bottom"/>
          </w:tcPr>
          <w:p>
            <w:pPr>
              <w:jc w:val="right"/>
              <w:spacing w:after="0"/>
              <w:rPr>
                <w:sz w:val="20"/>
                <w:szCs w:val="20"/>
                <w:color w:val="auto"/>
              </w:rPr>
            </w:pPr>
            <w:r>
              <w:rPr>
                <w:rFonts w:ascii="Arial" w:cs="Arial" w:eastAsia="Arial" w:hAnsi="Arial"/>
                <w:sz w:val="10"/>
                <w:szCs w:val="10"/>
                <w:color w:val="auto"/>
              </w:rPr>
              <w:t>40.55</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39.14</w:t>
            </w:r>
          </w:p>
        </w:tc>
        <w:tc>
          <w:tcPr>
            <w:tcW w:w="1360" w:type="dxa"/>
            <w:vAlign w:val="bottom"/>
            <w:gridSpan w:val="2"/>
          </w:tcPr>
          <w:p>
            <w:pPr>
              <w:jc w:val="right"/>
              <w:spacing w:after="0"/>
              <w:rPr>
                <w:sz w:val="20"/>
                <w:szCs w:val="20"/>
                <w:color w:val="auto"/>
              </w:rPr>
            </w:pPr>
            <w:r>
              <w:rPr>
                <w:rFonts w:ascii="Arial" w:cs="Arial" w:eastAsia="Arial" w:hAnsi="Arial"/>
                <w:sz w:val="10"/>
                <w:szCs w:val="10"/>
                <w:color w:val="auto"/>
              </w:rPr>
              <w:t>3.6 %</w:t>
            </w:r>
          </w:p>
        </w:tc>
      </w:tr>
      <w:tr>
        <w:trPr>
          <w:trHeight w:val="147"/>
        </w:trPr>
        <w:tc>
          <w:tcPr>
            <w:tcW w:w="7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132"/>
        </w:trPr>
        <w:tc>
          <w:tcPr>
            <w:tcW w:w="7920" w:type="dxa"/>
            <w:vAlign w:val="bottom"/>
            <w:gridSpan w:val="2"/>
          </w:tcPr>
          <w:p>
            <w:pPr>
              <w:ind w:left="20"/>
              <w:spacing w:after="0"/>
              <w:rPr>
                <w:sz w:val="20"/>
                <w:szCs w:val="20"/>
                <w:color w:val="auto"/>
              </w:rPr>
            </w:pPr>
            <w:r>
              <w:rPr>
                <w:rFonts w:ascii="Arial" w:cs="Arial" w:eastAsia="Arial" w:hAnsi="Arial"/>
                <w:sz w:val="10"/>
                <w:szCs w:val="10"/>
                <w:color w:val="auto"/>
              </w:rPr>
              <w:t>Fuel consumption (gallons in millions)</w:t>
            </w:r>
          </w:p>
        </w:tc>
        <w:tc>
          <w:tcPr>
            <w:tcW w:w="440" w:type="dxa"/>
            <w:vAlign w:val="bottom"/>
          </w:tcPr>
          <w:p>
            <w:pPr>
              <w:jc w:val="right"/>
              <w:spacing w:after="0"/>
              <w:rPr>
                <w:sz w:val="20"/>
                <w:szCs w:val="20"/>
                <w:color w:val="auto"/>
              </w:rPr>
            </w:pPr>
            <w:r>
              <w:rPr>
                <w:rFonts w:ascii="Arial" w:cs="Arial" w:eastAsia="Arial" w:hAnsi="Arial"/>
                <w:sz w:val="10"/>
                <w:szCs w:val="10"/>
                <w:color w:val="auto"/>
              </w:rPr>
              <w:t>1,066</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1,042</w:t>
            </w:r>
          </w:p>
        </w:tc>
        <w:tc>
          <w:tcPr>
            <w:tcW w:w="1360" w:type="dxa"/>
            <w:vAlign w:val="bottom"/>
            <w:gridSpan w:val="2"/>
          </w:tcPr>
          <w:p>
            <w:pPr>
              <w:jc w:val="right"/>
              <w:spacing w:after="0"/>
              <w:rPr>
                <w:sz w:val="20"/>
                <w:szCs w:val="20"/>
                <w:color w:val="auto"/>
              </w:rPr>
            </w:pPr>
            <w:r>
              <w:rPr>
                <w:rFonts w:ascii="Arial" w:cs="Arial" w:eastAsia="Arial" w:hAnsi="Arial"/>
                <w:sz w:val="10"/>
                <w:szCs w:val="10"/>
                <w:color w:val="auto"/>
              </w:rPr>
              <w:t>2.3 %</w:t>
            </w:r>
          </w:p>
        </w:tc>
      </w:tr>
      <w:tr>
        <w:trPr>
          <w:trHeight w:val="138"/>
        </w:trPr>
        <w:tc>
          <w:tcPr>
            <w:tcW w:w="79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Average aircraft fuel price including related taxes (dollars per gallon)</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2.75</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10.7 %</w:t>
            </w:r>
          </w:p>
        </w:tc>
      </w:tr>
      <w:tr>
        <w:trPr>
          <w:trHeight w:val="144"/>
        </w:trPr>
        <w:tc>
          <w:tcPr>
            <w:tcW w:w="7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35"/>
        </w:trPr>
        <w:tc>
          <w:tcPr>
            <w:tcW w:w="79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Operating cost per ASM (cents)</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19.38</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18.34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5.6 %</w:t>
            </w:r>
          </w:p>
        </w:tc>
      </w:tr>
      <w:tr>
        <w:trPr>
          <w:trHeight w:val="132"/>
        </w:trPr>
        <w:tc>
          <w:tcPr>
            <w:tcW w:w="7920" w:type="dxa"/>
            <w:vAlign w:val="bottom"/>
            <w:gridSpan w:val="2"/>
          </w:tcPr>
          <w:p>
            <w:pPr>
              <w:ind w:left="20"/>
              <w:spacing w:after="0"/>
              <w:rPr>
                <w:sz w:val="20"/>
                <w:szCs w:val="20"/>
                <w:color w:val="auto"/>
              </w:rPr>
            </w:pPr>
            <w:r>
              <w:rPr>
                <w:rFonts w:ascii="Arial" w:cs="Arial" w:eastAsia="Arial" w:hAnsi="Arial"/>
                <w:sz w:val="10"/>
                <w:szCs w:val="10"/>
                <w:color w:val="auto"/>
              </w:rPr>
              <w:t>Operating cost per ASM excluding net special items (cents)</w:t>
            </w:r>
          </w:p>
        </w:tc>
        <w:tc>
          <w:tcPr>
            <w:tcW w:w="440" w:type="dxa"/>
            <w:vAlign w:val="bottom"/>
          </w:tcPr>
          <w:p>
            <w:pPr>
              <w:jc w:val="right"/>
              <w:spacing w:after="0"/>
              <w:rPr>
                <w:sz w:val="20"/>
                <w:szCs w:val="20"/>
                <w:color w:val="auto"/>
              </w:rPr>
            </w:pPr>
            <w:r>
              <w:rPr>
                <w:rFonts w:ascii="Arial" w:cs="Arial" w:eastAsia="Arial" w:hAnsi="Arial"/>
                <w:sz w:val="10"/>
                <w:szCs w:val="10"/>
                <w:color w:val="auto"/>
              </w:rPr>
              <w:t>19.36</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18.24</w:t>
            </w:r>
          </w:p>
        </w:tc>
        <w:tc>
          <w:tcPr>
            <w:tcW w:w="1360" w:type="dxa"/>
            <w:vAlign w:val="bottom"/>
            <w:gridSpan w:val="2"/>
          </w:tcPr>
          <w:p>
            <w:pPr>
              <w:jc w:val="right"/>
              <w:spacing w:after="0"/>
              <w:rPr>
                <w:sz w:val="20"/>
                <w:szCs w:val="20"/>
                <w:color w:val="auto"/>
              </w:rPr>
            </w:pPr>
            <w:r>
              <w:rPr>
                <w:rFonts w:ascii="Arial" w:cs="Arial" w:eastAsia="Arial" w:hAnsi="Arial"/>
                <w:sz w:val="10"/>
                <w:szCs w:val="10"/>
                <w:color w:val="auto"/>
              </w:rPr>
              <w:t>6.1 %</w:t>
            </w:r>
          </w:p>
        </w:tc>
      </w:tr>
      <w:tr>
        <w:trPr>
          <w:trHeight w:val="138"/>
        </w:trPr>
        <w:tc>
          <w:tcPr>
            <w:tcW w:w="79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Operating cost per ASM excluding net special items and fuel (cents)</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15.29</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14.54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5.2 %</w:t>
            </w:r>
          </w:p>
        </w:tc>
      </w:tr>
      <w:tr>
        <w:trPr>
          <w:trHeight w:val="132"/>
        </w:trPr>
        <w:tc>
          <w:tcPr>
            <w:tcW w:w="7920" w:type="dxa"/>
            <w:vAlign w:val="bottom"/>
            <w:gridSpan w:val="2"/>
          </w:tcPr>
          <w:p>
            <w:pPr>
              <w:ind w:left="20"/>
              <w:spacing w:after="0"/>
              <w:rPr>
                <w:sz w:val="20"/>
                <w:szCs w:val="20"/>
                <w:color w:val="auto"/>
              </w:rPr>
            </w:pPr>
            <w:r>
              <w:rPr>
                <w:rFonts w:ascii="Arial" w:cs="Arial" w:eastAsia="Arial" w:hAnsi="Arial"/>
                <w:sz w:val="10"/>
                <w:szCs w:val="10"/>
                <w:color w:val="auto"/>
              </w:rPr>
              <w:t>Operating cost per ASM excluding net special items, fuel and profit sharing (cents)</w:t>
            </w:r>
          </w:p>
        </w:tc>
        <w:tc>
          <w:tcPr>
            <w:tcW w:w="440" w:type="dxa"/>
            <w:vAlign w:val="bottom"/>
          </w:tcPr>
          <w:p>
            <w:pPr>
              <w:jc w:val="right"/>
              <w:spacing w:after="0"/>
              <w:rPr>
                <w:sz w:val="20"/>
                <w:szCs w:val="20"/>
                <w:color w:val="auto"/>
              </w:rPr>
            </w:pPr>
            <w:r>
              <w:rPr>
                <w:rFonts w:ascii="Arial" w:cs="Arial" w:eastAsia="Arial" w:hAnsi="Arial"/>
                <w:sz w:val="10"/>
                <w:szCs w:val="10"/>
                <w:color w:val="auto"/>
              </w:rPr>
              <w:t>15.29</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14.54</w:t>
            </w:r>
          </w:p>
        </w:tc>
        <w:tc>
          <w:tcPr>
            <w:tcW w:w="1360" w:type="dxa"/>
            <w:vAlign w:val="bottom"/>
            <w:gridSpan w:val="2"/>
          </w:tcPr>
          <w:p>
            <w:pPr>
              <w:jc w:val="right"/>
              <w:spacing w:after="0"/>
              <w:rPr>
                <w:sz w:val="20"/>
                <w:szCs w:val="20"/>
                <w:color w:val="auto"/>
              </w:rPr>
            </w:pPr>
            <w:r>
              <w:rPr>
                <w:rFonts w:ascii="Arial" w:cs="Arial" w:eastAsia="Arial" w:hAnsi="Arial"/>
                <w:sz w:val="10"/>
                <w:szCs w:val="10"/>
                <w:color w:val="auto"/>
              </w:rPr>
              <w:t>5.2 %</w:t>
            </w:r>
          </w:p>
        </w:tc>
      </w:tr>
      <w:tr>
        <w:trPr>
          <w:trHeight w:val="147"/>
        </w:trPr>
        <w:tc>
          <w:tcPr>
            <w:tcW w:w="7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132"/>
        </w:trPr>
        <w:tc>
          <w:tcPr>
            <w:tcW w:w="7920" w:type="dxa"/>
            <w:vAlign w:val="bottom"/>
            <w:gridSpan w:val="2"/>
          </w:tcPr>
          <w:p>
            <w:pPr>
              <w:ind w:left="20"/>
              <w:spacing w:after="0"/>
              <w:rPr>
                <w:sz w:val="20"/>
                <w:szCs w:val="20"/>
                <w:color w:val="auto"/>
              </w:rPr>
            </w:pPr>
            <w:r>
              <w:rPr>
                <w:rFonts w:ascii="Arial" w:cs="Arial" w:eastAsia="Arial" w:hAnsi="Arial"/>
                <w:sz w:val="10"/>
                <w:szCs w:val="10"/>
                <w:color w:val="auto"/>
              </w:rPr>
              <w:t>Passenger enplanements (thousands)</w:t>
            </w:r>
          </w:p>
        </w:tc>
        <w:tc>
          <w:tcPr>
            <w:tcW w:w="440" w:type="dxa"/>
            <w:vAlign w:val="bottom"/>
          </w:tcPr>
          <w:p>
            <w:pPr>
              <w:jc w:val="right"/>
              <w:spacing w:after="0"/>
              <w:rPr>
                <w:sz w:val="20"/>
                <w:szCs w:val="20"/>
                <w:color w:val="auto"/>
              </w:rPr>
            </w:pPr>
            <w:r>
              <w:rPr>
                <w:rFonts w:ascii="Arial" w:cs="Arial" w:eastAsia="Arial" w:hAnsi="Arial"/>
                <w:sz w:val="10"/>
                <w:szCs w:val="10"/>
                <w:color w:val="auto"/>
              </w:rPr>
              <w:t>51,770</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51,034</w:t>
            </w:r>
          </w:p>
        </w:tc>
        <w:tc>
          <w:tcPr>
            <w:tcW w:w="1360" w:type="dxa"/>
            <w:vAlign w:val="bottom"/>
            <w:gridSpan w:val="2"/>
          </w:tcPr>
          <w:p>
            <w:pPr>
              <w:jc w:val="right"/>
              <w:spacing w:after="0"/>
              <w:rPr>
                <w:sz w:val="20"/>
                <w:szCs w:val="20"/>
                <w:color w:val="auto"/>
              </w:rPr>
            </w:pPr>
            <w:r>
              <w:rPr>
                <w:rFonts w:ascii="Arial" w:cs="Arial" w:eastAsia="Arial" w:hAnsi="Arial"/>
                <w:sz w:val="10"/>
                <w:szCs w:val="10"/>
                <w:color w:val="auto"/>
              </w:rPr>
              <w:t>1.4 %</w:t>
            </w:r>
          </w:p>
        </w:tc>
      </w:tr>
      <w:tr>
        <w:trPr>
          <w:trHeight w:val="138"/>
        </w:trPr>
        <w:tc>
          <w:tcPr>
            <w:tcW w:w="79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Departures (thousands):</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132"/>
        </w:trPr>
        <w:tc>
          <w:tcPr>
            <w:tcW w:w="7920" w:type="dxa"/>
            <w:vAlign w:val="bottom"/>
            <w:gridSpan w:val="2"/>
          </w:tcPr>
          <w:p>
            <w:pPr>
              <w:ind w:left="160"/>
              <w:spacing w:after="0"/>
              <w:rPr>
                <w:sz w:val="20"/>
                <w:szCs w:val="20"/>
                <w:color w:val="auto"/>
              </w:rPr>
            </w:pPr>
            <w:r>
              <w:rPr>
                <w:rFonts w:ascii="Arial" w:cs="Arial" w:eastAsia="Arial" w:hAnsi="Arial"/>
                <w:sz w:val="10"/>
                <w:szCs w:val="10"/>
                <w:color w:val="auto"/>
              </w:rPr>
              <w:t>Mainline</w:t>
            </w:r>
          </w:p>
        </w:tc>
        <w:tc>
          <w:tcPr>
            <w:tcW w:w="440" w:type="dxa"/>
            <w:vAlign w:val="bottom"/>
          </w:tcPr>
          <w:p>
            <w:pPr>
              <w:jc w:val="right"/>
              <w:spacing w:after="0"/>
              <w:rPr>
                <w:sz w:val="20"/>
                <w:szCs w:val="20"/>
                <w:color w:val="auto"/>
              </w:rPr>
            </w:pPr>
            <w:r>
              <w:rPr>
                <w:rFonts w:ascii="Arial" w:cs="Arial" w:eastAsia="Arial" w:hAnsi="Arial"/>
                <w:sz w:val="10"/>
                <w:szCs w:val="10"/>
                <w:color w:val="auto"/>
              </w:rPr>
              <w:t>279</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278</w:t>
            </w:r>
          </w:p>
        </w:tc>
        <w:tc>
          <w:tcPr>
            <w:tcW w:w="1360" w:type="dxa"/>
            <w:vAlign w:val="bottom"/>
            <w:gridSpan w:val="2"/>
          </w:tcPr>
          <w:p>
            <w:pPr>
              <w:jc w:val="right"/>
              <w:spacing w:after="0"/>
              <w:rPr>
                <w:sz w:val="20"/>
                <w:szCs w:val="20"/>
                <w:color w:val="auto"/>
              </w:rPr>
            </w:pPr>
            <w:r>
              <w:rPr>
                <w:rFonts w:ascii="Arial" w:cs="Arial" w:eastAsia="Arial" w:hAnsi="Arial"/>
                <w:sz w:val="10"/>
                <w:szCs w:val="10"/>
                <w:color w:val="auto"/>
              </w:rPr>
              <w:t>0.6 %</w:t>
            </w:r>
          </w:p>
        </w:tc>
      </w:tr>
      <w:tr>
        <w:trPr>
          <w:trHeight w:val="138"/>
        </w:trPr>
        <w:tc>
          <w:tcPr>
            <w:tcW w:w="79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Regional</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255</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1.6 %</w:t>
            </w:r>
          </w:p>
        </w:tc>
      </w:tr>
      <w:tr>
        <w:trPr>
          <w:trHeight w:val="132"/>
        </w:trPr>
        <w:tc>
          <w:tcPr>
            <w:tcW w:w="7920" w:type="dxa"/>
            <w:vAlign w:val="bottom"/>
            <w:gridSpan w:val="2"/>
          </w:tcPr>
          <w:p>
            <w:pPr>
              <w:ind w:left="300"/>
              <w:spacing w:after="0"/>
              <w:rPr>
                <w:sz w:val="20"/>
                <w:szCs w:val="20"/>
                <w:color w:val="auto"/>
              </w:rPr>
            </w:pPr>
            <w:r>
              <w:rPr>
                <w:rFonts w:ascii="Arial" w:cs="Arial" w:eastAsia="Arial" w:hAnsi="Arial"/>
                <w:sz w:val="10"/>
                <w:szCs w:val="10"/>
                <w:color w:val="auto"/>
              </w:rPr>
              <w:t>Total</w:t>
            </w:r>
          </w:p>
        </w:tc>
        <w:tc>
          <w:tcPr>
            <w:tcW w:w="440" w:type="dxa"/>
            <w:vAlign w:val="bottom"/>
          </w:tcPr>
          <w:p>
            <w:pPr>
              <w:jc w:val="right"/>
              <w:spacing w:after="0"/>
              <w:rPr>
                <w:sz w:val="20"/>
                <w:szCs w:val="20"/>
                <w:color w:val="auto"/>
              </w:rPr>
            </w:pPr>
            <w:r>
              <w:rPr>
                <w:rFonts w:ascii="Arial" w:cs="Arial" w:eastAsia="Arial" w:hAnsi="Arial"/>
                <w:sz w:val="10"/>
                <w:szCs w:val="10"/>
                <w:color w:val="auto"/>
              </w:rPr>
              <w:t>534</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528</w:t>
            </w:r>
          </w:p>
        </w:tc>
        <w:tc>
          <w:tcPr>
            <w:tcW w:w="1360" w:type="dxa"/>
            <w:vAlign w:val="bottom"/>
            <w:gridSpan w:val="2"/>
          </w:tcPr>
          <w:p>
            <w:pPr>
              <w:jc w:val="right"/>
              <w:spacing w:after="0"/>
              <w:rPr>
                <w:sz w:val="20"/>
                <w:szCs w:val="20"/>
                <w:color w:val="auto"/>
              </w:rPr>
            </w:pPr>
            <w:r>
              <w:rPr>
                <w:rFonts w:ascii="Arial" w:cs="Arial" w:eastAsia="Arial" w:hAnsi="Arial"/>
                <w:sz w:val="10"/>
                <w:szCs w:val="10"/>
                <w:color w:val="auto"/>
              </w:rPr>
              <w:t>1.1 %</w:t>
            </w:r>
          </w:p>
        </w:tc>
      </w:tr>
      <w:tr>
        <w:trPr>
          <w:trHeight w:val="138"/>
        </w:trPr>
        <w:tc>
          <w:tcPr>
            <w:tcW w:w="79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Average stage length (miles):</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132"/>
        </w:trPr>
        <w:tc>
          <w:tcPr>
            <w:tcW w:w="7920" w:type="dxa"/>
            <w:vAlign w:val="bottom"/>
            <w:gridSpan w:val="2"/>
          </w:tcPr>
          <w:p>
            <w:pPr>
              <w:ind w:left="160"/>
              <w:spacing w:after="0"/>
              <w:rPr>
                <w:sz w:val="20"/>
                <w:szCs w:val="20"/>
                <w:color w:val="auto"/>
              </w:rPr>
            </w:pPr>
            <w:r>
              <w:rPr>
                <w:rFonts w:ascii="Arial" w:cs="Arial" w:eastAsia="Arial" w:hAnsi="Arial"/>
                <w:sz w:val="10"/>
                <w:szCs w:val="10"/>
                <w:color w:val="auto"/>
              </w:rPr>
              <w:t>Mainline</w:t>
            </w:r>
          </w:p>
        </w:tc>
        <w:tc>
          <w:tcPr>
            <w:tcW w:w="440" w:type="dxa"/>
            <w:vAlign w:val="bottom"/>
          </w:tcPr>
          <w:p>
            <w:pPr>
              <w:jc w:val="right"/>
              <w:spacing w:after="0"/>
              <w:rPr>
                <w:sz w:val="20"/>
                <w:szCs w:val="20"/>
                <w:color w:val="auto"/>
              </w:rPr>
            </w:pPr>
            <w:r>
              <w:rPr>
                <w:rFonts w:ascii="Arial" w:cs="Arial" w:eastAsia="Arial" w:hAnsi="Arial"/>
                <w:sz w:val="10"/>
                <w:szCs w:val="10"/>
                <w:color w:val="auto"/>
              </w:rPr>
              <w:t>1,200</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1,176</w:t>
            </w:r>
          </w:p>
        </w:tc>
        <w:tc>
          <w:tcPr>
            <w:tcW w:w="1360" w:type="dxa"/>
            <w:vAlign w:val="bottom"/>
            <w:gridSpan w:val="2"/>
          </w:tcPr>
          <w:p>
            <w:pPr>
              <w:jc w:val="right"/>
              <w:spacing w:after="0"/>
              <w:rPr>
                <w:sz w:val="20"/>
                <w:szCs w:val="20"/>
                <w:color w:val="auto"/>
              </w:rPr>
            </w:pPr>
            <w:r>
              <w:rPr>
                <w:rFonts w:ascii="Arial" w:cs="Arial" w:eastAsia="Arial" w:hAnsi="Arial"/>
                <w:sz w:val="10"/>
                <w:szCs w:val="10"/>
                <w:color w:val="auto"/>
              </w:rPr>
              <w:t>2.0 %</w:t>
            </w:r>
          </w:p>
        </w:tc>
      </w:tr>
      <w:tr>
        <w:trPr>
          <w:trHeight w:val="138"/>
        </w:trPr>
        <w:tc>
          <w:tcPr>
            <w:tcW w:w="79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Regional</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478</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1.7 %</w:t>
            </w:r>
          </w:p>
        </w:tc>
      </w:tr>
      <w:tr>
        <w:trPr>
          <w:trHeight w:val="132"/>
        </w:trPr>
        <w:tc>
          <w:tcPr>
            <w:tcW w:w="7920" w:type="dxa"/>
            <w:vAlign w:val="bottom"/>
            <w:gridSpan w:val="2"/>
          </w:tcPr>
          <w:p>
            <w:pPr>
              <w:ind w:left="300"/>
              <w:spacing w:after="0"/>
              <w:rPr>
                <w:sz w:val="20"/>
                <w:szCs w:val="20"/>
                <w:color w:val="auto"/>
              </w:rPr>
            </w:pPr>
            <w:r>
              <w:rPr>
                <w:rFonts w:ascii="Arial" w:cs="Arial" w:eastAsia="Arial" w:hAnsi="Arial"/>
                <w:sz w:val="10"/>
                <w:szCs w:val="10"/>
                <w:color w:val="auto"/>
              </w:rPr>
              <w:t>Total</w:t>
            </w:r>
          </w:p>
        </w:tc>
        <w:tc>
          <w:tcPr>
            <w:tcW w:w="440" w:type="dxa"/>
            <w:vAlign w:val="bottom"/>
          </w:tcPr>
          <w:p>
            <w:pPr>
              <w:jc w:val="right"/>
              <w:spacing w:after="0"/>
              <w:rPr>
                <w:sz w:val="20"/>
                <w:szCs w:val="20"/>
                <w:color w:val="auto"/>
              </w:rPr>
            </w:pPr>
            <w:r>
              <w:rPr>
                <w:rFonts w:ascii="Arial" w:cs="Arial" w:eastAsia="Arial" w:hAnsi="Arial"/>
                <w:sz w:val="10"/>
                <w:szCs w:val="10"/>
                <w:color w:val="auto"/>
              </w:rPr>
              <w:t>856</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841</w:t>
            </w:r>
          </w:p>
        </w:tc>
        <w:tc>
          <w:tcPr>
            <w:tcW w:w="1360" w:type="dxa"/>
            <w:vAlign w:val="bottom"/>
            <w:gridSpan w:val="2"/>
          </w:tcPr>
          <w:p>
            <w:pPr>
              <w:jc w:val="right"/>
              <w:spacing w:after="0"/>
              <w:rPr>
                <w:sz w:val="20"/>
                <w:szCs w:val="20"/>
                <w:color w:val="auto"/>
              </w:rPr>
            </w:pPr>
            <w:r>
              <w:rPr>
                <w:rFonts w:ascii="Arial" w:cs="Arial" w:eastAsia="Arial" w:hAnsi="Arial"/>
                <w:sz w:val="10"/>
                <w:szCs w:val="10"/>
                <w:color w:val="auto"/>
              </w:rPr>
              <w:t>1.7 %</w:t>
            </w:r>
          </w:p>
        </w:tc>
      </w:tr>
      <w:tr>
        <w:trPr>
          <w:trHeight w:val="138"/>
        </w:trPr>
        <w:tc>
          <w:tcPr>
            <w:tcW w:w="79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Aircraft at end of period:</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135"/>
        </w:trPr>
        <w:tc>
          <w:tcPr>
            <w:tcW w:w="7920" w:type="dxa"/>
            <w:vAlign w:val="bottom"/>
            <w:gridSpan w:val="2"/>
          </w:tcPr>
          <w:p>
            <w:pPr>
              <w:ind w:left="160"/>
              <w:spacing w:after="0" w:line="135" w:lineRule="exact"/>
              <w:rPr>
                <w:sz w:val="20"/>
                <w:szCs w:val="20"/>
                <w:color w:val="auto"/>
              </w:rPr>
            </w:pPr>
            <w:r>
              <w:rPr>
                <w:rFonts w:ascii="Arial" w:cs="Arial" w:eastAsia="Arial" w:hAnsi="Arial"/>
                <w:sz w:val="10"/>
                <w:szCs w:val="10"/>
                <w:color w:val="auto"/>
              </w:rPr>
              <w:t xml:space="preserve">Mainline </w:t>
            </w:r>
            <w:r>
              <w:rPr>
                <w:rFonts w:ascii="Arial" w:cs="Arial" w:eastAsia="Arial" w:hAnsi="Arial"/>
                <w:sz w:val="12"/>
                <w:szCs w:val="12"/>
                <w:color w:val="auto"/>
                <w:vertAlign w:val="superscript"/>
              </w:rPr>
              <w:t>(2)</w:t>
            </w:r>
          </w:p>
        </w:tc>
        <w:tc>
          <w:tcPr>
            <w:tcW w:w="440" w:type="dxa"/>
            <w:vAlign w:val="bottom"/>
          </w:tcPr>
          <w:p>
            <w:pPr>
              <w:jc w:val="right"/>
              <w:spacing w:after="0"/>
              <w:rPr>
                <w:sz w:val="20"/>
                <w:szCs w:val="20"/>
                <w:color w:val="auto"/>
              </w:rPr>
            </w:pPr>
            <w:r>
              <w:rPr>
                <w:rFonts w:ascii="Arial" w:cs="Arial" w:eastAsia="Arial" w:hAnsi="Arial"/>
                <w:sz w:val="10"/>
                <w:szCs w:val="10"/>
                <w:color w:val="auto"/>
              </w:rPr>
              <w:t>1,022</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985</w:t>
            </w:r>
          </w:p>
        </w:tc>
        <w:tc>
          <w:tcPr>
            <w:tcW w:w="1360" w:type="dxa"/>
            <w:vAlign w:val="bottom"/>
            <w:gridSpan w:val="2"/>
          </w:tcPr>
          <w:p>
            <w:pPr>
              <w:jc w:val="right"/>
              <w:spacing w:after="0"/>
              <w:rPr>
                <w:sz w:val="20"/>
                <w:szCs w:val="20"/>
                <w:color w:val="auto"/>
              </w:rPr>
            </w:pPr>
            <w:r>
              <w:rPr>
                <w:rFonts w:ascii="Arial" w:cs="Arial" w:eastAsia="Arial" w:hAnsi="Arial"/>
                <w:sz w:val="10"/>
                <w:szCs w:val="10"/>
                <w:color w:val="auto"/>
              </w:rPr>
              <w:t>3.8 %</w:t>
            </w:r>
          </w:p>
        </w:tc>
      </w:tr>
      <w:tr>
        <w:trPr>
          <w:trHeight w:val="135"/>
        </w:trPr>
        <w:tc>
          <w:tcPr>
            <w:tcW w:w="792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0"/>
                <w:szCs w:val="10"/>
                <w:color w:val="auto"/>
              </w:rPr>
              <w:t xml:space="preserve">Regional </w:t>
            </w:r>
            <w:r>
              <w:rPr>
                <w:rFonts w:ascii="Arial" w:cs="Arial" w:eastAsia="Arial" w:hAnsi="Arial"/>
                <w:sz w:val="12"/>
                <w:szCs w:val="12"/>
                <w:color w:val="auto"/>
                <w:vertAlign w:val="superscript"/>
              </w:rPr>
              <w:t>(3)</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572</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567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0.9 %</w:t>
            </w:r>
          </w:p>
        </w:tc>
      </w:tr>
      <w:tr>
        <w:trPr>
          <w:trHeight w:val="132"/>
        </w:trPr>
        <w:tc>
          <w:tcPr>
            <w:tcW w:w="7920" w:type="dxa"/>
            <w:vAlign w:val="bottom"/>
            <w:gridSpan w:val="2"/>
          </w:tcPr>
          <w:p>
            <w:pPr>
              <w:ind w:left="300"/>
              <w:spacing w:after="0"/>
              <w:rPr>
                <w:sz w:val="20"/>
                <w:szCs w:val="20"/>
                <w:color w:val="auto"/>
              </w:rPr>
            </w:pPr>
            <w:r>
              <w:rPr>
                <w:rFonts w:ascii="Arial" w:cs="Arial" w:eastAsia="Arial" w:hAnsi="Arial"/>
                <w:sz w:val="10"/>
                <w:szCs w:val="10"/>
                <w:color w:val="auto"/>
              </w:rPr>
              <w:t>Total</w:t>
            </w:r>
          </w:p>
        </w:tc>
        <w:tc>
          <w:tcPr>
            <w:tcW w:w="440" w:type="dxa"/>
            <w:vAlign w:val="bottom"/>
          </w:tcPr>
          <w:p>
            <w:pPr>
              <w:jc w:val="right"/>
              <w:spacing w:after="0"/>
              <w:rPr>
                <w:sz w:val="20"/>
                <w:szCs w:val="20"/>
                <w:color w:val="auto"/>
              </w:rPr>
            </w:pPr>
            <w:r>
              <w:rPr>
                <w:rFonts w:ascii="Arial" w:cs="Arial" w:eastAsia="Arial" w:hAnsi="Arial"/>
                <w:sz w:val="10"/>
                <w:szCs w:val="10"/>
                <w:color w:val="auto"/>
              </w:rPr>
              <w:t>1,594</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1,552</w:t>
            </w:r>
          </w:p>
        </w:tc>
        <w:tc>
          <w:tcPr>
            <w:tcW w:w="1360" w:type="dxa"/>
            <w:vAlign w:val="bottom"/>
            <w:gridSpan w:val="2"/>
          </w:tcPr>
          <w:p>
            <w:pPr>
              <w:jc w:val="right"/>
              <w:spacing w:after="0"/>
              <w:rPr>
                <w:sz w:val="20"/>
                <w:szCs w:val="20"/>
                <w:color w:val="auto"/>
              </w:rPr>
            </w:pPr>
            <w:r>
              <w:rPr>
                <w:rFonts w:ascii="Arial" w:cs="Arial" w:eastAsia="Arial" w:hAnsi="Arial"/>
                <w:sz w:val="10"/>
                <w:szCs w:val="10"/>
                <w:color w:val="auto"/>
              </w:rPr>
              <w:t>2.7 %</w:t>
            </w:r>
          </w:p>
        </w:tc>
      </w:tr>
      <w:tr>
        <w:trPr>
          <w:trHeight w:val="138"/>
        </w:trPr>
        <w:tc>
          <w:tcPr>
            <w:tcW w:w="79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Full-time equivalent employees at end of period:</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132"/>
        </w:trPr>
        <w:tc>
          <w:tcPr>
            <w:tcW w:w="7920" w:type="dxa"/>
            <w:vAlign w:val="bottom"/>
            <w:gridSpan w:val="2"/>
          </w:tcPr>
          <w:p>
            <w:pPr>
              <w:ind w:left="160"/>
              <w:spacing w:after="0"/>
              <w:rPr>
                <w:sz w:val="20"/>
                <w:szCs w:val="20"/>
                <w:color w:val="auto"/>
              </w:rPr>
            </w:pPr>
            <w:r>
              <w:rPr>
                <w:rFonts w:ascii="Arial" w:cs="Arial" w:eastAsia="Arial" w:hAnsi="Arial"/>
                <w:sz w:val="10"/>
                <w:szCs w:val="10"/>
                <w:color w:val="auto"/>
              </w:rPr>
              <w:t>Mainline</w:t>
            </w:r>
          </w:p>
        </w:tc>
        <w:tc>
          <w:tcPr>
            <w:tcW w:w="440" w:type="dxa"/>
            <w:vAlign w:val="bottom"/>
          </w:tcPr>
          <w:p>
            <w:pPr>
              <w:jc w:val="right"/>
              <w:spacing w:after="0"/>
              <w:rPr>
                <w:sz w:val="20"/>
                <w:szCs w:val="20"/>
                <w:color w:val="auto"/>
              </w:rPr>
            </w:pPr>
            <w:r>
              <w:rPr>
                <w:rFonts w:ascii="Arial" w:cs="Arial" w:eastAsia="Arial" w:hAnsi="Arial"/>
                <w:sz w:val="10"/>
                <w:szCs w:val="10"/>
                <w:color w:val="auto"/>
              </w:rPr>
              <w:t>106,400</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102,400</w:t>
            </w:r>
          </w:p>
        </w:tc>
        <w:tc>
          <w:tcPr>
            <w:tcW w:w="1360" w:type="dxa"/>
            <w:vAlign w:val="bottom"/>
            <w:gridSpan w:val="2"/>
          </w:tcPr>
          <w:p>
            <w:pPr>
              <w:jc w:val="right"/>
              <w:spacing w:after="0"/>
              <w:rPr>
                <w:sz w:val="20"/>
                <w:szCs w:val="20"/>
                <w:color w:val="auto"/>
              </w:rPr>
            </w:pPr>
            <w:r>
              <w:rPr>
                <w:rFonts w:ascii="Arial" w:cs="Arial" w:eastAsia="Arial" w:hAnsi="Arial"/>
                <w:sz w:val="10"/>
                <w:szCs w:val="10"/>
                <w:color w:val="auto"/>
              </w:rPr>
              <w:t>3.9 %</w:t>
            </w:r>
          </w:p>
        </w:tc>
      </w:tr>
      <w:tr>
        <w:trPr>
          <w:trHeight w:val="138"/>
        </w:trPr>
        <w:tc>
          <w:tcPr>
            <w:tcW w:w="79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 xml:space="preserve">Regional </w:t>
            </w:r>
            <w:r>
              <w:rPr>
                <w:rFonts w:ascii="Arial" w:cs="Arial" w:eastAsia="Arial" w:hAnsi="Arial"/>
                <w:sz w:val="12"/>
                <w:szCs w:val="12"/>
                <w:color w:val="auto"/>
                <w:vertAlign w:val="superscript"/>
              </w:rPr>
              <w:t>(4)</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32,500</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30,700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5.9 %</w:t>
            </w:r>
          </w:p>
        </w:tc>
      </w:tr>
      <w:tr>
        <w:trPr>
          <w:trHeight w:val="129"/>
        </w:trPr>
        <w:tc>
          <w:tcPr>
            <w:tcW w:w="7920" w:type="dxa"/>
            <w:vAlign w:val="bottom"/>
            <w:gridSpan w:val="2"/>
          </w:tcPr>
          <w:p>
            <w:pPr>
              <w:ind w:left="300"/>
              <w:spacing w:after="0"/>
              <w:rPr>
                <w:sz w:val="20"/>
                <w:szCs w:val="20"/>
                <w:color w:val="auto"/>
              </w:rPr>
            </w:pPr>
            <w:r>
              <w:rPr>
                <w:rFonts w:ascii="Arial" w:cs="Arial" w:eastAsia="Arial" w:hAnsi="Arial"/>
                <w:sz w:val="10"/>
                <w:szCs w:val="10"/>
                <w:color w:val="auto"/>
              </w:rPr>
              <w:t>Total</w:t>
            </w:r>
          </w:p>
        </w:tc>
        <w:tc>
          <w:tcPr>
            <w:tcW w:w="440" w:type="dxa"/>
            <w:vAlign w:val="bottom"/>
          </w:tcPr>
          <w:p>
            <w:pPr>
              <w:jc w:val="right"/>
              <w:spacing w:after="0"/>
              <w:rPr>
                <w:sz w:val="20"/>
                <w:szCs w:val="20"/>
                <w:color w:val="auto"/>
              </w:rPr>
            </w:pPr>
            <w:r>
              <w:rPr>
                <w:rFonts w:ascii="Arial" w:cs="Arial" w:eastAsia="Arial" w:hAnsi="Arial"/>
                <w:sz w:val="10"/>
                <w:szCs w:val="10"/>
                <w:color w:val="auto"/>
              </w:rPr>
              <w:t>138,900</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133,100</w:t>
            </w:r>
          </w:p>
        </w:tc>
        <w:tc>
          <w:tcPr>
            <w:tcW w:w="1360" w:type="dxa"/>
            <w:vAlign w:val="bottom"/>
            <w:gridSpan w:val="2"/>
          </w:tcPr>
          <w:p>
            <w:pPr>
              <w:jc w:val="right"/>
              <w:spacing w:after="0"/>
              <w:rPr>
                <w:sz w:val="20"/>
                <w:szCs w:val="20"/>
                <w:color w:val="auto"/>
              </w:rPr>
            </w:pPr>
            <w:r>
              <w:rPr>
                <w:rFonts w:ascii="Arial" w:cs="Arial" w:eastAsia="Arial" w:hAnsi="Arial"/>
                <w:sz w:val="10"/>
                <w:szCs w:val="10"/>
                <w:color w:val="auto"/>
              </w:rPr>
              <w:t>4.4 %</w:t>
            </w:r>
          </w:p>
        </w:tc>
      </w:tr>
    </w:tbl>
    <w:p>
      <w:pPr>
        <w:spacing w:after="0" w:line="105"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Note: Amounts may not recalculate due to rounding.</w:t>
      </w:r>
    </w:p>
    <w:p>
      <w:pPr>
        <w:spacing w:after="0" w:line="52" w:lineRule="exact"/>
        <w:rPr>
          <w:sz w:val="20"/>
          <w:szCs w:val="20"/>
          <w:color w:val="auto"/>
        </w:rPr>
      </w:pPr>
    </w:p>
    <w:p>
      <w:pPr>
        <w:ind w:left="208" w:hanging="208"/>
        <w:spacing w:after="0"/>
        <w:tabs>
          <w:tab w:leader="none" w:pos="208" w:val="left"/>
        </w:tabs>
        <w:numPr>
          <w:ilvl w:val="0"/>
          <w:numId w:val="9"/>
        </w:numPr>
        <w:rPr>
          <w:rFonts w:ascii="Arial" w:cs="Arial" w:eastAsia="Arial" w:hAnsi="Arial"/>
          <w:sz w:val="14"/>
          <w:szCs w:val="14"/>
          <w:color w:val="auto"/>
          <w:vertAlign w:val="superscript"/>
        </w:rPr>
      </w:pPr>
      <w:r>
        <w:rPr>
          <w:rFonts w:ascii="Arial" w:cs="Arial" w:eastAsia="Arial" w:hAnsi="Arial"/>
          <w:sz w:val="11"/>
          <w:szCs w:val="11"/>
          <w:color w:val="auto"/>
        </w:rPr>
        <w:t>Unless otherwise noted, operating statistics include mainline and regional operations. Regional includes wholly-owned regional airline subsidiaries and operating results from capacity purchase carriers.</w:t>
      </w:r>
    </w:p>
    <w:p>
      <w:pPr>
        <w:spacing w:after="0" w:line="47" w:lineRule="exact"/>
        <w:rPr>
          <w:rFonts w:ascii="Arial" w:cs="Arial" w:eastAsia="Arial" w:hAnsi="Arial"/>
          <w:sz w:val="14"/>
          <w:szCs w:val="14"/>
          <w:color w:val="auto"/>
          <w:vertAlign w:val="superscript"/>
        </w:rPr>
      </w:pPr>
    </w:p>
    <w:p>
      <w:pPr>
        <w:ind w:left="208" w:hanging="208"/>
        <w:spacing w:after="0" w:line="238" w:lineRule="auto"/>
        <w:tabs>
          <w:tab w:leader="none" w:pos="208" w:val="left"/>
        </w:tabs>
        <w:numPr>
          <w:ilvl w:val="0"/>
          <w:numId w:val="9"/>
        </w:numPr>
        <w:rPr>
          <w:rFonts w:ascii="Arial" w:cs="Arial" w:eastAsia="Arial" w:hAnsi="Arial"/>
          <w:sz w:val="14"/>
          <w:szCs w:val="14"/>
          <w:color w:val="auto"/>
          <w:vertAlign w:val="superscript"/>
        </w:rPr>
      </w:pPr>
      <w:r>
        <w:rPr>
          <w:rFonts w:ascii="Arial" w:cs="Arial" w:eastAsia="Arial" w:hAnsi="Arial"/>
          <w:sz w:val="11"/>
          <w:szCs w:val="11"/>
          <w:color w:val="auto"/>
        </w:rPr>
        <w:t>Excluded from the aircraft count above are three Airbus A321XLR mainline aircraft that are held in temporary storage as of March 31, 2026.</w:t>
      </w:r>
    </w:p>
    <w:p>
      <w:pPr>
        <w:spacing w:after="0" w:line="56" w:lineRule="exact"/>
        <w:rPr>
          <w:rFonts w:ascii="Arial" w:cs="Arial" w:eastAsia="Arial" w:hAnsi="Arial"/>
          <w:sz w:val="14"/>
          <w:szCs w:val="14"/>
          <w:color w:val="auto"/>
          <w:vertAlign w:val="superscript"/>
        </w:rPr>
      </w:pPr>
    </w:p>
    <w:p>
      <w:pPr>
        <w:ind w:left="208" w:hanging="208"/>
        <w:spacing w:after="0" w:line="223" w:lineRule="auto"/>
        <w:tabs>
          <w:tab w:leader="none" w:pos="204" w:val="left"/>
        </w:tabs>
        <w:numPr>
          <w:ilvl w:val="0"/>
          <w:numId w:val="9"/>
        </w:numPr>
        <w:rPr>
          <w:rFonts w:ascii="Arial" w:cs="Arial" w:eastAsia="Arial" w:hAnsi="Arial"/>
          <w:sz w:val="14"/>
          <w:szCs w:val="14"/>
          <w:color w:val="auto"/>
          <w:vertAlign w:val="superscript"/>
        </w:rPr>
      </w:pPr>
      <w:r>
        <w:rPr>
          <w:rFonts w:ascii="Arial" w:cs="Arial" w:eastAsia="Arial" w:hAnsi="Arial"/>
          <w:sz w:val="11"/>
          <w:szCs w:val="11"/>
          <w:color w:val="auto"/>
        </w:rPr>
        <w:t>Includes aircraft owned and leased by American as well as aircraft operated by third-party regional carriers under capacity purchase agreements. Excluded from the aircraft count above are two Bombardier CRJ900 regional aircraft that are held in temporary storage as of March 31, 2026.</w:t>
      </w:r>
    </w:p>
    <w:p>
      <w:pPr>
        <w:spacing w:after="0" w:line="46" w:lineRule="exact"/>
        <w:rPr>
          <w:rFonts w:ascii="Arial" w:cs="Arial" w:eastAsia="Arial" w:hAnsi="Arial"/>
          <w:sz w:val="14"/>
          <w:szCs w:val="14"/>
          <w:color w:val="auto"/>
          <w:vertAlign w:val="superscript"/>
        </w:rPr>
      </w:pPr>
    </w:p>
    <w:p>
      <w:pPr>
        <w:ind w:left="208" w:hanging="208"/>
        <w:spacing w:after="0"/>
        <w:tabs>
          <w:tab w:leader="none" w:pos="208" w:val="left"/>
        </w:tabs>
        <w:numPr>
          <w:ilvl w:val="0"/>
          <w:numId w:val="9"/>
        </w:numPr>
        <w:rPr>
          <w:rFonts w:ascii="Arial" w:cs="Arial" w:eastAsia="Arial" w:hAnsi="Arial"/>
          <w:sz w:val="14"/>
          <w:szCs w:val="14"/>
          <w:color w:val="auto"/>
          <w:vertAlign w:val="superscript"/>
        </w:rPr>
      </w:pPr>
      <w:r>
        <w:rPr>
          <w:rFonts w:ascii="Arial" w:cs="Arial" w:eastAsia="Arial" w:hAnsi="Arial"/>
          <w:sz w:val="11"/>
          <w:szCs w:val="11"/>
          <w:color w:val="auto"/>
        </w:rPr>
        <w:t>Regional full-time equivalent employees only include our wholly-owned regional airline subsidiaries.</w:t>
      </w:r>
    </w:p>
    <w:p>
      <w:pPr>
        <w:sectPr>
          <w:pgSz w:w="11900" w:h="16838" w:orient="portrait"/>
          <w:cols w:equalWidth="0" w:num="1">
            <w:col w:w="11288"/>
          </w:cols>
          <w:pgMar w:left="292" w:top="128" w:right="319" w:bottom="1440" w:gutter="0" w:footer="0" w:header="0"/>
        </w:sectPr>
      </w:pPr>
    </w:p>
    <w:bookmarkStart w:id="11" w:name="page12"/>
    <w:bookmarkEnd w:id="11"/>
    <w:p>
      <w:pPr>
        <w:ind w:left="8"/>
        <w:spacing w:after="0"/>
        <w:rPr>
          <w:sz w:val="20"/>
          <w:szCs w:val="20"/>
          <w:color w:val="auto"/>
        </w:rPr>
      </w:pPr>
      <w:r>
        <w:rPr>
          <w:rFonts w:ascii="Arial" w:cs="Arial" w:eastAsia="Arial" w:hAnsi="Arial"/>
          <w:sz w:val="12"/>
          <w:szCs w:val="12"/>
          <w:b w:val="1"/>
          <w:bCs w:val="1"/>
          <w:color w:val="auto"/>
        </w:rPr>
        <w:t>American Airlines Reports First-Quarter 2026 Financial Results</w:t>
      </w:r>
    </w:p>
    <w:p>
      <w:pPr>
        <w:spacing w:after="0" w:line="17" w:lineRule="exact"/>
        <w:rPr>
          <w:sz w:val="20"/>
          <w:szCs w:val="20"/>
          <w:color w:val="auto"/>
        </w:rPr>
      </w:pPr>
    </w:p>
    <w:p>
      <w:pPr>
        <w:ind w:left="8"/>
        <w:spacing w:after="0"/>
        <w:rPr>
          <w:sz w:val="20"/>
          <w:szCs w:val="20"/>
          <w:color w:val="auto"/>
        </w:rPr>
      </w:pPr>
      <w:r>
        <w:rPr>
          <w:rFonts w:ascii="Arial" w:cs="Arial" w:eastAsia="Arial" w:hAnsi="Arial"/>
          <w:sz w:val="12"/>
          <w:szCs w:val="12"/>
          <w:color w:val="auto"/>
        </w:rPr>
        <w:t>April 23, 2026</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Page 9</w:t>
      </w:r>
    </w:p>
    <w:p>
      <w:pPr>
        <w:spacing w:after="0" w:line="214" w:lineRule="exact"/>
        <w:rPr>
          <w:sz w:val="20"/>
          <w:szCs w:val="20"/>
          <w:color w:val="auto"/>
        </w:rPr>
      </w:pPr>
    </w:p>
    <w:p>
      <w:pPr>
        <w:jc w:val="center"/>
        <w:ind w:right="-107"/>
        <w:spacing w:after="0"/>
        <w:rPr>
          <w:sz w:val="20"/>
          <w:szCs w:val="20"/>
          <w:color w:val="auto"/>
        </w:rPr>
      </w:pPr>
      <w:r>
        <w:rPr>
          <w:rFonts w:ascii="Arial" w:cs="Arial" w:eastAsia="Arial" w:hAnsi="Arial"/>
          <w:sz w:val="11"/>
          <w:szCs w:val="11"/>
          <w:b w:val="1"/>
          <w:bCs w:val="1"/>
          <w:color w:val="auto"/>
        </w:rPr>
        <w:t>American Airlines Group Inc.</w:t>
      </w:r>
    </w:p>
    <w:p>
      <w:pPr>
        <w:spacing w:after="0" w:line="10" w:lineRule="exact"/>
        <w:rPr>
          <w:sz w:val="20"/>
          <w:szCs w:val="20"/>
          <w:color w:val="auto"/>
        </w:rPr>
      </w:pPr>
    </w:p>
    <w:p>
      <w:pPr>
        <w:jc w:val="center"/>
        <w:ind w:right="-107"/>
        <w:spacing w:after="0"/>
        <w:rPr>
          <w:sz w:val="20"/>
          <w:szCs w:val="20"/>
          <w:color w:val="auto"/>
        </w:rPr>
      </w:pPr>
      <w:r>
        <w:rPr>
          <w:rFonts w:ascii="Arial" w:cs="Arial" w:eastAsia="Arial" w:hAnsi="Arial"/>
          <w:sz w:val="11"/>
          <w:szCs w:val="11"/>
          <w:b w:val="1"/>
          <w:bCs w:val="1"/>
          <w:color w:val="auto"/>
        </w:rPr>
        <w:t>Consolidated Revenue Statistics by Region</w:t>
      </w:r>
    </w:p>
    <w:p>
      <w:pPr>
        <w:spacing w:after="0" w:line="9" w:lineRule="exact"/>
        <w:rPr>
          <w:sz w:val="20"/>
          <w:szCs w:val="20"/>
          <w:color w:val="auto"/>
        </w:rPr>
      </w:pPr>
    </w:p>
    <w:p>
      <w:pPr>
        <w:jc w:val="center"/>
        <w:ind w:right="-107"/>
        <w:spacing w:after="0"/>
        <w:rPr>
          <w:sz w:val="20"/>
          <w:szCs w:val="20"/>
          <w:color w:val="auto"/>
        </w:rPr>
      </w:pPr>
      <w:r>
        <w:rPr>
          <w:rFonts w:ascii="Arial" w:cs="Arial" w:eastAsia="Arial" w:hAnsi="Arial"/>
          <w:sz w:val="11"/>
          <w:szCs w:val="11"/>
          <w:b w:val="1"/>
          <w:bCs w:val="1"/>
          <w:color w:val="auto"/>
        </w:rPr>
        <w:t>(Unaudited)</w:t>
      </w:r>
    </w:p>
    <w:p>
      <w:pPr>
        <w:spacing w:after="0" w:line="61" w:lineRule="exact"/>
        <w:rPr>
          <w:sz w:val="20"/>
          <w:szCs w:val="20"/>
          <w:color w:val="auto"/>
        </w:rPr>
      </w:pPr>
    </w:p>
    <w:tbl>
      <w:tblPr>
        <w:tblLayout w:type="fixed"/>
        <w:tblInd w:w="118" w:type="dxa"/>
        <w:tblCellMar>
          <w:top w:w="0" w:type="dxa"/>
          <w:left w:w="0" w:type="dxa"/>
          <w:bottom w:w="0" w:type="dxa"/>
          <w:right w:w="0" w:type="dxa"/>
        </w:tblCellMar>
      </w:tblPr>
      <w:tr>
        <w:trPr>
          <w:trHeight w:val="126"/>
        </w:trPr>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gridSpan w:val="3"/>
          </w:tcPr>
          <w:p>
            <w:pPr>
              <w:jc w:val="center"/>
              <w:spacing w:after="0"/>
              <w:rPr>
                <w:sz w:val="20"/>
                <w:szCs w:val="20"/>
                <w:color w:val="auto"/>
              </w:rPr>
            </w:pPr>
            <w:r>
              <w:rPr>
                <w:rFonts w:ascii="Arial" w:cs="Arial" w:eastAsia="Arial" w:hAnsi="Arial"/>
                <w:sz w:val="11"/>
                <w:szCs w:val="11"/>
                <w:color w:val="auto"/>
                <w:w w:val="97"/>
              </w:rPr>
              <w:t>3 Months Ended</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vMerge w:val="restart"/>
          </w:tcPr>
          <w:p>
            <w:pPr>
              <w:jc w:val="right"/>
              <w:ind w:right="366"/>
              <w:spacing w:after="0"/>
              <w:rPr>
                <w:sz w:val="20"/>
                <w:szCs w:val="20"/>
                <w:color w:val="auto"/>
              </w:rPr>
            </w:pPr>
            <w:r>
              <w:rPr>
                <w:rFonts w:ascii="Arial" w:cs="Arial" w:eastAsia="Arial" w:hAnsi="Arial"/>
                <w:sz w:val="11"/>
                <w:szCs w:val="11"/>
                <w:color w:val="auto"/>
              </w:rPr>
              <w:t>Increase</w:t>
            </w:r>
          </w:p>
        </w:tc>
        <w:tc>
          <w:tcPr>
            <w:tcW w:w="0" w:type="dxa"/>
            <w:vAlign w:val="bottom"/>
          </w:tcPr>
          <w:p>
            <w:pPr>
              <w:spacing w:after="0"/>
              <w:rPr>
                <w:sz w:val="1"/>
                <w:szCs w:val="1"/>
                <w:color w:val="auto"/>
              </w:rPr>
            </w:pPr>
          </w:p>
        </w:tc>
      </w:tr>
      <w:tr>
        <w:trPr>
          <w:trHeight w:val="126"/>
        </w:trPr>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gridSpan w:val="3"/>
          </w:tcPr>
          <w:p>
            <w:pPr>
              <w:jc w:val="center"/>
              <w:spacing w:after="0"/>
              <w:rPr>
                <w:sz w:val="20"/>
                <w:szCs w:val="20"/>
                <w:color w:val="auto"/>
              </w:rPr>
            </w:pPr>
            <w:r>
              <w:rPr>
                <w:rFonts w:ascii="Arial" w:cs="Arial" w:eastAsia="Arial" w:hAnsi="Arial"/>
                <w:sz w:val="11"/>
                <w:szCs w:val="11"/>
                <w:color w:val="auto"/>
                <w:w w:val="98"/>
              </w:rPr>
              <w:t>March 31,</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7920" w:type="dxa"/>
            <w:vAlign w:val="bottom"/>
            <w:gridSpan w:val="6"/>
          </w:tcPr>
          <w:p>
            <w:pPr>
              <w:ind w:left="7600"/>
              <w:spacing w:after="0"/>
              <w:rPr>
                <w:sz w:val="20"/>
                <w:szCs w:val="20"/>
                <w:color w:val="auto"/>
              </w:rPr>
            </w:pPr>
            <w:r>
              <w:rPr>
                <w:rFonts w:ascii="Arial" w:cs="Arial" w:eastAsia="Arial" w:hAnsi="Arial"/>
                <w:sz w:val="11"/>
                <w:szCs w:val="11"/>
                <w:color w:val="auto"/>
              </w:rPr>
              <w:t>2026</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jc w:val="right"/>
              <w:ind w:right="466"/>
              <w:spacing w:after="0"/>
              <w:rPr>
                <w:sz w:val="20"/>
                <w:szCs w:val="20"/>
                <w:color w:val="auto"/>
              </w:rPr>
            </w:pPr>
            <w:r>
              <w:rPr>
                <w:rFonts w:ascii="Arial" w:cs="Arial" w:eastAsia="Arial" w:hAnsi="Arial"/>
                <w:sz w:val="11"/>
                <w:szCs w:val="11"/>
                <w:color w:val="auto"/>
              </w:rPr>
              <w:t>2025</w:t>
            </w:r>
          </w:p>
        </w:tc>
        <w:tc>
          <w:tcPr>
            <w:tcW w:w="80" w:type="dxa"/>
            <w:vAlign w:val="bottom"/>
          </w:tcPr>
          <w:p>
            <w:pPr>
              <w:spacing w:after="0"/>
              <w:rPr>
                <w:sz w:val="13"/>
                <w:szCs w:val="13"/>
                <w:color w:val="auto"/>
              </w:rPr>
            </w:pPr>
          </w:p>
        </w:tc>
        <w:tc>
          <w:tcPr>
            <w:tcW w:w="1280" w:type="dxa"/>
            <w:vAlign w:val="bottom"/>
          </w:tcPr>
          <w:p>
            <w:pPr>
              <w:jc w:val="right"/>
              <w:ind w:right="306"/>
              <w:spacing w:after="0"/>
              <w:rPr>
                <w:sz w:val="20"/>
                <w:szCs w:val="20"/>
                <w:color w:val="auto"/>
              </w:rPr>
            </w:pPr>
            <w:r>
              <w:rPr>
                <w:rFonts w:ascii="Arial" w:cs="Arial" w:eastAsia="Arial" w:hAnsi="Arial"/>
                <w:sz w:val="11"/>
                <w:szCs w:val="11"/>
                <w:color w:val="auto"/>
              </w:rPr>
              <w:t>(Decrease)</w:t>
            </w:r>
          </w:p>
        </w:tc>
        <w:tc>
          <w:tcPr>
            <w:tcW w:w="0" w:type="dxa"/>
            <w:vAlign w:val="bottom"/>
          </w:tcPr>
          <w:p>
            <w:pPr>
              <w:spacing w:after="0"/>
              <w:rPr>
                <w:sz w:val="1"/>
                <w:szCs w:val="1"/>
                <w:color w:val="auto"/>
              </w:rPr>
            </w:pPr>
          </w:p>
        </w:tc>
      </w:tr>
      <w:tr>
        <w:trPr>
          <w:trHeight w:val="98"/>
        </w:trPr>
        <w:tc>
          <w:tcPr>
            <w:tcW w:w="7100" w:type="dxa"/>
            <w:vAlign w:val="bottom"/>
            <w:tcBorders>
              <w:top w:val="single" w:sz="8" w:color="CCEEFF"/>
              <w:left w:val="single" w:sz="8" w:color="CCEEFF"/>
            </w:tcBorders>
            <w:gridSpan w:val="5"/>
            <w:shd w:val="clear" w:color="auto" w:fill="CCEEFF"/>
          </w:tcPr>
          <w:p>
            <w:pPr>
              <w:ind w:left="20"/>
              <w:spacing w:after="0" w:line="98" w:lineRule="exact"/>
              <w:rPr>
                <w:sz w:val="20"/>
                <w:szCs w:val="20"/>
                <w:color w:val="auto"/>
              </w:rPr>
            </w:pPr>
            <w:r>
              <w:rPr>
                <w:rFonts w:ascii="Arial" w:cs="Arial" w:eastAsia="Arial" w:hAnsi="Arial"/>
                <w:sz w:val="9"/>
                <w:szCs w:val="9"/>
                <w:b w:val="1"/>
                <w:bCs w:val="1"/>
                <w:color w:val="auto"/>
              </w:rPr>
              <w:t xml:space="preserve">Domestic </w:t>
            </w:r>
            <w:r>
              <w:rPr>
                <w:rFonts w:ascii="Arial" w:cs="Arial" w:eastAsia="Arial" w:hAnsi="Arial"/>
                <w:sz w:val="11"/>
                <w:szCs w:val="11"/>
                <w:b w:val="1"/>
                <w:bCs w:val="1"/>
                <w:color w:val="auto"/>
                <w:vertAlign w:val="superscript"/>
              </w:rPr>
              <w:t>(1)</w:t>
            </w:r>
          </w:p>
        </w:tc>
        <w:tc>
          <w:tcPr>
            <w:tcW w:w="82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8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420" w:type="dxa"/>
            <w:vAlign w:val="bottom"/>
            <w:tcBorders>
              <w:left w:val="single" w:sz="8" w:color="CCEEFF"/>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7920" w:type="dxa"/>
            <w:vAlign w:val="bottom"/>
            <w:gridSpan w:val="6"/>
          </w:tcPr>
          <w:p>
            <w:pPr>
              <w:ind w:left="20"/>
              <w:spacing w:after="0"/>
              <w:rPr>
                <w:sz w:val="20"/>
                <w:szCs w:val="20"/>
                <w:color w:val="auto"/>
              </w:rPr>
            </w:pPr>
            <w:r>
              <w:rPr>
                <w:rFonts w:ascii="Arial" w:cs="Arial" w:eastAsia="Arial" w:hAnsi="Arial"/>
                <w:sz w:val="11"/>
                <w:szCs w:val="11"/>
                <w:color w:val="auto"/>
              </w:rPr>
              <w:t>Revenue passenger miles (millions)</w:t>
            </w:r>
          </w:p>
        </w:tc>
        <w:tc>
          <w:tcPr>
            <w:tcW w:w="440" w:type="dxa"/>
            <w:vAlign w:val="bottom"/>
          </w:tcPr>
          <w:p>
            <w:pPr>
              <w:jc w:val="right"/>
              <w:spacing w:after="0"/>
              <w:rPr>
                <w:sz w:val="20"/>
                <w:szCs w:val="20"/>
                <w:color w:val="auto"/>
              </w:rPr>
            </w:pPr>
            <w:r>
              <w:rPr>
                <w:rFonts w:ascii="Arial" w:cs="Arial" w:eastAsia="Arial" w:hAnsi="Arial"/>
                <w:sz w:val="11"/>
                <w:szCs w:val="11"/>
                <w:color w:val="auto"/>
              </w:rPr>
              <w:t>39,167</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37,693</w:t>
            </w:r>
          </w:p>
        </w:tc>
        <w:tc>
          <w:tcPr>
            <w:tcW w:w="1360" w:type="dxa"/>
            <w:vAlign w:val="bottom"/>
            <w:gridSpan w:val="2"/>
          </w:tcPr>
          <w:p>
            <w:pPr>
              <w:jc w:val="right"/>
              <w:spacing w:after="0"/>
              <w:rPr>
                <w:sz w:val="20"/>
                <w:szCs w:val="20"/>
                <w:color w:val="auto"/>
              </w:rPr>
            </w:pPr>
            <w:r>
              <w:rPr>
                <w:rFonts w:ascii="Arial" w:cs="Arial" w:eastAsia="Arial" w:hAnsi="Arial"/>
                <w:sz w:val="11"/>
                <w:szCs w:val="11"/>
                <w:color w:val="auto"/>
              </w:rPr>
              <w:t>3.9 %</w:t>
            </w:r>
          </w:p>
        </w:tc>
        <w:tc>
          <w:tcPr>
            <w:tcW w:w="0" w:type="dxa"/>
            <w:vAlign w:val="bottom"/>
          </w:tcPr>
          <w:p>
            <w:pPr>
              <w:spacing w:after="0"/>
              <w:rPr>
                <w:sz w:val="1"/>
                <w:szCs w:val="1"/>
                <w:color w:val="auto"/>
              </w:rPr>
            </w:pPr>
          </w:p>
        </w:tc>
      </w:tr>
      <w:tr>
        <w:trPr>
          <w:trHeight w:val="145"/>
        </w:trPr>
        <w:tc>
          <w:tcPr>
            <w:tcW w:w="7920" w:type="dxa"/>
            <w:vAlign w:val="bottom"/>
            <w:tcBorders>
              <w:left w:val="single" w:sz="8" w:color="CCEEFF"/>
            </w:tcBorders>
            <w:gridSpan w:val="6"/>
            <w:shd w:val="clear" w:color="auto" w:fill="CCEEFF"/>
          </w:tcPr>
          <w:p>
            <w:pPr>
              <w:ind w:left="20"/>
              <w:spacing w:after="0"/>
              <w:rPr>
                <w:sz w:val="20"/>
                <w:szCs w:val="20"/>
                <w:color w:val="auto"/>
              </w:rPr>
            </w:pPr>
            <w:r>
              <w:rPr>
                <w:rFonts w:ascii="Arial" w:cs="Arial" w:eastAsia="Arial" w:hAnsi="Arial"/>
                <w:sz w:val="11"/>
                <w:szCs w:val="11"/>
                <w:color w:val="auto"/>
              </w:rPr>
              <w:t>Available seat miles (ASM) (millions)</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48,414</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46,669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3.7 %</w:t>
            </w:r>
          </w:p>
        </w:tc>
        <w:tc>
          <w:tcPr>
            <w:tcW w:w="0" w:type="dxa"/>
            <w:vAlign w:val="bottom"/>
          </w:tcPr>
          <w:p>
            <w:pPr>
              <w:spacing w:after="0"/>
              <w:rPr>
                <w:sz w:val="1"/>
                <w:szCs w:val="1"/>
                <w:color w:val="auto"/>
              </w:rPr>
            </w:pPr>
          </w:p>
        </w:tc>
      </w:tr>
      <w:tr>
        <w:trPr>
          <w:trHeight w:val="143"/>
        </w:trPr>
        <w:tc>
          <w:tcPr>
            <w:tcW w:w="7920" w:type="dxa"/>
            <w:vAlign w:val="bottom"/>
            <w:gridSpan w:val="6"/>
          </w:tcPr>
          <w:p>
            <w:pPr>
              <w:ind w:left="20"/>
              <w:spacing w:after="0"/>
              <w:rPr>
                <w:sz w:val="20"/>
                <w:szCs w:val="20"/>
                <w:color w:val="auto"/>
              </w:rPr>
            </w:pPr>
            <w:r>
              <w:rPr>
                <w:rFonts w:ascii="Arial" w:cs="Arial" w:eastAsia="Arial" w:hAnsi="Arial"/>
                <w:sz w:val="11"/>
                <w:szCs w:val="11"/>
                <w:color w:val="auto"/>
              </w:rPr>
              <w:t>Passenger load factor (percent)</w:t>
            </w:r>
          </w:p>
        </w:tc>
        <w:tc>
          <w:tcPr>
            <w:tcW w:w="440" w:type="dxa"/>
            <w:vAlign w:val="bottom"/>
          </w:tcPr>
          <w:p>
            <w:pPr>
              <w:jc w:val="right"/>
              <w:spacing w:after="0"/>
              <w:rPr>
                <w:sz w:val="20"/>
                <w:szCs w:val="20"/>
                <w:color w:val="auto"/>
              </w:rPr>
            </w:pPr>
            <w:r>
              <w:rPr>
                <w:rFonts w:ascii="Arial" w:cs="Arial" w:eastAsia="Arial" w:hAnsi="Arial"/>
                <w:sz w:val="11"/>
                <w:szCs w:val="11"/>
                <w:color w:val="auto"/>
              </w:rPr>
              <w:t>80.9</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80.8</w:t>
            </w:r>
          </w:p>
        </w:tc>
        <w:tc>
          <w:tcPr>
            <w:tcW w:w="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0.1 pts</w:t>
            </w:r>
          </w:p>
        </w:tc>
        <w:tc>
          <w:tcPr>
            <w:tcW w:w="0" w:type="dxa"/>
            <w:vAlign w:val="bottom"/>
          </w:tcPr>
          <w:p>
            <w:pPr>
              <w:spacing w:after="0"/>
              <w:rPr>
                <w:sz w:val="1"/>
                <w:szCs w:val="1"/>
                <w:color w:val="auto"/>
              </w:rPr>
            </w:pPr>
          </w:p>
        </w:tc>
      </w:tr>
      <w:tr>
        <w:trPr>
          <w:trHeight w:val="145"/>
        </w:trPr>
        <w:tc>
          <w:tcPr>
            <w:tcW w:w="7920" w:type="dxa"/>
            <w:vAlign w:val="bottom"/>
            <w:tcBorders>
              <w:left w:val="single" w:sz="8" w:color="CCEEFF"/>
            </w:tcBorders>
            <w:gridSpan w:val="6"/>
            <w:shd w:val="clear" w:color="auto" w:fill="CCEEFF"/>
          </w:tcPr>
          <w:p>
            <w:pPr>
              <w:ind w:left="20"/>
              <w:spacing w:after="0"/>
              <w:rPr>
                <w:sz w:val="20"/>
                <w:szCs w:val="20"/>
                <w:color w:val="auto"/>
              </w:rPr>
            </w:pPr>
            <w:r>
              <w:rPr>
                <w:rFonts w:ascii="Arial" w:cs="Arial" w:eastAsia="Arial" w:hAnsi="Arial"/>
                <w:sz w:val="11"/>
                <w:szCs w:val="11"/>
                <w:color w:val="auto"/>
              </w:rPr>
              <w:t>Passenger revenue (dollars in millions)</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8,990</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8,127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10.6 %</w:t>
            </w:r>
          </w:p>
        </w:tc>
        <w:tc>
          <w:tcPr>
            <w:tcW w:w="0" w:type="dxa"/>
            <w:vAlign w:val="bottom"/>
          </w:tcPr>
          <w:p>
            <w:pPr>
              <w:spacing w:after="0"/>
              <w:rPr>
                <w:sz w:val="1"/>
                <w:szCs w:val="1"/>
                <w:color w:val="auto"/>
              </w:rPr>
            </w:pPr>
          </w:p>
        </w:tc>
      </w:tr>
      <w:tr>
        <w:trPr>
          <w:trHeight w:val="143"/>
        </w:trPr>
        <w:tc>
          <w:tcPr>
            <w:tcW w:w="7920" w:type="dxa"/>
            <w:vAlign w:val="bottom"/>
            <w:gridSpan w:val="6"/>
          </w:tcPr>
          <w:p>
            <w:pPr>
              <w:ind w:left="20"/>
              <w:spacing w:after="0"/>
              <w:rPr>
                <w:sz w:val="20"/>
                <w:szCs w:val="20"/>
                <w:color w:val="auto"/>
              </w:rPr>
            </w:pPr>
            <w:r>
              <w:rPr>
                <w:rFonts w:ascii="Arial" w:cs="Arial" w:eastAsia="Arial" w:hAnsi="Arial"/>
                <w:sz w:val="11"/>
                <w:szCs w:val="11"/>
                <w:color w:val="auto"/>
              </w:rPr>
              <w:t>Yield (cents)</w:t>
            </w:r>
          </w:p>
        </w:tc>
        <w:tc>
          <w:tcPr>
            <w:tcW w:w="440" w:type="dxa"/>
            <w:vAlign w:val="bottom"/>
          </w:tcPr>
          <w:p>
            <w:pPr>
              <w:jc w:val="right"/>
              <w:spacing w:after="0"/>
              <w:rPr>
                <w:sz w:val="20"/>
                <w:szCs w:val="20"/>
                <w:color w:val="auto"/>
              </w:rPr>
            </w:pPr>
            <w:r>
              <w:rPr>
                <w:rFonts w:ascii="Arial" w:cs="Arial" w:eastAsia="Arial" w:hAnsi="Arial"/>
                <w:sz w:val="11"/>
                <w:szCs w:val="11"/>
                <w:color w:val="auto"/>
              </w:rPr>
              <w:t>22.95</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21.56</w:t>
            </w:r>
          </w:p>
        </w:tc>
        <w:tc>
          <w:tcPr>
            <w:tcW w:w="1360" w:type="dxa"/>
            <w:vAlign w:val="bottom"/>
            <w:gridSpan w:val="2"/>
          </w:tcPr>
          <w:p>
            <w:pPr>
              <w:jc w:val="right"/>
              <w:spacing w:after="0"/>
              <w:rPr>
                <w:sz w:val="20"/>
                <w:szCs w:val="20"/>
                <w:color w:val="auto"/>
              </w:rPr>
            </w:pPr>
            <w:r>
              <w:rPr>
                <w:rFonts w:ascii="Arial" w:cs="Arial" w:eastAsia="Arial" w:hAnsi="Arial"/>
                <w:sz w:val="11"/>
                <w:szCs w:val="11"/>
                <w:color w:val="auto"/>
              </w:rPr>
              <w:t>6.5 %</w:t>
            </w:r>
          </w:p>
        </w:tc>
        <w:tc>
          <w:tcPr>
            <w:tcW w:w="0" w:type="dxa"/>
            <w:vAlign w:val="bottom"/>
          </w:tcPr>
          <w:p>
            <w:pPr>
              <w:spacing w:after="0"/>
              <w:rPr>
                <w:sz w:val="1"/>
                <w:szCs w:val="1"/>
                <w:color w:val="auto"/>
              </w:rPr>
            </w:pPr>
          </w:p>
        </w:tc>
      </w:tr>
      <w:tr>
        <w:trPr>
          <w:trHeight w:val="145"/>
        </w:trPr>
        <w:tc>
          <w:tcPr>
            <w:tcW w:w="7920" w:type="dxa"/>
            <w:vAlign w:val="bottom"/>
            <w:tcBorders>
              <w:left w:val="single" w:sz="8" w:color="CCEEFF"/>
            </w:tcBorders>
            <w:gridSpan w:val="6"/>
            <w:shd w:val="clear" w:color="auto" w:fill="CCEEFF"/>
          </w:tcPr>
          <w:p>
            <w:pPr>
              <w:ind w:left="20"/>
              <w:spacing w:after="0"/>
              <w:rPr>
                <w:sz w:val="20"/>
                <w:szCs w:val="20"/>
                <w:color w:val="auto"/>
              </w:rPr>
            </w:pPr>
            <w:r>
              <w:rPr>
                <w:rFonts w:ascii="Arial" w:cs="Arial" w:eastAsia="Arial" w:hAnsi="Arial"/>
                <w:sz w:val="11"/>
                <w:szCs w:val="11"/>
                <w:color w:val="auto"/>
              </w:rPr>
              <w:t>Passenger revenue per ASM (cents)</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18.57</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6.6 %</w:t>
            </w: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7920" w:type="dxa"/>
            <w:vAlign w:val="bottom"/>
            <w:tcBorders>
              <w:left w:val="single" w:sz="8" w:color="CCEEFF"/>
            </w:tcBorders>
            <w:gridSpan w:val="6"/>
            <w:shd w:val="clear" w:color="auto" w:fill="CCEEFF"/>
          </w:tcPr>
          <w:p>
            <w:pPr>
              <w:ind w:left="20"/>
              <w:spacing w:after="0" w:line="117" w:lineRule="exact"/>
              <w:rPr>
                <w:sz w:val="20"/>
                <w:szCs w:val="20"/>
                <w:color w:val="auto"/>
              </w:rPr>
            </w:pPr>
            <w:r>
              <w:rPr>
                <w:rFonts w:ascii="Arial" w:cs="Arial" w:eastAsia="Arial" w:hAnsi="Arial"/>
                <w:sz w:val="10"/>
                <w:szCs w:val="10"/>
                <w:b w:val="1"/>
                <w:bCs w:val="1"/>
                <w:color w:val="auto"/>
              </w:rPr>
              <w:t xml:space="preserve">Latin America </w:t>
            </w:r>
            <w:r>
              <w:rPr>
                <w:rFonts w:ascii="Arial" w:cs="Arial" w:eastAsia="Arial" w:hAnsi="Arial"/>
                <w:sz w:val="13"/>
                <w:szCs w:val="13"/>
                <w:b w:val="1"/>
                <w:bCs w:val="1"/>
                <w:color w:val="auto"/>
                <w:vertAlign w:val="superscript"/>
              </w:rPr>
              <w:t>(2)</w:t>
            </w: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20" w:type="dxa"/>
            <w:vAlign w:val="bottom"/>
            <w:tcBorders>
              <w:left w:val="single" w:sz="8" w:color="CCEEFF"/>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7920" w:type="dxa"/>
            <w:vAlign w:val="bottom"/>
            <w:gridSpan w:val="6"/>
          </w:tcPr>
          <w:p>
            <w:pPr>
              <w:ind w:left="20"/>
              <w:spacing w:after="0"/>
              <w:rPr>
                <w:sz w:val="20"/>
                <w:szCs w:val="20"/>
                <w:color w:val="auto"/>
              </w:rPr>
            </w:pPr>
            <w:r>
              <w:rPr>
                <w:rFonts w:ascii="Arial" w:cs="Arial" w:eastAsia="Arial" w:hAnsi="Arial"/>
                <w:sz w:val="11"/>
                <w:szCs w:val="11"/>
                <w:color w:val="auto"/>
              </w:rPr>
              <w:t>Revenue passenger miles (millions)</w:t>
            </w:r>
          </w:p>
        </w:tc>
        <w:tc>
          <w:tcPr>
            <w:tcW w:w="440" w:type="dxa"/>
            <w:vAlign w:val="bottom"/>
          </w:tcPr>
          <w:p>
            <w:pPr>
              <w:jc w:val="right"/>
              <w:spacing w:after="0"/>
              <w:rPr>
                <w:sz w:val="20"/>
                <w:szCs w:val="20"/>
                <w:color w:val="auto"/>
              </w:rPr>
            </w:pPr>
            <w:r>
              <w:rPr>
                <w:rFonts w:ascii="Arial" w:cs="Arial" w:eastAsia="Arial" w:hAnsi="Arial"/>
                <w:sz w:val="11"/>
                <w:szCs w:val="11"/>
                <w:color w:val="auto"/>
              </w:rPr>
              <w:t>10,289</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10,022</w:t>
            </w:r>
          </w:p>
        </w:tc>
        <w:tc>
          <w:tcPr>
            <w:tcW w:w="1360" w:type="dxa"/>
            <w:vAlign w:val="bottom"/>
            <w:gridSpan w:val="2"/>
          </w:tcPr>
          <w:p>
            <w:pPr>
              <w:jc w:val="right"/>
              <w:spacing w:after="0"/>
              <w:rPr>
                <w:sz w:val="20"/>
                <w:szCs w:val="20"/>
                <w:color w:val="auto"/>
              </w:rPr>
            </w:pPr>
            <w:r>
              <w:rPr>
                <w:rFonts w:ascii="Arial" w:cs="Arial" w:eastAsia="Arial" w:hAnsi="Arial"/>
                <w:sz w:val="11"/>
                <w:szCs w:val="11"/>
                <w:color w:val="auto"/>
              </w:rPr>
              <w:t>2.7 %</w:t>
            </w:r>
          </w:p>
        </w:tc>
        <w:tc>
          <w:tcPr>
            <w:tcW w:w="0" w:type="dxa"/>
            <w:vAlign w:val="bottom"/>
          </w:tcPr>
          <w:p>
            <w:pPr>
              <w:spacing w:after="0"/>
              <w:rPr>
                <w:sz w:val="1"/>
                <w:szCs w:val="1"/>
                <w:color w:val="auto"/>
              </w:rPr>
            </w:pPr>
          </w:p>
        </w:tc>
      </w:tr>
      <w:tr>
        <w:trPr>
          <w:trHeight w:val="145"/>
        </w:trPr>
        <w:tc>
          <w:tcPr>
            <w:tcW w:w="7920" w:type="dxa"/>
            <w:vAlign w:val="bottom"/>
            <w:tcBorders>
              <w:left w:val="single" w:sz="8" w:color="CCEEFF"/>
            </w:tcBorders>
            <w:gridSpan w:val="6"/>
            <w:shd w:val="clear" w:color="auto" w:fill="CCEEFF"/>
          </w:tcPr>
          <w:p>
            <w:pPr>
              <w:ind w:left="20"/>
              <w:spacing w:after="0"/>
              <w:rPr>
                <w:sz w:val="20"/>
                <w:szCs w:val="20"/>
                <w:color w:val="auto"/>
              </w:rPr>
            </w:pPr>
            <w:r>
              <w:rPr>
                <w:rFonts w:ascii="Arial" w:cs="Arial" w:eastAsia="Arial" w:hAnsi="Arial"/>
                <w:sz w:val="11"/>
                <w:szCs w:val="11"/>
                <w:color w:val="auto"/>
              </w:rPr>
              <w:t>Available seat miles (millions)</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12,403</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12,004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3.3 %</w:t>
            </w:r>
          </w:p>
        </w:tc>
        <w:tc>
          <w:tcPr>
            <w:tcW w:w="0" w:type="dxa"/>
            <w:vAlign w:val="bottom"/>
          </w:tcPr>
          <w:p>
            <w:pPr>
              <w:spacing w:after="0"/>
              <w:rPr>
                <w:sz w:val="1"/>
                <w:szCs w:val="1"/>
                <w:color w:val="auto"/>
              </w:rPr>
            </w:pPr>
          </w:p>
        </w:tc>
      </w:tr>
      <w:tr>
        <w:trPr>
          <w:trHeight w:val="143"/>
        </w:trPr>
        <w:tc>
          <w:tcPr>
            <w:tcW w:w="7920" w:type="dxa"/>
            <w:vAlign w:val="bottom"/>
            <w:gridSpan w:val="6"/>
          </w:tcPr>
          <w:p>
            <w:pPr>
              <w:ind w:left="20"/>
              <w:spacing w:after="0"/>
              <w:rPr>
                <w:sz w:val="20"/>
                <w:szCs w:val="20"/>
                <w:color w:val="auto"/>
              </w:rPr>
            </w:pPr>
            <w:r>
              <w:rPr>
                <w:rFonts w:ascii="Arial" w:cs="Arial" w:eastAsia="Arial" w:hAnsi="Arial"/>
                <w:sz w:val="11"/>
                <w:szCs w:val="11"/>
                <w:color w:val="auto"/>
              </w:rPr>
              <w:t>Passenger load factor (percent)</w:t>
            </w:r>
          </w:p>
        </w:tc>
        <w:tc>
          <w:tcPr>
            <w:tcW w:w="440" w:type="dxa"/>
            <w:vAlign w:val="bottom"/>
          </w:tcPr>
          <w:p>
            <w:pPr>
              <w:jc w:val="right"/>
              <w:spacing w:after="0"/>
              <w:rPr>
                <w:sz w:val="20"/>
                <w:szCs w:val="20"/>
                <w:color w:val="auto"/>
              </w:rPr>
            </w:pPr>
            <w:r>
              <w:rPr>
                <w:rFonts w:ascii="Arial" w:cs="Arial" w:eastAsia="Arial" w:hAnsi="Arial"/>
                <w:sz w:val="11"/>
                <w:szCs w:val="11"/>
                <w:color w:val="auto"/>
              </w:rPr>
              <w:t>83.0</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83.5</w:t>
            </w:r>
          </w:p>
        </w:tc>
        <w:tc>
          <w:tcPr>
            <w:tcW w:w="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(0.5) pts</w:t>
            </w:r>
          </w:p>
        </w:tc>
        <w:tc>
          <w:tcPr>
            <w:tcW w:w="0" w:type="dxa"/>
            <w:vAlign w:val="bottom"/>
          </w:tcPr>
          <w:p>
            <w:pPr>
              <w:spacing w:after="0"/>
              <w:rPr>
                <w:sz w:val="1"/>
                <w:szCs w:val="1"/>
                <w:color w:val="auto"/>
              </w:rPr>
            </w:pPr>
          </w:p>
        </w:tc>
      </w:tr>
      <w:tr>
        <w:trPr>
          <w:trHeight w:val="145"/>
        </w:trPr>
        <w:tc>
          <w:tcPr>
            <w:tcW w:w="7920" w:type="dxa"/>
            <w:vAlign w:val="bottom"/>
            <w:tcBorders>
              <w:left w:val="single" w:sz="8" w:color="CCEEFF"/>
            </w:tcBorders>
            <w:gridSpan w:val="6"/>
            <w:shd w:val="clear" w:color="auto" w:fill="CCEEFF"/>
          </w:tcPr>
          <w:p>
            <w:pPr>
              <w:ind w:left="20"/>
              <w:spacing w:after="0"/>
              <w:rPr>
                <w:sz w:val="20"/>
                <w:szCs w:val="20"/>
                <w:color w:val="auto"/>
              </w:rPr>
            </w:pPr>
            <w:r>
              <w:rPr>
                <w:rFonts w:ascii="Arial" w:cs="Arial" w:eastAsia="Arial" w:hAnsi="Arial"/>
                <w:sz w:val="11"/>
                <w:szCs w:val="11"/>
                <w:color w:val="auto"/>
              </w:rPr>
              <w:t>Passenger revenue (dollars in millions)</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1,963</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1,906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3.0 %</w:t>
            </w:r>
          </w:p>
        </w:tc>
        <w:tc>
          <w:tcPr>
            <w:tcW w:w="0" w:type="dxa"/>
            <w:vAlign w:val="bottom"/>
          </w:tcPr>
          <w:p>
            <w:pPr>
              <w:spacing w:after="0"/>
              <w:rPr>
                <w:sz w:val="1"/>
                <w:szCs w:val="1"/>
                <w:color w:val="auto"/>
              </w:rPr>
            </w:pPr>
          </w:p>
        </w:tc>
      </w:tr>
      <w:tr>
        <w:trPr>
          <w:trHeight w:val="143"/>
        </w:trPr>
        <w:tc>
          <w:tcPr>
            <w:tcW w:w="7920" w:type="dxa"/>
            <w:vAlign w:val="bottom"/>
            <w:gridSpan w:val="6"/>
          </w:tcPr>
          <w:p>
            <w:pPr>
              <w:ind w:left="20"/>
              <w:spacing w:after="0"/>
              <w:rPr>
                <w:sz w:val="20"/>
                <w:szCs w:val="20"/>
                <w:color w:val="auto"/>
              </w:rPr>
            </w:pPr>
            <w:r>
              <w:rPr>
                <w:rFonts w:ascii="Arial" w:cs="Arial" w:eastAsia="Arial" w:hAnsi="Arial"/>
                <w:sz w:val="11"/>
                <w:szCs w:val="11"/>
                <w:color w:val="auto"/>
              </w:rPr>
              <w:t>Yield (cents)</w:t>
            </w:r>
          </w:p>
        </w:tc>
        <w:tc>
          <w:tcPr>
            <w:tcW w:w="440" w:type="dxa"/>
            <w:vAlign w:val="bottom"/>
          </w:tcPr>
          <w:p>
            <w:pPr>
              <w:jc w:val="right"/>
              <w:spacing w:after="0"/>
              <w:rPr>
                <w:sz w:val="20"/>
                <w:szCs w:val="20"/>
                <w:color w:val="auto"/>
              </w:rPr>
            </w:pPr>
            <w:r>
              <w:rPr>
                <w:rFonts w:ascii="Arial" w:cs="Arial" w:eastAsia="Arial" w:hAnsi="Arial"/>
                <w:sz w:val="11"/>
                <w:szCs w:val="11"/>
                <w:color w:val="auto"/>
              </w:rPr>
              <w:t>19.07</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19.01</w:t>
            </w:r>
          </w:p>
        </w:tc>
        <w:tc>
          <w:tcPr>
            <w:tcW w:w="1360" w:type="dxa"/>
            <w:vAlign w:val="bottom"/>
            <w:gridSpan w:val="2"/>
          </w:tcPr>
          <w:p>
            <w:pPr>
              <w:jc w:val="right"/>
              <w:spacing w:after="0"/>
              <w:rPr>
                <w:sz w:val="20"/>
                <w:szCs w:val="20"/>
                <w:color w:val="auto"/>
              </w:rPr>
            </w:pPr>
            <w:r>
              <w:rPr>
                <w:rFonts w:ascii="Arial" w:cs="Arial" w:eastAsia="Arial" w:hAnsi="Arial"/>
                <w:sz w:val="11"/>
                <w:szCs w:val="11"/>
                <w:color w:val="auto"/>
              </w:rPr>
              <w:t>0.3 %</w:t>
            </w:r>
          </w:p>
        </w:tc>
        <w:tc>
          <w:tcPr>
            <w:tcW w:w="0" w:type="dxa"/>
            <w:vAlign w:val="bottom"/>
          </w:tcPr>
          <w:p>
            <w:pPr>
              <w:spacing w:after="0"/>
              <w:rPr>
                <w:sz w:val="1"/>
                <w:szCs w:val="1"/>
                <w:color w:val="auto"/>
              </w:rPr>
            </w:pPr>
          </w:p>
        </w:tc>
      </w:tr>
      <w:tr>
        <w:trPr>
          <w:trHeight w:val="145"/>
        </w:trPr>
        <w:tc>
          <w:tcPr>
            <w:tcW w:w="7920" w:type="dxa"/>
            <w:vAlign w:val="bottom"/>
            <w:tcBorders>
              <w:left w:val="single" w:sz="8" w:color="CCEEFF"/>
            </w:tcBorders>
            <w:gridSpan w:val="6"/>
            <w:shd w:val="clear" w:color="auto" w:fill="CCEEFF"/>
          </w:tcPr>
          <w:p>
            <w:pPr>
              <w:ind w:left="20"/>
              <w:spacing w:after="0"/>
              <w:rPr>
                <w:sz w:val="20"/>
                <w:szCs w:val="20"/>
                <w:color w:val="auto"/>
              </w:rPr>
            </w:pPr>
            <w:r>
              <w:rPr>
                <w:rFonts w:ascii="Arial" w:cs="Arial" w:eastAsia="Arial" w:hAnsi="Arial"/>
                <w:sz w:val="11"/>
                <w:szCs w:val="11"/>
                <w:color w:val="auto"/>
              </w:rPr>
              <w:t>Passenger revenue per ASM (cents)</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15.82</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(0.3) %</w:t>
            </w: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420" w:type="dxa"/>
            <w:vAlign w:val="bottom"/>
            <w:tcBorders>
              <w:left w:val="single" w:sz="8" w:color="CCEEFF"/>
              <w:bottom w:val="single" w:sz="8" w:color="auto"/>
              <w:right w:val="single" w:sz="8" w:color="CCEEFF"/>
            </w:tcBorders>
            <w:shd w:val="clear" w:color="auto" w:fill="CCEEFF"/>
          </w:tcPr>
          <w:p>
            <w:pPr>
              <w:ind w:left="20"/>
              <w:spacing w:after="0" w:line="117" w:lineRule="exact"/>
              <w:rPr>
                <w:sz w:val="20"/>
                <w:szCs w:val="20"/>
                <w:color w:val="auto"/>
              </w:rPr>
            </w:pPr>
            <w:r>
              <w:rPr>
                <w:rFonts w:ascii="Arial" w:cs="Arial" w:eastAsia="Arial" w:hAnsi="Arial"/>
                <w:sz w:val="11"/>
                <w:szCs w:val="11"/>
                <w:b w:val="1"/>
                <w:bCs w:val="1"/>
                <w:color w:val="auto"/>
                <w:w w:val="89"/>
              </w:rPr>
              <w:t>Atlantic</w:t>
            </w:r>
          </w:p>
        </w:tc>
        <w:tc>
          <w:tcPr>
            <w:tcW w:w="7500" w:type="dxa"/>
            <w:vAlign w:val="bottom"/>
            <w:tcBorders>
              <w:bottom w:val="single" w:sz="8" w:color="CCEEFF"/>
            </w:tcBorders>
            <w:gridSpan w:val="5"/>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2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7920" w:type="dxa"/>
            <w:vAlign w:val="bottom"/>
            <w:gridSpan w:val="6"/>
          </w:tcPr>
          <w:p>
            <w:pPr>
              <w:ind w:left="20"/>
              <w:spacing w:after="0"/>
              <w:rPr>
                <w:sz w:val="20"/>
                <w:szCs w:val="20"/>
                <w:color w:val="auto"/>
              </w:rPr>
            </w:pPr>
            <w:r>
              <w:rPr>
                <w:rFonts w:ascii="Arial" w:cs="Arial" w:eastAsia="Arial" w:hAnsi="Arial"/>
                <w:sz w:val="11"/>
                <w:szCs w:val="11"/>
                <w:color w:val="auto"/>
              </w:rPr>
              <w:t>Revenue passenger miles (millions)</w:t>
            </w:r>
          </w:p>
        </w:tc>
        <w:tc>
          <w:tcPr>
            <w:tcW w:w="440" w:type="dxa"/>
            <w:vAlign w:val="bottom"/>
          </w:tcPr>
          <w:p>
            <w:pPr>
              <w:jc w:val="right"/>
              <w:spacing w:after="0"/>
              <w:rPr>
                <w:sz w:val="20"/>
                <w:szCs w:val="20"/>
                <w:color w:val="auto"/>
              </w:rPr>
            </w:pPr>
            <w:r>
              <w:rPr>
                <w:rFonts w:ascii="Arial" w:cs="Arial" w:eastAsia="Arial" w:hAnsi="Arial"/>
                <w:sz w:val="11"/>
                <w:szCs w:val="11"/>
                <w:color w:val="auto"/>
              </w:rPr>
              <w:t>6,213</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5,934</w:t>
            </w:r>
          </w:p>
        </w:tc>
        <w:tc>
          <w:tcPr>
            <w:tcW w:w="1360" w:type="dxa"/>
            <w:vAlign w:val="bottom"/>
            <w:gridSpan w:val="2"/>
          </w:tcPr>
          <w:p>
            <w:pPr>
              <w:jc w:val="right"/>
              <w:spacing w:after="0"/>
              <w:rPr>
                <w:sz w:val="20"/>
                <w:szCs w:val="20"/>
                <w:color w:val="auto"/>
              </w:rPr>
            </w:pPr>
            <w:r>
              <w:rPr>
                <w:rFonts w:ascii="Arial" w:cs="Arial" w:eastAsia="Arial" w:hAnsi="Arial"/>
                <w:sz w:val="11"/>
                <w:szCs w:val="11"/>
                <w:color w:val="auto"/>
              </w:rPr>
              <w:t>4.7 %</w:t>
            </w:r>
          </w:p>
        </w:tc>
        <w:tc>
          <w:tcPr>
            <w:tcW w:w="0" w:type="dxa"/>
            <w:vAlign w:val="bottom"/>
          </w:tcPr>
          <w:p>
            <w:pPr>
              <w:spacing w:after="0"/>
              <w:rPr>
                <w:sz w:val="1"/>
                <w:szCs w:val="1"/>
                <w:color w:val="auto"/>
              </w:rPr>
            </w:pPr>
          </w:p>
        </w:tc>
      </w:tr>
      <w:tr>
        <w:trPr>
          <w:trHeight w:val="145"/>
        </w:trPr>
        <w:tc>
          <w:tcPr>
            <w:tcW w:w="7920" w:type="dxa"/>
            <w:vAlign w:val="bottom"/>
            <w:tcBorders>
              <w:left w:val="single" w:sz="8" w:color="CCEEFF"/>
            </w:tcBorders>
            <w:gridSpan w:val="6"/>
            <w:shd w:val="clear" w:color="auto" w:fill="CCEEFF"/>
          </w:tcPr>
          <w:p>
            <w:pPr>
              <w:ind w:left="20"/>
              <w:spacing w:after="0"/>
              <w:rPr>
                <w:sz w:val="20"/>
                <w:szCs w:val="20"/>
                <w:color w:val="auto"/>
              </w:rPr>
            </w:pPr>
            <w:r>
              <w:rPr>
                <w:rFonts w:ascii="Arial" w:cs="Arial" w:eastAsia="Arial" w:hAnsi="Arial"/>
                <w:sz w:val="11"/>
                <w:szCs w:val="11"/>
                <w:color w:val="auto"/>
              </w:rPr>
              <w:t>Available seat miles (millions)</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7,794</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7,963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(2.1) %</w:t>
            </w:r>
          </w:p>
        </w:tc>
        <w:tc>
          <w:tcPr>
            <w:tcW w:w="0" w:type="dxa"/>
            <w:vAlign w:val="bottom"/>
          </w:tcPr>
          <w:p>
            <w:pPr>
              <w:spacing w:after="0"/>
              <w:rPr>
                <w:sz w:val="1"/>
                <w:szCs w:val="1"/>
                <w:color w:val="auto"/>
              </w:rPr>
            </w:pPr>
          </w:p>
        </w:tc>
      </w:tr>
      <w:tr>
        <w:trPr>
          <w:trHeight w:val="143"/>
        </w:trPr>
        <w:tc>
          <w:tcPr>
            <w:tcW w:w="7920" w:type="dxa"/>
            <w:vAlign w:val="bottom"/>
            <w:gridSpan w:val="6"/>
          </w:tcPr>
          <w:p>
            <w:pPr>
              <w:ind w:left="20"/>
              <w:spacing w:after="0"/>
              <w:rPr>
                <w:sz w:val="20"/>
                <w:szCs w:val="20"/>
                <w:color w:val="auto"/>
              </w:rPr>
            </w:pPr>
            <w:r>
              <w:rPr>
                <w:rFonts w:ascii="Arial" w:cs="Arial" w:eastAsia="Arial" w:hAnsi="Arial"/>
                <w:sz w:val="11"/>
                <w:szCs w:val="11"/>
                <w:color w:val="auto"/>
              </w:rPr>
              <w:t>Passenger load factor (percent)</w:t>
            </w:r>
          </w:p>
        </w:tc>
        <w:tc>
          <w:tcPr>
            <w:tcW w:w="440" w:type="dxa"/>
            <w:vAlign w:val="bottom"/>
          </w:tcPr>
          <w:p>
            <w:pPr>
              <w:jc w:val="right"/>
              <w:spacing w:after="0"/>
              <w:rPr>
                <w:sz w:val="20"/>
                <w:szCs w:val="20"/>
                <w:color w:val="auto"/>
              </w:rPr>
            </w:pPr>
            <w:r>
              <w:rPr>
                <w:rFonts w:ascii="Arial" w:cs="Arial" w:eastAsia="Arial" w:hAnsi="Arial"/>
                <w:sz w:val="11"/>
                <w:szCs w:val="11"/>
                <w:color w:val="auto"/>
              </w:rPr>
              <w:t>79.7</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74.5</w:t>
            </w:r>
          </w:p>
        </w:tc>
        <w:tc>
          <w:tcPr>
            <w:tcW w:w="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5.2 pts</w:t>
            </w:r>
          </w:p>
        </w:tc>
        <w:tc>
          <w:tcPr>
            <w:tcW w:w="0" w:type="dxa"/>
            <w:vAlign w:val="bottom"/>
          </w:tcPr>
          <w:p>
            <w:pPr>
              <w:spacing w:after="0"/>
              <w:rPr>
                <w:sz w:val="1"/>
                <w:szCs w:val="1"/>
                <w:color w:val="auto"/>
              </w:rPr>
            </w:pPr>
          </w:p>
        </w:tc>
      </w:tr>
      <w:tr>
        <w:trPr>
          <w:trHeight w:val="145"/>
        </w:trPr>
        <w:tc>
          <w:tcPr>
            <w:tcW w:w="7920" w:type="dxa"/>
            <w:vAlign w:val="bottom"/>
            <w:tcBorders>
              <w:left w:val="single" w:sz="8" w:color="CCEEFF"/>
            </w:tcBorders>
            <w:gridSpan w:val="6"/>
            <w:shd w:val="clear" w:color="auto" w:fill="CCEEFF"/>
          </w:tcPr>
          <w:p>
            <w:pPr>
              <w:ind w:left="20"/>
              <w:spacing w:after="0"/>
              <w:rPr>
                <w:sz w:val="20"/>
                <w:szCs w:val="20"/>
                <w:color w:val="auto"/>
              </w:rPr>
            </w:pPr>
            <w:r>
              <w:rPr>
                <w:rFonts w:ascii="Arial" w:cs="Arial" w:eastAsia="Arial" w:hAnsi="Arial"/>
                <w:sz w:val="11"/>
                <w:szCs w:val="11"/>
                <w:color w:val="auto"/>
              </w:rPr>
              <w:t>Passenger revenue (dollars in millions)</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1,102</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14.2 %</w:t>
            </w:r>
          </w:p>
        </w:tc>
        <w:tc>
          <w:tcPr>
            <w:tcW w:w="0" w:type="dxa"/>
            <w:vAlign w:val="bottom"/>
          </w:tcPr>
          <w:p>
            <w:pPr>
              <w:spacing w:after="0"/>
              <w:rPr>
                <w:sz w:val="1"/>
                <w:szCs w:val="1"/>
                <w:color w:val="auto"/>
              </w:rPr>
            </w:pPr>
          </w:p>
        </w:tc>
      </w:tr>
      <w:tr>
        <w:trPr>
          <w:trHeight w:val="143"/>
        </w:trPr>
        <w:tc>
          <w:tcPr>
            <w:tcW w:w="7920" w:type="dxa"/>
            <w:vAlign w:val="bottom"/>
            <w:gridSpan w:val="6"/>
          </w:tcPr>
          <w:p>
            <w:pPr>
              <w:ind w:left="20"/>
              <w:spacing w:after="0"/>
              <w:rPr>
                <w:sz w:val="20"/>
                <w:szCs w:val="20"/>
                <w:color w:val="auto"/>
              </w:rPr>
            </w:pPr>
            <w:r>
              <w:rPr>
                <w:rFonts w:ascii="Arial" w:cs="Arial" w:eastAsia="Arial" w:hAnsi="Arial"/>
                <w:sz w:val="11"/>
                <w:szCs w:val="11"/>
                <w:color w:val="auto"/>
              </w:rPr>
              <w:t>Yield (cents)</w:t>
            </w:r>
          </w:p>
        </w:tc>
        <w:tc>
          <w:tcPr>
            <w:tcW w:w="440" w:type="dxa"/>
            <w:vAlign w:val="bottom"/>
          </w:tcPr>
          <w:p>
            <w:pPr>
              <w:jc w:val="right"/>
              <w:spacing w:after="0"/>
              <w:rPr>
                <w:sz w:val="20"/>
                <w:szCs w:val="20"/>
                <w:color w:val="auto"/>
              </w:rPr>
            </w:pPr>
            <w:r>
              <w:rPr>
                <w:rFonts w:ascii="Arial" w:cs="Arial" w:eastAsia="Arial" w:hAnsi="Arial"/>
                <w:sz w:val="11"/>
                <w:szCs w:val="11"/>
                <w:color w:val="auto"/>
              </w:rPr>
              <w:t>17.74</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16.27</w:t>
            </w:r>
          </w:p>
        </w:tc>
        <w:tc>
          <w:tcPr>
            <w:tcW w:w="1360" w:type="dxa"/>
            <w:vAlign w:val="bottom"/>
            <w:gridSpan w:val="2"/>
          </w:tcPr>
          <w:p>
            <w:pPr>
              <w:jc w:val="right"/>
              <w:spacing w:after="0"/>
              <w:rPr>
                <w:sz w:val="20"/>
                <w:szCs w:val="20"/>
                <w:color w:val="auto"/>
              </w:rPr>
            </w:pPr>
            <w:r>
              <w:rPr>
                <w:rFonts w:ascii="Arial" w:cs="Arial" w:eastAsia="Arial" w:hAnsi="Arial"/>
                <w:sz w:val="11"/>
                <w:szCs w:val="11"/>
                <w:color w:val="auto"/>
              </w:rPr>
              <w:t>9.1 %</w:t>
            </w:r>
          </w:p>
        </w:tc>
        <w:tc>
          <w:tcPr>
            <w:tcW w:w="0" w:type="dxa"/>
            <w:vAlign w:val="bottom"/>
          </w:tcPr>
          <w:p>
            <w:pPr>
              <w:spacing w:after="0"/>
              <w:rPr>
                <w:sz w:val="1"/>
                <w:szCs w:val="1"/>
                <w:color w:val="auto"/>
              </w:rPr>
            </w:pPr>
          </w:p>
        </w:tc>
      </w:tr>
      <w:tr>
        <w:trPr>
          <w:trHeight w:val="145"/>
        </w:trPr>
        <w:tc>
          <w:tcPr>
            <w:tcW w:w="7920" w:type="dxa"/>
            <w:vAlign w:val="bottom"/>
            <w:tcBorders>
              <w:left w:val="single" w:sz="8" w:color="CCEEFF"/>
            </w:tcBorders>
            <w:gridSpan w:val="6"/>
            <w:shd w:val="clear" w:color="auto" w:fill="CCEEFF"/>
          </w:tcPr>
          <w:p>
            <w:pPr>
              <w:ind w:left="20"/>
              <w:spacing w:after="0"/>
              <w:rPr>
                <w:sz w:val="20"/>
                <w:szCs w:val="20"/>
                <w:color w:val="auto"/>
              </w:rPr>
            </w:pPr>
            <w:r>
              <w:rPr>
                <w:rFonts w:ascii="Arial" w:cs="Arial" w:eastAsia="Arial" w:hAnsi="Arial"/>
                <w:sz w:val="11"/>
                <w:szCs w:val="11"/>
                <w:color w:val="auto"/>
              </w:rPr>
              <w:t>Passenger revenue per ASM (cents)</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14.14</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12.12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16.7 %</w:t>
            </w: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7920" w:type="dxa"/>
            <w:vAlign w:val="bottom"/>
            <w:tcBorders>
              <w:left w:val="single" w:sz="8" w:color="CCEEFF"/>
            </w:tcBorders>
            <w:gridSpan w:val="6"/>
            <w:shd w:val="clear" w:color="auto" w:fill="CCEEFF"/>
          </w:tcPr>
          <w:p>
            <w:pPr>
              <w:ind w:left="20"/>
              <w:spacing w:after="0" w:line="117" w:lineRule="exact"/>
              <w:rPr>
                <w:sz w:val="20"/>
                <w:szCs w:val="20"/>
                <w:color w:val="auto"/>
              </w:rPr>
            </w:pPr>
            <w:r>
              <w:rPr>
                <w:rFonts w:ascii="Arial" w:cs="Arial" w:eastAsia="Arial" w:hAnsi="Arial"/>
                <w:sz w:val="11"/>
                <w:szCs w:val="11"/>
                <w:b w:val="1"/>
                <w:bCs w:val="1"/>
                <w:color w:val="auto"/>
              </w:rPr>
              <w:t>Pacific</w:t>
            </w: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20" w:type="dxa"/>
            <w:vAlign w:val="bottom"/>
            <w:tcBorders>
              <w:left w:val="single" w:sz="8" w:color="CCEEFF"/>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7920" w:type="dxa"/>
            <w:vAlign w:val="bottom"/>
            <w:gridSpan w:val="6"/>
          </w:tcPr>
          <w:p>
            <w:pPr>
              <w:ind w:left="20"/>
              <w:spacing w:after="0"/>
              <w:rPr>
                <w:sz w:val="20"/>
                <w:szCs w:val="20"/>
                <w:color w:val="auto"/>
              </w:rPr>
            </w:pPr>
            <w:r>
              <w:rPr>
                <w:rFonts w:ascii="Arial" w:cs="Arial" w:eastAsia="Arial" w:hAnsi="Arial"/>
                <w:sz w:val="11"/>
                <w:szCs w:val="11"/>
                <w:color w:val="auto"/>
              </w:rPr>
              <w:t>Revenue passenger miles (millions)</w:t>
            </w:r>
          </w:p>
        </w:tc>
        <w:tc>
          <w:tcPr>
            <w:tcW w:w="440" w:type="dxa"/>
            <w:vAlign w:val="bottom"/>
          </w:tcPr>
          <w:p>
            <w:pPr>
              <w:jc w:val="right"/>
              <w:spacing w:after="0"/>
              <w:rPr>
                <w:sz w:val="20"/>
                <w:szCs w:val="20"/>
                <w:color w:val="auto"/>
              </w:rPr>
            </w:pPr>
            <w:r>
              <w:rPr>
                <w:rFonts w:ascii="Arial" w:cs="Arial" w:eastAsia="Arial" w:hAnsi="Arial"/>
                <w:sz w:val="11"/>
                <w:szCs w:val="11"/>
                <w:color w:val="auto"/>
              </w:rPr>
              <w:t>2,882</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2,707</w:t>
            </w:r>
          </w:p>
        </w:tc>
        <w:tc>
          <w:tcPr>
            <w:tcW w:w="1360" w:type="dxa"/>
            <w:vAlign w:val="bottom"/>
            <w:gridSpan w:val="2"/>
          </w:tcPr>
          <w:p>
            <w:pPr>
              <w:jc w:val="right"/>
              <w:spacing w:after="0"/>
              <w:rPr>
                <w:sz w:val="20"/>
                <w:szCs w:val="20"/>
                <w:color w:val="auto"/>
              </w:rPr>
            </w:pPr>
            <w:r>
              <w:rPr>
                <w:rFonts w:ascii="Arial" w:cs="Arial" w:eastAsia="Arial" w:hAnsi="Arial"/>
                <w:sz w:val="11"/>
                <w:szCs w:val="11"/>
                <w:color w:val="auto"/>
              </w:rPr>
              <w:t>6.5 %</w:t>
            </w:r>
          </w:p>
        </w:tc>
        <w:tc>
          <w:tcPr>
            <w:tcW w:w="0" w:type="dxa"/>
            <w:vAlign w:val="bottom"/>
          </w:tcPr>
          <w:p>
            <w:pPr>
              <w:spacing w:after="0"/>
              <w:rPr>
                <w:sz w:val="1"/>
                <w:szCs w:val="1"/>
                <w:color w:val="auto"/>
              </w:rPr>
            </w:pPr>
          </w:p>
        </w:tc>
      </w:tr>
      <w:tr>
        <w:trPr>
          <w:trHeight w:val="145"/>
        </w:trPr>
        <w:tc>
          <w:tcPr>
            <w:tcW w:w="7920" w:type="dxa"/>
            <w:vAlign w:val="bottom"/>
            <w:tcBorders>
              <w:left w:val="single" w:sz="8" w:color="CCEEFF"/>
            </w:tcBorders>
            <w:gridSpan w:val="6"/>
            <w:shd w:val="clear" w:color="auto" w:fill="CCEEFF"/>
          </w:tcPr>
          <w:p>
            <w:pPr>
              <w:ind w:left="20"/>
              <w:spacing w:after="0"/>
              <w:rPr>
                <w:sz w:val="20"/>
                <w:szCs w:val="20"/>
                <w:color w:val="auto"/>
              </w:rPr>
            </w:pPr>
            <w:r>
              <w:rPr>
                <w:rFonts w:ascii="Arial" w:cs="Arial" w:eastAsia="Arial" w:hAnsi="Arial"/>
                <w:sz w:val="11"/>
                <w:szCs w:val="11"/>
                <w:color w:val="auto"/>
              </w:rPr>
              <w:t>Available seat miles (millions)</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3,398</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3,268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4.0 %</w:t>
            </w:r>
          </w:p>
        </w:tc>
        <w:tc>
          <w:tcPr>
            <w:tcW w:w="0" w:type="dxa"/>
            <w:vAlign w:val="bottom"/>
          </w:tcPr>
          <w:p>
            <w:pPr>
              <w:spacing w:after="0"/>
              <w:rPr>
                <w:sz w:val="1"/>
                <w:szCs w:val="1"/>
                <w:color w:val="auto"/>
              </w:rPr>
            </w:pPr>
          </w:p>
        </w:tc>
      </w:tr>
      <w:tr>
        <w:trPr>
          <w:trHeight w:val="143"/>
        </w:trPr>
        <w:tc>
          <w:tcPr>
            <w:tcW w:w="7920" w:type="dxa"/>
            <w:vAlign w:val="bottom"/>
            <w:gridSpan w:val="6"/>
          </w:tcPr>
          <w:p>
            <w:pPr>
              <w:ind w:left="20"/>
              <w:spacing w:after="0"/>
              <w:rPr>
                <w:sz w:val="20"/>
                <w:szCs w:val="20"/>
                <w:color w:val="auto"/>
              </w:rPr>
            </w:pPr>
            <w:r>
              <w:rPr>
                <w:rFonts w:ascii="Arial" w:cs="Arial" w:eastAsia="Arial" w:hAnsi="Arial"/>
                <w:sz w:val="11"/>
                <w:szCs w:val="11"/>
                <w:color w:val="auto"/>
              </w:rPr>
              <w:t>Passenger load factor (percent)</w:t>
            </w:r>
          </w:p>
        </w:tc>
        <w:tc>
          <w:tcPr>
            <w:tcW w:w="440" w:type="dxa"/>
            <w:vAlign w:val="bottom"/>
          </w:tcPr>
          <w:p>
            <w:pPr>
              <w:jc w:val="right"/>
              <w:spacing w:after="0"/>
              <w:rPr>
                <w:sz w:val="20"/>
                <w:szCs w:val="20"/>
                <w:color w:val="auto"/>
              </w:rPr>
            </w:pPr>
            <w:r>
              <w:rPr>
                <w:rFonts w:ascii="Arial" w:cs="Arial" w:eastAsia="Arial" w:hAnsi="Arial"/>
                <w:sz w:val="11"/>
                <w:szCs w:val="11"/>
                <w:color w:val="auto"/>
              </w:rPr>
              <w:t>84.8</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82.8</w:t>
            </w:r>
          </w:p>
        </w:tc>
        <w:tc>
          <w:tcPr>
            <w:tcW w:w="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2.0 pts</w:t>
            </w:r>
          </w:p>
        </w:tc>
        <w:tc>
          <w:tcPr>
            <w:tcW w:w="0" w:type="dxa"/>
            <w:vAlign w:val="bottom"/>
          </w:tcPr>
          <w:p>
            <w:pPr>
              <w:spacing w:after="0"/>
              <w:rPr>
                <w:sz w:val="1"/>
                <w:szCs w:val="1"/>
                <w:color w:val="auto"/>
              </w:rPr>
            </w:pPr>
          </w:p>
        </w:tc>
      </w:tr>
      <w:tr>
        <w:trPr>
          <w:trHeight w:val="145"/>
        </w:trPr>
        <w:tc>
          <w:tcPr>
            <w:tcW w:w="7920" w:type="dxa"/>
            <w:vAlign w:val="bottom"/>
            <w:tcBorders>
              <w:left w:val="single" w:sz="8" w:color="CCEEFF"/>
            </w:tcBorders>
            <w:gridSpan w:val="6"/>
            <w:shd w:val="clear" w:color="auto" w:fill="CCEEFF"/>
          </w:tcPr>
          <w:p>
            <w:pPr>
              <w:ind w:left="20"/>
              <w:spacing w:after="0"/>
              <w:rPr>
                <w:sz w:val="20"/>
                <w:szCs w:val="20"/>
                <w:color w:val="auto"/>
              </w:rPr>
            </w:pPr>
            <w:r>
              <w:rPr>
                <w:rFonts w:ascii="Arial" w:cs="Arial" w:eastAsia="Arial" w:hAnsi="Arial"/>
                <w:sz w:val="11"/>
                <w:szCs w:val="11"/>
                <w:color w:val="auto"/>
              </w:rPr>
              <w:t>Passenger revenue (dollars in millions)</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440</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12.1 %</w:t>
            </w:r>
          </w:p>
        </w:tc>
        <w:tc>
          <w:tcPr>
            <w:tcW w:w="0" w:type="dxa"/>
            <w:vAlign w:val="bottom"/>
          </w:tcPr>
          <w:p>
            <w:pPr>
              <w:spacing w:after="0"/>
              <w:rPr>
                <w:sz w:val="1"/>
                <w:szCs w:val="1"/>
                <w:color w:val="auto"/>
              </w:rPr>
            </w:pPr>
          </w:p>
        </w:tc>
      </w:tr>
      <w:tr>
        <w:trPr>
          <w:trHeight w:val="143"/>
        </w:trPr>
        <w:tc>
          <w:tcPr>
            <w:tcW w:w="7920" w:type="dxa"/>
            <w:vAlign w:val="bottom"/>
            <w:gridSpan w:val="6"/>
          </w:tcPr>
          <w:p>
            <w:pPr>
              <w:ind w:left="20"/>
              <w:spacing w:after="0"/>
              <w:rPr>
                <w:sz w:val="20"/>
                <w:szCs w:val="20"/>
                <w:color w:val="auto"/>
              </w:rPr>
            </w:pPr>
            <w:r>
              <w:rPr>
                <w:rFonts w:ascii="Arial" w:cs="Arial" w:eastAsia="Arial" w:hAnsi="Arial"/>
                <w:sz w:val="11"/>
                <w:szCs w:val="11"/>
                <w:color w:val="auto"/>
              </w:rPr>
              <w:t>Yield (cents)</w:t>
            </w:r>
          </w:p>
        </w:tc>
        <w:tc>
          <w:tcPr>
            <w:tcW w:w="440" w:type="dxa"/>
            <w:vAlign w:val="bottom"/>
          </w:tcPr>
          <w:p>
            <w:pPr>
              <w:jc w:val="right"/>
              <w:spacing w:after="0"/>
              <w:rPr>
                <w:sz w:val="20"/>
                <w:szCs w:val="20"/>
                <w:color w:val="auto"/>
              </w:rPr>
            </w:pPr>
            <w:r>
              <w:rPr>
                <w:rFonts w:ascii="Arial" w:cs="Arial" w:eastAsia="Arial" w:hAnsi="Arial"/>
                <w:sz w:val="11"/>
                <w:szCs w:val="11"/>
                <w:color w:val="auto"/>
              </w:rPr>
              <w:t>15.28</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14.51</w:t>
            </w:r>
          </w:p>
        </w:tc>
        <w:tc>
          <w:tcPr>
            <w:tcW w:w="1360" w:type="dxa"/>
            <w:vAlign w:val="bottom"/>
            <w:gridSpan w:val="2"/>
          </w:tcPr>
          <w:p>
            <w:pPr>
              <w:jc w:val="right"/>
              <w:spacing w:after="0"/>
              <w:rPr>
                <w:sz w:val="20"/>
                <w:szCs w:val="20"/>
                <w:color w:val="auto"/>
              </w:rPr>
            </w:pPr>
            <w:r>
              <w:rPr>
                <w:rFonts w:ascii="Arial" w:cs="Arial" w:eastAsia="Arial" w:hAnsi="Arial"/>
                <w:sz w:val="11"/>
                <w:szCs w:val="11"/>
                <w:color w:val="auto"/>
              </w:rPr>
              <w:t>5.3 %</w:t>
            </w:r>
          </w:p>
        </w:tc>
        <w:tc>
          <w:tcPr>
            <w:tcW w:w="0" w:type="dxa"/>
            <w:vAlign w:val="bottom"/>
          </w:tcPr>
          <w:p>
            <w:pPr>
              <w:spacing w:after="0"/>
              <w:rPr>
                <w:sz w:val="1"/>
                <w:szCs w:val="1"/>
                <w:color w:val="auto"/>
              </w:rPr>
            </w:pPr>
          </w:p>
        </w:tc>
      </w:tr>
      <w:tr>
        <w:trPr>
          <w:trHeight w:val="145"/>
        </w:trPr>
        <w:tc>
          <w:tcPr>
            <w:tcW w:w="7920" w:type="dxa"/>
            <w:vAlign w:val="bottom"/>
            <w:tcBorders>
              <w:left w:val="single" w:sz="8" w:color="CCEEFF"/>
            </w:tcBorders>
            <w:gridSpan w:val="6"/>
            <w:shd w:val="clear" w:color="auto" w:fill="CCEEFF"/>
          </w:tcPr>
          <w:p>
            <w:pPr>
              <w:ind w:left="20"/>
              <w:spacing w:after="0"/>
              <w:rPr>
                <w:sz w:val="20"/>
                <w:szCs w:val="20"/>
                <w:color w:val="auto"/>
              </w:rPr>
            </w:pPr>
            <w:r>
              <w:rPr>
                <w:rFonts w:ascii="Arial" w:cs="Arial" w:eastAsia="Arial" w:hAnsi="Arial"/>
                <w:sz w:val="11"/>
                <w:szCs w:val="11"/>
                <w:color w:val="auto"/>
              </w:rPr>
              <w:t>Passenger revenue per ASM (cents)</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12.96</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7.8 %</w:t>
            </w: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7920" w:type="dxa"/>
            <w:vAlign w:val="bottom"/>
            <w:tcBorders>
              <w:left w:val="single" w:sz="8" w:color="CCEEFF"/>
            </w:tcBorders>
            <w:gridSpan w:val="6"/>
            <w:shd w:val="clear" w:color="auto" w:fill="CCEEFF"/>
          </w:tcPr>
          <w:p>
            <w:pPr>
              <w:ind w:left="20"/>
              <w:spacing w:after="0" w:line="117" w:lineRule="exact"/>
              <w:rPr>
                <w:sz w:val="20"/>
                <w:szCs w:val="20"/>
                <w:color w:val="auto"/>
              </w:rPr>
            </w:pPr>
            <w:r>
              <w:rPr>
                <w:rFonts w:ascii="Arial" w:cs="Arial" w:eastAsia="Arial" w:hAnsi="Arial"/>
                <w:sz w:val="11"/>
                <w:szCs w:val="11"/>
                <w:b w:val="1"/>
                <w:bCs w:val="1"/>
                <w:color w:val="auto"/>
              </w:rPr>
              <w:t>Total International</w:t>
            </w: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20" w:type="dxa"/>
            <w:vAlign w:val="bottom"/>
            <w:tcBorders>
              <w:left w:val="single" w:sz="8" w:color="CCEEFF"/>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7920" w:type="dxa"/>
            <w:vAlign w:val="bottom"/>
            <w:gridSpan w:val="6"/>
          </w:tcPr>
          <w:p>
            <w:pPr>
              <w:ind w:left="20"/>
              <w:spacing w:after="0"/>
              <w:rPr>
                <w:sz w:val="20"/>
                <w:szCs w:val="20"/>
                <w:color w:val="auto"/>
              </w:rPr>
            </w:pPr>
            <w:r>
              <w:rPr>
                <w:rFonts w:ascii="Arial" w:cs="Arial" w:eastAsia="Arial" w:hAnsi="Arial"/>
                <w:sz w:val="11"/>
                <w:szCs w:val="11"/>
                <w:color w:val="auto"/>
              </w:rPr>
              <w:t>Revenue passenger miles (millions)</w:t>
            </w:r>
          </w:p>
        </w:tc>
        <w:tc>
          <w:tcPr>
            <w:tcW w:w="440" w:type="dxa"/>
            <w:vAlign w:val="bottom"/>
          </w:tcPr>
          <w:p>
            <w:pPr>
              <w:jc w:val="right"/>
              <w:spacing w:after="0"/>
              <w:rPr>
                <w:sz w:val="20"/>
                <w:szCs w:val="20"/>
                <w:color w:val="auto"/>
              </w:rPr>
            </w:pPr>
            <w:r>
              <w:rPr>
                <w:rFonts w:ascii="Arial" w:cs="Arial" w:eastAsia="Arial" w:hAnsi="Arial"/>
                <w:sz w:val="11"/>
                <w:szCs w:val="11"/>
                <w:color w:val="auto"/>
              </w:rPr>
              <w:t>19,384</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18,663</w:t>
            </w:r>
          </w:p>
        </w:tc>
        <w:tc>
          <w:tcPr>
            <w:tcW w:w="1360" w:type="dxa"/>
            <w:vAlign w:val="bottom"/>
            <w:gridSpan w:val="2"/>
          </w:tcPr>
          <w:p>
            <w:pPr>
              <w:jc w:val="right"/>
              <w:spacing w:after="0"/>
              <w:rPr>
                <w:sz w:val="20"/>
                <w:szCs w:val="20"/>
                <w:color w:val="auto"/>
              </w:rPr>
            </w:pPr>
            <w:r>
              <w:rPr>
                <w:rFonts w:ascii="Arial" w:cs="Arial" w:eastAsia="Arial" w:hAnsi="Arial"/>
                <w:sz w:val="11"/>
                <w:szCs w:val="11"/>
                <w:color w:val="auto"/>
              </w:rPr>
              <w:t>3.9 %</w:t>
            </w:r>
          </w:p>
        </w:tc>
        <w:tc>
          <w:tcPr>
            <w:tcW w:w="0" w:type="dxa"/>
            <w:vAlign w:val="bottom"/>
          </w:tcPr>
          <w:p>
            <w:pPr>
              <w:spacing w:after="0"/>
              <w:rPr>
                <w:sz w:val="1"/>
                <w:szCs w:val="1"/>
                <w:color w:val="auto"/>
              </w:rPr>
            </w:pPr>
          </w:p>
        </w:tc>
      </w:tr>
      <w:tr>
        <w:trPr>
          <w:trHeight w:val="145"/>
        </w:trPr>
        <w:tc>
          <w:tcPr>
            <w:tcW w:w="7920" w:type="dxa"/>
            <w:vAlign w:val="bottom"/>
            <w:tcBorders>
              <w:left w:val="single" w:sz="8" w:color="CCEEFF"/>
            </w:tcBorders>
            <w:gridSpan w:val="6"/>
            <w:shd w:val="clear" w:color="auto" w:fill="CCEEFF"/>
          </w:tcPr>
          <w:p>
            <w:pPr>
              <w:ind w:left="20"/>
              <w:spacing w:after="0"/>
              <w:rPr>
                <w:sz w:val="20"/>
                <w:szCs w:val="20"/>
                <w:color w:val="auto"/>
              </w:rPr>
            </w:pPr>
            <w:r>
              <w:rPr>
                <w:rFonts w:ascii="Arial" w:cs="Arial" w:eastAsia="Arial" w:hAnsi="Arial"/>
                <w:sz w:val="11"/>
                <w:szCs w:val="11"/>
                <w:color w:val="auto"/>
              </w:rPr>
              <w:t>Available seat miles (millions)</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23,595</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23,235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1.5 %</w:t>
            </w:r>
          </w:p>
        </w:tc>
        <w:tc>
          <w:tcPr>
            <w:tcW w:w="0" w:type="dxa"/>
            <w:vAlign w:val="bottom"/>
          </w:tcPr>
          <w:p>
            <w:pPr>
              <w:spacing w:after="0"/>
              <w:rPr>
                <w:sz w:val="1"/>
                <w:szCs w:val="1"/>
                <w:color w:val="auto"/>
              </w:rPr>
            </w:pPr>
          </w:p>
        </w:tc>
      </w:tr>
      <w:tr>
        <w:trPr>
          <w:trHeight w:val="143"/>
        </w:trPr>
        <w:tc>
          <w:tcPr>
            <w:tcW w:w="7920" w:type="dxa"/>
            <w:vAlign w:val="bottom"/>
            <w:gridSpan w:val="6"/>
          </w:tcPr>
          <w:p>
            <w:pPr>
              <w:ind w:left="20"/>
              <w:spacing w:after="0"/>
              <w:rPr>
                <w:sz w:val="20"/>
                <w:szCs w:val="20"/>
                <w:color w:val="auto"/>
              </w:rPr>
            </w:pPr>
            <w:r>
              <w:rPr>
                <w:rFonts w:ascii="Arial" w:cs="Arial" w:eastAsia="Arial" w:hAnsi="Arial"/>
                <w:sz w:val="11"/>
                <w:szCs w:val="11"/>
                <w:color w:val="auto"/>
              </w:rPr>
              <w:t>Passenger load factor (percent)</w:t>
            </w:r>
          </w:p>
        </w:tc>
        <w:tc>
          <w:tcPr>
            <w:tcW w:w="440" w:type="dxa"/>
            <w:vAlign w:val="bottom"/>
          </w:tcPr>
          <w:p>
            <w:pPr>
              <w:jc w:val="right"/>
              <w:spacing w:after="0"/>
              <w:rPr>
                <w:sz w:val="20"/>
                <w:szCs w:val="20"/>
                <w:color w:val="auto"/>
              </w:rPr>
            </w:pPr>
            <w:r>
              <w:rPr>
                <w:rFonts w:ascii="Arial" w:cs="Arial" w:eastAsia="Arial" w:hAnsi="Arial"/>
                <w:sz w:val="11"/>
                <w:szCs w:val="11"/>
                <w:color w:val="auto"/>
              </w:rPr>
              <w:t>82.2</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80.3</w:t>
            </w:r>
          </w:p>
        </w:tc>
        <w:tc>
          <w:tcPr>
            <w:tcW w:w="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1.9 pts</w:t>
            </w:r>
          </w:p>
        </w:tc>
        <w:tc>
          <w:tcPr>
            <w:tcW w:w="0" w:type="dxa"/>
            <w:vAlign w:val="bottom"/>
          </w:tcPr>
          <w:p>
            <w:pPr>
              <w:spacing w:after="0"/>
              <w:rPr>
                <w:sz w:val="1"/>
                <w:szCs w:val="1"/>
                <w:color w:val="auto"/>
              </w:rPr>
            </w:pPr>
          </w:p>
        </w:tc>
      </w:tr>
      <w:tr>
        <w:trPr>
          <w:trHeight w:val="145"/>
        </w:trPr>
        <w:tc>
          <w:tcPr>
            <w:tcW w:w="7920" w:type="dxa"/>
            <w:vAlign w:val="bottom"/>
            <w:tcBorders>
              <w:left w:val="single" w:sz="8" w:color="CCEEFF"/>
            </w:tcBorders>
            <w:gridSpan w:val="6"/>
            <w:shd w:val="clear" w:color="auto" w:fill="CCEEFF"/>
          </w:tcPr>
          <w:p>
            <w:pPr>
              <w:ind w:left="20"/>
              <w:spacing w:after="0"/>
              <w:rPr>
                <w:sz w:val="20"/>
                <w:szCs w:val="20"/>
                <w:color w:val="auto"/>
              </w:rPr>
            </w:pPr>
            <w:r>
              <w:rPr>
                <w:rFonts w:ascii="Arial" w:cs="Arial" w:eastAsia="Arial" w:hAnsi="Arial"/>
                <w:sz w:val="11"/>
                <w:szCs w:val="11"/>
                <w:color w:val="auto"/>
              </w:rPr>
              <w:t>Passenger revenue (dollars in millions)</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3,505</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3,264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7.4 %</w:t>
            </w:r>
          </w:p>
        </w:tc>
        <w:tc>
          <w:tcPr>
            <w:tcW w:w="0" w:type="dxa"/>
            <w:vAlign w:val="bottom"/>
          </w:tcPr>
          <w:p>
            <w:pPr>
              <w:spacing w:after="0"/>
              <w:rPr>
                <w:sz w:val="1"/>
                <w:szCs w:val="1"/>
                <w:color w:val="auto"/>
              </w:rPr>
            </w:pPr>
          </w:p>
        </w:tc>
      </w:tr>
      <w:tr>
        <w:trPr>
          <w:trHeight w:val="143"/>
        </w:trPr>
        <w:tc>
          <w:tcPr>
            <w:tcW w:w="7920" w:type="dxa"/>
            <w:vAlign w:val="bottom"/>
            <w:gridSpan w:val="6"/>
          </w:tcPr>
          <w:p>
            <w:pPr>
              <w:ind w:left="20"/>
              <w:spacing w:after="0"/>
              <w:rPr>
                <w:sz w:val="20"/>
                <w:szCs w:val="20"/>
                <w:color w:val="auto"/>
              </w:rPr>
            </w:pPr>
            <w:r>
              <w:rPr>
                <w:rFonts w:ascii="Arial" w:cs="Arial" w:eastAsia="Arial" w:hAnsi="Arial"/>
                <w:sz w:val="11"/>
                <w:szCs w:val="11"/>
                <w:color w:val="auto"/>
              </w:rPr>
              <w:t>Yield (cents)</w:t>
            </w:r>
          </w:p>
        </w:tc>
        <w:tc>
          <w:tcPr>
            <w:tcW w:w="440" w:type="dxa"/>
            <w:vAlign w:val="bottom"/>
          </w:tcPr>
          <w:p>
            <w:pPr>
              <w:jc w:val="right"/>
              <w:spacing w:after="0"/>
              <w:rPr>
                <w:sz w:val="20"/>
                <w:szCs w:val="20"/>
                <w:color w:val="auto"/>
              </w:rPr>
            </w:pPr>
            <w:r>
              <w:rPr>
                <w:rFonts w:ascii="Arial" w:cs="Arial" w:eastAsia="Arial" w:hAnsi="Arial"/>
                <w:sz w:val="11"/>
                <w:szCs w:val="11"/>
                <w:color w:val="auto"/>
              </w:rPr>
              <w:t>18.08</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17.49</w:t>
            </w:r>
          </w:p>
        </w:tc>
        <w:tc>
          <w:tcPr>
            <w:tcW w:w="1360" w:type="dxa"/>
            <w:vAlign w:val="bottom"/>
            <w:gridSpan w:val="2"/>
          </w:tcPr>
          <w:p>
            <w:pPr>
              <w:jc w:val="right"/>
              <w:spacing w:after="0"/>
              <w:rPr>
                <w:sz w:val="20"/>
                <w:szCs w:val="20"/>
                <w:color w:val="auto"/>
              </w:rPr>
            </w:pPr>
            <w:r>
              <w:rPr>
                <w:rFonts w:ascii="Arial" w:cs="Arial" w:eastAsia="Arial" w:hAnsi="Arial"/>
                <w:sz w:val="11"/>
                <w:szCs w:val="11"/>
                <w:color w:val="auto"/>
              </w:rPr>
              <w:t>3.4 %</w:t>
            </w:r>
          </w:p>
        </w:tc>
        <w:tc>
          <w:tcPr>
            <w:tcW w:w="0" w:type="dxa"/>
            <w:vAlign w:val="bottom"/>
          </w:tcPr>
          <w:p>
            <w:pPr>
              <w:spacing w:after="0"/>
              <w:rPr>
                <w:sz w:val="1"/>
                <w:szCs w:val="1"/>
                <w:color w:val="auto"/>
              </w:rPr>
            </w:pPr>
          </w:p>
        </w:tc>
      </w:tr>
      <w:tr>
        <w:trPr>
          <w:trHeight w:val="145"/>
        </w:trPr>
        <w:tc>
          <w:tcPr>
            <w:tcW w:w="7920" w:type="dxa"/>
            <w:vAlign w:val="bottom"/>
            <w:tcBorders>
              <w:left w:val="single" w:sz="8" w:color="CCEEFF"/>
            </w:tcBorders>
            <w:gridSpan w:val="6"/>
            <w:shd w:val="clear" w:color="auto" w:fill="CCEEFF"/>
          </w:tcPr>
          <w:p>
            <w:pPr>
              <w:ind w:left="20"/>
              <w:spacing w:after="0"/>
              <w:rPr>
                <w:sz w:val="20"/>
                <w:szCs w:val="20"/>
                <w:color w:val="auto"/>
              </w:rPr>
            </w:pPr>
            <w:r>
              <w:rPr>
                <w:rFonts w:ascii="Arial" w:cs="Arial" w:eastAsia="Arial" w:hAnsi="Arial"/>
                <w:sz w:val="11"/>
                <w:szCs w:val="11"/>
                <w:color w:val="auto"/>
              </w:rPr>
              <w:t>Passenger revenue per ASM (cents)</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14.85</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14.05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5.7 %</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Note: Amounts may not recalculate due to rounding.</w:t>
      </w:r>
    </w:p>
    <w:p>
      <w:pPr>
        <w:spacing w:after="0" w:line="52" w:lineRule="exact"/>
        <w:rPr>
          <w:sz w:val="20"/>
          <w:szCs w:val="20"/>
          <w:color w:val="auto"/>
        </w:rPr>
      </w:pPr>
    </w:p>
    <w:p>
      <w:pPr>
        <w:ind w:left="208" w:hanging="208"/>
        <w:spacing w:after="0"/>
        <w:tabs>
          <w:tab w:leader="none" w:pos="208" w:val="left"/>
        </w:tabs>
        <w:numPr>
          <w:ilvl w:val="0"/>
          <w:numId w:val="10"/>
        </w:numPr>
        <w:rPr>
          <w:rFonts w:ascii="Arial" w:cs="Arial" w:eastAsia="Arial" w:hAnsi="Arial"/>
          <w:sz w:val="14"/>
          <w:szCs w:val="14"/>
          <w:color w:val="auto"/>
          <w:vertAlign w:val="superscript"/>
        </w:rPr>
      </w:pPr>
      <w:r>
        <w:rPr>
          <w:rFonts w:ascii="Arial" w:cs="Arial" w:eastAsia="Arial" w:hAnsi="Arial"/>
          <w:sz w:val="11"/>
          <w:szCs w:val="11"/>
          <w:color w:val="auto"/>
        </w:rPr>
        <w:t>Domestic results include Canada, Puerto Rico and U.S. Virgin Islands.</w:t>
      </w:r>
    </w:p>
    <w:p>
      <w:pPr>
        <w:spacing w:after="0" w:line="39" w:lineRule="exact"/>
        <w:rPr>
          <w:rFonts w:ascii="Arial" w:cs="Arial" w:eastAsia="Arial" w:hAnsi="Arial"/>
          <w:sz w:val="14"/>
          <w:szCs w:val="14"/>
          <w:color w:val="auto"/>
          <w:vertAlign w:val="superscript"/>
        </w:rPr>
      </w:pPr>
    </w:p>
    <w:p>
      <w:pPr>
        <w:ind w:left="208" w:hanging="208"/>
        <w:spacing w:after="0" w:line="196" w:lineRule="auto"/>
        <w:tabs>
          <w:tab w:leader="none" w:pos="208" w:val="left"/>
        </w:tabs>
        <w:numPr>
          <w:ilvl w:val="0"/>
          <w:numId w:val="10"/>
        </w:numPr>
        <w:rPr>
          <w:rFonts w:ascii="Arial" w:cs="Arial" w:eastAsia="Arial" w:hAnsi="Arial"/>
          <w:sz w:val="14"/>
          <w:szCs w:val="14"/>
          <w:color w:val="auto"/>
          <w:vertAlign w:val="superscript"/>
        </w:rPr>
      </w:pPr>
      <w:r>
        <w:rPr>
          <w:rFonts w:ascii="Arial" w:cs="Arial" w:eastAsia="Arial" w:hAnsi="Arial"/>
          <w:sz w:val="11"/>
          <w:szCs w:val="11"/>
          <w:color w:val="auto"/>
        </w:rPr>
        <w:t>Latin America results include the Caribbean.</w:t>
      </w:r>
    </w:p>
    <w:p>
      <w:pPr>
        <w:sectPr>
          <w:pgSz w:w="11900" w:h="16838" w:orient="portrait"/>
          <w:cols w:equalWidth="0" w:num="1">
            <w:col w:w="11188"/>
          </w:cols>
          <w:pgMar w:left="292" w:top="128" w:right="419" w:bottom="1440" w:gutter="0" w:footer="0" w:header="0"/>
        </w:sectPr>
      </w:pPr>
    </w:p>
    <w:bookmarkStart w:id="12" w:name="page13"/>
    <w:bookmarkEnd w:id="12"/>
    <w:p>
      <w:pPr>
        <w:ind w:left="8"/>
        <w:spacing w:after="0"/>
        <w:rPr>
          <w:sz w:val="20"/>
          <w:szCs w:val="20"/>
          <w:color w:val="auto"/>
        </w:rPr>
      </w:pPr>
      <w:r>
        <w:rPr>
          <w:rFonts w:ascii="Arial" w:cs="Arial" w:eastAsia="Arial" w:hAnsi="Arial"/>
          <w:sz w:val="12"/>
          <w:szCs w:val="12"/>
          <w:b w:val="1"/>
          <w:bCs w:val="1"/>
          <w:color w:val="auto"/>
        </w:rPr>
        <w:t>American Airlines Reports First-Quarter 2026 Financial Results</w:t>
      </w:r>
    </w:p>
    <w:p>
      <w:pPr>
        <w:spacing w:after="0" w:line="17" w:lineRule="exact"/>
        <w:rPr>
          <w:sz w:val="20"/>
          <w:szCs w:val="20"/>
          <w:color w:val="auto"/>
        </w:rPr>
      </w:pPr>
    </w:p>
    <w:p>
      <w:pPr>
        <w:ind w:left="8"/>
        <w:spacing w:after="0"/>
        <w:rPr>
          <w:sz w:val="20"/>
          <w:szCs w:val="20"/>
          <w:color w:val="auto"/>
        </w:rPr>
      </w:pPr>
      <w:r>
        <w:rPr>
          <w:rFonts w:ascii="Arial" w:cs="Arial" w:eastAsia="Arial" w:hAnsi="Arial"/>
          <w:sz w:val="12"/>
          <w:szCs w:val="12"/>
          <w:color w:val="auto"/>
        </w:rPr>
        <w:t>April 23, 2026</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Page 10</w:t>
      </w:r>
    </w:p>
    <w:p>
      <w:pPr>
        <w:spacing w:after="0" w:line="216"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Reconciliation of GAAP Financial Information to Non-GAAP Financial Information</w:t>
      </w:r>
    </w:p>
    <w:p>
      <w:pPr>
        <w:spacing w:after="0" w:line="58" w:lineRule="exact"/>
        <w:rPr>
          <w:sz w:val="20"/>
          <w:szCs w:val="20"/>
          <w:color w:val="auto"/>
        </w:rPr>
      </w:pPr>
    </w:p>
    <w:p>
      <w:pPr>
        <w:jc w:val="both"/>
        <w:ind w:left="8"/>
        <w:spacing w:after="0" w:line="244" w:lineRule="auto"/>
        <w:rPr>
          <w:sz w:val="20"/>
          <w:szCs w:val="20"/>
          <w:color w:val="auto"/>
        </w:rPr>
      </w:pPr>
      <w:r>
        <w:rPr>
          <w:rFonts w:ascii="Arial" w:cs="Arial" w:eastAsia="Arial" w:hAnsi="Arial"/>
          <w:sz w:val="10"/>
          <w:szCs w:val="10"/>
          <w:color w:val="auto"/>
        </w:rPr>
        <w:t>American Airlines Group Inc. (the Company) sometimes uses financial measures that are derived from the condensed consolidated financial statements but that are not presented in accordance with GAAP to understand and evaluate its current operating performance and to allow for period-to-period comparisons. The Company believes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The Company is providing a reconciliation of reported non-GAAP financial measures to their comparable financial measures on a GAAP basis.</w:t>
      </w:r>
    </w:p>
    <w:p>
      <w:pPr>
        <w:spacing w:after="0" w:line="45" w:lineRule="exact"/>
        <w:rPr>
          <w:sz w:val="20"/>
          <w:szCs w:val="20"/>
          <w:color w:val="auto"/>
        </w:rPr>
      </w:pPr>
    </w:p>
    <w:p>
      <w:pPr>
        <w:ind w:left="8"/>
        <w:spacing w:after="0"/>
        <w:rPr>
          <w:sz w:val="20"/>
          <w:szCs w:val="20"/>
          <w:color w:val="auto"/>
        </w:rPr>
      </w:pPr>
      <w:r>
        <w:rPr>
          <w:rFonts w:ascii="Arial" w:cs="Arial" w:eastAsia="Arial" w:hAnsi="Arial"/>
          <w:sz w:val="10"/>
          <w:szCs w:val="10"/>
          <w:color w:val="auto"/>
        </w:rPr>
        <w:t>The tables below present the reconciliations of the following GAAP measures to their non-GAAP measures:</w:t>
      </w:r>
    </w:p>
    <w:p>
      <w:pPr>
        <w:spacing w:after="0" w:line="56" w:lineRule="exact"/>
        <w:rPr>
          <w:sz w:val="20"/>
          <w:szCs w:val="20"/>
          <w:color w:val="auto"/>
        </w:rPr>
      </w:pPr>
    </w:p>
    <w:p>
      <w:pPr>
        <w:ind w:left="68" w:hanging="68"/>
        <w:spacing w:after="0"/>
        <w:tabs>
          <w:tab w:leader="none" w:pos="68" w:val="left"/>
        </w:tabs>
        <w:numPr>
          <w:ilvl w:val="0"/>
          <w:numId w:val="11"/>
        </w:numPr>
        <w:rPr>
          <w:rFonts w:ascii="Arial" w:cs="Arial" w:eastAsia="Arial" w:hAnsi="Arial"/>
          <w:sz w:val="10"/>
          <w:szCs w:val="10"/>
          <w:color w:val="auto"/>
        </w:rPr>
      </w:pPr>
      <w:r>
        <w:rPr>
          <w:rFonts w:ascii="Arial" w:cs="Arial" w:eastAsia="Arial" w:hAnsi="Arial"/>
          <w:sz w:val="10"/>
          <w:szCs w:val="10"/>
          <w:color w:val="auto"/>
        </w:rPr>
        <w:t>Operating Loss (GAAP measure) to Operating Loss Excluding Net Special Items (non-GAAP measure)</w:t>
      </w:r>
    </w:p>
    <w:p>
      <w:pPr>
        <w:spacing w:after="0" w:line="9" w:lineRule="exact"/>
        <w:rPr>
          <w:rFonts w:ascii="Arial" w:cs="Arial" w:eastAsia="Arial" w:hAnsi="Arial"/>
          <w:sz w:val="10"/>
          <w:szCs w:val="10"/>
          <w:color w:val="auto"/>
        </w:rPr>
      </w:pPr>
    </w:p>
    <w:p>
      <w:pPr>
        <w:ind w:left="68" w:hanging="68"/>
        <w:spacing w:after="0" w:line="225" w:lineRule="auto"/>
        <w:tabs>
          <w:tab w:leader="none" w:pos="68" w:val="left"/>
        </w:tabs>
        <w:numPr>
          <w:ilvl w:val="0"/>
          <w:numId w:val="11"/>
        </w:numPr>
        <w:rPr>
          <w:rFonts w:ascii="Arial" w:cs="Arial" w:eastAsia="Arial" w:hAnsi="Arial"/>
          <w:sz w:val="10"/>
          <w:szCs w:val="10"/>
          <w:color w:val="auto"/>
        </w:rPr>
      </w:pPr>
      <w:r>
        <w:rPr>
          <w:rFonts w:ascii="Arial" w:cs="Arial" w:eastAsia="Arial" w:hAnsi="Arial"/>
          <w:sz w:val="10"/>
          <w:szCs w:val="10"/>
          <w:color w:val="auto"/>
        </w:rPr>
        <w:t>Operating Margin (GAAP measure) to Operating Margin Excluding Net Special Items (non-GAAP measure)</w:t>
      </w:r>
    </w:p>
    <w:p>
      <w:pPr>
        <w:ind w:left="68" w:hanging="68"/>
        <w:spacing w:after="0"/>
        <w:tabs>
          <w:tab w:leader="none" w:pos="68" w:val="left"/>
        </w:tabs>
        <w:numPr>
          <w:ilvl w:val="0"/>
          <w:numId w:val="11"/>
        </w:numPr>
        <w:rPr>
          <w:rFonts w:ascii="Arial" w:cs="Arial" w:eastAsia="Arial" w:hAnsi="Arial"/>
          <w:sz w:val="10"/>
          <w:szCs w:val="10"/>
          <w:color w:val="auto"/>
        </w:rPr>
      </w:pPr>
      <w:r>
        <w:rPr>
          <w:rFonts w:ascii="Arial" w:cs="Arial" w:eastAsia="Arial" w:hAnsi="Arial"/>
          <w:sz w:val="10"/>
          <w:szCs w:val="10"/>
          <w:color w:val="auto"/>
        </w:rPr>
        <w:t>Pre-Tax Loss (GAAP measure) to Pre-Tax Loss Excluding Net Special Items (non-GAAP measure)</w:t>
      </w:r>
    </w:p>
    <w:p>
      <w:pPr>
        <w:spacing w:after="0" w:line="1" w:lineRule="exact"/>
        <w:rPr>
          <w:rFonts w:ascii="Arial" w:cs="Arial" w:eastAsia="Arial" w:hAnsi="Arial"/>
          <w:sz w:val="10"/>
          <w:szCs w:val="10"/>
          <w:color w:val="auto"/>
        </w:rPr>
      </w:pPr>
    </w:p>
    <w:p>
      <w:pPr>
        <w:ind w:left="68" w:hanging="68"/>
        <w:spacing w:after="0"/>
        <w:tabs>
          <w:tab w:leader="none" w:pos="68" w:val="left"/>
        </w:tabs>
        <w:numPr>
          <w:ilvl w:val="0"/>
          <w:numId w:val="11"/>
        </w:numPr>
        <w:rPr>
          <w:rFonts w:ascii="Arial" w:cs="Arial" w:eastAsia="Arial" w:hAnsi="Arial"/>
          <w:sz w:val="10"/>
          <w:szCs w:val="10"/>
          <w:color w:val="auto"/>
        </w:rPr>
      </w:pPr>
      <w:r>
        <w:rPr>
          <w:rFonts w:ascii="Arial" w:cs="Arial" w:eastAsia="Arial" w:hAnsi="Arial"/>
          <w:sz w:val="10"/>
          <w:szCs w:val="10"/>
          <w:color w:val="auto"/>
        </w:rPr>
        <w:t>Pre-Tax Margin (GAAP measure) to Pre-Tax Margin Excluding Net Special Items (non-GAAP measure)</w:t>
      </w:r>
    </w:p>
    <w:p>
      <w:pPr>
        <w:spacing w:after="0" w:line="2" w:lineRule="exact"/>
        <w:rPr>
          <w:rFonts w:ascii="Arial" w:cs="Arial" w:eastAsia="Arial" w:hAnsi="Arial"/>
          <w:sz w:val="10"/>
          <w:szCs w:val="10"/>
          <w:color w:val="auto"/>
        </w:rPr>
      </w:pPr>
    </w:p>
    <w:p>
      <w:pPr>
        <w:ind w:left="68" w:hanging="68"/>
        <w:spacing w:after="0"/>
        <w:tabs>
          <w:tab w:leader="none" w:pos="68" w:val="left"/>
        </w:tabs>
        <w:numPr>
          <w:ilvl w:val="0"/>
          <w:numId w:val="11"/>
        </w:numPr>
        <w:rPr>
          <w:rFonts w:ascii="Arial" w:cs="Arial" w:eastAsia="Arial" w:hAnsi="Arial"/>
          <w:sz w:val="10"/>
          <w:szCs w:val="10"/>
          <w:color w:val="auto"/>
        </w:rPr>
      </w:pPr>
      <w:r>
        <w:rPr>
          <w:rFonts w:ascii="Arial" w:cs="Arial" w:eastAsia="Arial" w:hAnsi="Arial"/>
          <w:sz w:val="10"/>
          <w:szCs w:val="10"/>
          <w:color w:val="auto"/>
        </w:rPr>
        <w:t>Net Loss (GAAP measure) to Net Loss Excluding Net Special Items (non-GAAP measure)</w:t>
      </w:r>
    </w:p>
    <w:p>
      <w:pPr>
        <w:spacing w:after="0" w:line="2" w:lineRule="exact"/>
        <w:rPr>
          <w:rFonts w:ascii="Arial" w:cs="Arial" w:eastAsia="Arial" w:hAnsi="Arial"/>
          <w:sz w:val="10"/>
          <w:szCs w:val="10"/>
          <w:color w:val="auto"/>
        </w:rPr>
      </w:pPr>
    </w:p>
    <w:p>
      <w:pPr>
        <w:ind w:left="68" w:hanging="68"/>
        <w:spacing w:after="0"/>
        <w:tabs>
          <w:tab w:leader="none" w:pos="68" w:val="left"/>
        </w:tabs>
        <w:numPr>
          <w:ilvl w:val="0"/>
          <w:numId w:val="11"/>
        </w:numPr>
        <w:rPr>
          <w:rFonts w:ascii="Arial" w:cs="Arial" w:eastAsia="Arial" w:hAnsi="Arial"/>
          <w:sz w:val="10"/>
          <w:szCs w:val="10"/>
          <w:color w:val="auto"/>
        </w:rPr>
      </w:pPr>
      <w:r>
        <w:rPr>
          <w:rFonts w:ascii="Arial" w:cs="Arial" w:eastAsia="Arial" w:hAnsi="Arial"/>
          <w:sz w:val="10"/>
          <w:szCs w:val="10"/>
          <w:color w:val="auto"/>
        </w:rPr>
        <w:t>Basic and Diluted Loss Per Share (GAAP measure) to Basic and Diluted Loss Per Share Excluding Net Special Items (non-GAAP measure)</w:t>
      </w:r>
    </w:p>
    <w:p>
      <w:pPr>
        <w:spacing w:after="0" w:line="48" w:lineRule="exact"/>
        <w:rPr>
          <w:sz w:val="20"/>
          <w:szCs w:val="20"/>
          <w:color w:val="auto"/>
        </w:rPr>
      </w:pPr>
    </w:p>
    <w:p>
      <w:pPr>
        <w:jc w:val="both"/>
        <w:ind w:left="8"/>
        <w:spacing w:after="0" w:line="245" w:lineRule="auto"/>
        <w:rPr>
          <w:sz w:val="20"/>
          <w:szCs w:val="20"/>
          <w:color w:val="auto"/>
        </w:rPr>
      </w:pPr>
      <w:r>
        <w:rPr>
          <w:rFonts w:ascii="Arial" w:cs="Arial" w:eastAsia="Arial" w:hAnsi="Arial"/>
          <w:sz w:val="10"/>
          <w:szCs w:val="10"/>
          <w:color w:val="auto"/>
        </w:rPr>
        <w:t>Management uses these non-GAAP financial measures to evaluate the Company's current operating performance and to allow for period-to-period comparisons. As net special items may vary from period-to-period in nature and amount, the adjustment to exclude net special items provides management with an additional tool to understand the Company’s core operating performance.</w:t>
      </w:r>
    </w:p>
    <w:p>
      <w:pPr>
        <w:spacing w:after="0" w:line="44" w:lineRule="exact"/>
        <w:rPr>
          <w:sz w:val="20"/>
          <w:szCs w:val="20"/>
          <w:color w:val="auto"/>
        </w:rPr>
      </w:pPr>
    </w:p>
    <w:p>
      <w:pPr>
        <w:jc w:val="both"/>
        <w:ind w:left="8"/>
        <w:spacing w:after="0" w:line="244" w:lineRule="auto"/>
        <w:rPr>
          <w:sz w:val="20"/>
          <w:szCs w:val="20"/>
          <w:color w:val="auto"/>
        </w:rPr>
      </w:pPr>
      <w:r>
        <w:rPr>
          <w:rFonts w:ascii="Arial" w:cs="Arial" w:eastAsia="Arial" w:hAnsi="Arial"/>
          <w:sz w:val="10"/>
          <w:szCs w:val="10"/>
          <w:color w:val="auto"/>
        </w:rPr>
        <w:t>Additionally, the tables below present the reconciliations of total operating costs (GAAP measure) to total operating costs excluding net special items, fuel and profit sharing (non-GAAP measure) and total operating costs per ASM (CASM) to CASM excluding net special items, fuel and profit sharing. Management uses total operating costs excluding net special items, fuel and profit sharing and CASM excluding net special items, fuel and profit sharing to evaluate the Company's current operating performance and to allow for period-to-period comparisons. The price of fuel, over which the Company has no control, impacts the comparability of period-to-period financial performance. Additionally, the Company excludes profit sharing to allow investors to better understand and analyze its operating cost performance and to provide a more meaningful comparison of its core operating costs to the airline industry. The adjustment to exclude net special items, fuel and profit sharing provides management with an additional tool to understand and analyze the Company’s non-fuel costs and core operating performance.</w:t>
      </w:r>
    </w:p>
    <w:p>
      <w:pPr>
        <w:spacing w:after="0" w:line="79" w:lineRule="exact"/>
        <w:rPr>
          <w:sz w:val="20"/>
          <w:szCs w:val="20"/>
          <w:color w:val="auto"/>
        </w:rPr>
      </w:pPr>
    </w:p>
    <w:tbl>
      <w:tblPr>
        <w:tblLayout w:type="fixed"/>
        <w:tblInd w:w="48" w:type="dxa"/>
        <w:tblCellMar>
          <w:top w:w="0" w:type="dxa"/>
          <w:left w:w="0" w:type="dxa"/>
          <w:bottom w:w="0" w:type="dxa"/>
          <w:right w:w="0" w:type="dxa"/>
        </w:tblCellMar>
      </w:tblPr>
      <w:tr>
        <w:trPr>
          <w:trHeight w:val="115"/>
        </w:trPr>
        <w:tc>
          <w:tcPr>
            <w:tcW w:w="6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0" w:type="dxa"/>
            <w:vAlign w:val="bottom"/>
            <w:gridSpan w:val="3"/>
          </w:tcPr>
          <w:p>
            <w:pPr>
              <w:ind w:left="1060"/>
              <w:spacing w:after="0"/>
              <w:rPr>
                <w:sz w:val="20"/>
                <w:szCs w:val="20"/>
                <w:color w:val="auto"/>
              </w:rPr>
            </w:pPr>
            <w:r>
              <w:rPr>
                <w:rFonts w:ascii="Arial" w:cs="Arial" w:eastAsia="Arial" w:hAnsi="Arial"/>
                <w:sz w:val="10"/>
                <w:szCs w:val="10"/>
                <w:color w:val="auto"/>
              </w:rPr>
              <w:t>3 Months Ended</w:t>
            </w: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Arial" w:cs="Arial" w:eastAsia="Arial" w:hAnsi="Arial"/>
                <w:sz w:val="10"/>
                <w:szCs w:val="10"/>
                <w:color w:val="auto"/>
                <w:w w:val="98"/>
              </w:rPr>
              <w:t>Percent</w:t>
            </w:r>
          </w:p>
        </w:tc>
        <w:tc>
          <w:tcPr>
            <w:tcW w:w="0" w:type="dxa"/>
            <w:vAlign w:val="bottom"/>
          </w:tcPr>
          <w:p>
            <w:pPr>
              <w:spacing w:after="0"/>
              <w:rPr>
                <w:sz w:val="1"/>
                <w:szCs w:val="1"/>
                <w:color w:val="auto"/>
              </w:rPr>
            </w:pPr>
          </w:p>
        </w:tc>
      </w:tr>
      <w:tr>
        <w:trPr>
          <w:trHeight w:val="121"/>
        </w:trPr>
        <w:tc>
          <w:tcPr>
            <w:tcW w:w="6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0" w:type="dxa"/>
            <w:vAlign w:val="bottom"/>
            <w:gridSpan w:val="3"/>
          </w:tcPr>
          <w:p>
            <w:pPr>
              <w:jc w:val="right"/>
              <w:ind w:right="332"/>
              <w:spacing w:after="0"/>
              <w:rPr>
                <w:sz w:val="20"/>
                <w:szCs w:val="20"/>
                <w:color w:val="auto"/>
              </w:rPr>
            </w:pPr>
            <w:r>
              <w:rPr>
                <w:rFonts w:ascii="Arial" w:cs="Arial" w:eastAsia="Arial" w:hAnsi="Arial"/>
                <w:sz w:val="10"/>
                <w:szCs w:val="10"/>
                <w:color w:val="auto"/>
              </w:rPr>
              <w:t>March 31,</w:t>
            </w: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62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Reconciliation of Operating Loss Excluding Net Special Items</w:t>
            </w:r>
          </w:p>
        </w:tc>
        <w:tc>
          <w:tcPr>
            <w:tcW w:w="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752"/>
              <w:spacing w:after="0"/>
              <w:rPr>
                <w:sz w:val="20"/>
                <w:szCs w:val="20"/>
                <w:color w:val="auto"/>
              </w:rPr>
            </w:pPr>
            <w:r>
              <w:rPr>
                <w:rFonts w:ascii="Arial" w:cs="Arial" w:eastAsia="Arial" w:hAnsi="Arial"/>
                <w:sz w:val="10"/>
                <w:szCs w:val="10"/>
                <w:color w:val="auto"/>
              </w:rPr>
              <w:t>2026</w:t>
            </w:r>
          </w:p>
        </w:tc>
        <w:tc>
          <w:tcPr>
            <w:tcW w:w="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752"/>
              <w:spacing w:after="0"/>
              <w:rPr>
                <w:sz w:val="20"/>
                <w:szCs w:val="20"/>
                <w:color w:val="auto"/>
              </w:rPr>
            </w:pPr>
            <w:r>
              <w:rPr>
                <w:rFonts w:ascii="Arial" w:cs="Arial" w:eastAsia="Arial" w:hAnsi="Arial"/>
                <w:sz w:val="10"/>
                <w:szCs w:val="10"/>
                <w:color w:val="auto"/>
              </w:rPr>
              <w:t>2025</w:t>
            </w:r>
          </w:p>
        </w:tc>
        <w:tc>
          <w:tcPr>
            <w:tcW w:w="80" w:type="dxa"/>
            <w:vAlign w:val="bottom"/>
          </w:tcPr>
          <w:p>
            <w:pPr>
              <w:spacing w:after="0"/>
              <w:rPr>
                <w:sz w:val="12"/>
                <w:szCs w:val="1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8"/>
              </w:rPr>
              <w:t>Decrease</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0" w:type="dxa"/>
            <w:vAlign w:val="bottom"/>
            <w:gridSpan w:val="3"/>
          </w:tcPr>
          <w:p>
            <w:pPr>
              <w:jc w:val="right"/>
              <w:ind w:right="332"/>
              <w:spacing w:after="0"/>
              <w:rPr>
                <w:sz w:val="20"/>
                <w:szCs w:val="20"/>
                <w:color w:val="auto"/>
              </w:rPr>
            </w:pPr>
            <w:r>
              <w:rPr>
                <w:rFonts w:ascii="Arial" w:cs="Arial" w:eastAsia="Arial" w:hAnsi="Arial"/>
                <w:sz w:val="8"/>
                <w:szCs w:val="8"/>
                <w:color w:val="auto"/>
              </w:rPr>
              <w:t>(in millions)</w:t>
            </w: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6240" w:type="dxa"/>
            <w:vAlign w:val="bottom"/>
            <w:shd w:val="clear" w:color="auto" w:fill="CCEEFF"/>
          </w:tcPr>
          <w:p>
            <w:pPr>
              <w:spacing w:after="0"/>
              <w:rPr>
                <w:sz w:val="20"/>
                <w:szCs w:val="20"/>
                <w:color w:val="auto"/>
              </w:rPr>
            </w:pPr>
            <w:r>
              <w:rPr>
                <w:rFonts w:ascii="Arial" w:cs="Arial" w:eastAsia="Arial" w:hAnsi="Arial"/>
                <w:sz w:val="10"/>
                <w:szCs w:val="10"/>
                <w:color w:val="auto"/>
              </w:rPr>
              <w:t>Operating loss as reported</w:t>
            </w:r>
          </w:p>
        </w:tc>
        <w:tc>
          <w:tcPr>
            <w:tcW w:w="500" w:type="dxa"/>
            <w:vAlign w:val="bottom"/>
            <w:gridSpan w:val="2"/>
            <w:shd w:val="clear" w:color="auto" w:fill="CCEEFF"/>
          </w:tcPr>
          <w:p>
            <w:pPr>
              <w:jc w:val="right"/>
              <w:ind w:right="360"/>
              <w:spacing w:after="0"/>
              <w:rPr>
                <w:sz w:val="20"/>
                <w:szCs w:val="20"/>
                <w:color w:val="auto"/>
              </w:rPr>
            </w:pPr>
            <w:r>
              <w:rPr>
                <w:rFonts w:ascii="Arial" w:cs="Arial" w:eastAsia="Arial" w:hAnsi="Arial"/>
                <w:sz w:val="10"/>
                <w:szCs w:val="10"/>
                <w:color w:val="auto"/>
              </w:rPr>
              <w:t>$</w:t>
            </w:r>
          </w:p>
        </w:tc>
        <w:tc>
          <w:tcPr>
            <w:tcW w:w="13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(41)</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32"/>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(270)</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240" w:type="dxa"/>
            <w:vAlign w:val="bottom"/>
          </w:tcPr>
          <w:p>
            <w:pPr>
              <w:spacing w:after="0"/>
              <w:rPr>
                <w:sz w:val="20"/>
                <w:szCs w:val="20"/>
                <w:color w:val="auto"/>
              </w:rPr>
            </w:pPr>
            <w:r>
              <w:rPr>
                <w:rFonts w:ascii="Arial" w:cs="Arial" w:eastAsia="Arial" w:hAnsi="Arial"/>
                <w:sz w:val="10"/>
                <w:szCs w:val="10"/>
                <w:color w:val="auto"/>
              </w:rPr>
              <w:t>Operating net special items:</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 xml:space="preserve">Mainline operating special items, net </w:t>
            </w:r>
            <w:r>
              <w:rPr>
                <w:rFonts w:ascii="Arial" w:cs="Arial" w:eastAsia="Arial" w:hAnsi="Arial"/>
                <w:sz w:val="12"/>
                <w:szCs w:val="12"/>
                <w:color w:val="auto"/>
                <w:vertAlign w:val="superscript"/>
              </w:rPr>
              <w:t>(1)</w:t>
            </w:r>
          </w:p>
        </w:tc>
        <w:tc>
          <w:tcPr>
            <w:tcW w:w="8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rPr>
              <w:t>14</w:t>
            </w:r>
          </w:p>
        </w:tc>
        <w:tc>
          <w:tcPr>
            <w:tcW w:w="8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rPr>
              <w:t>70</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240" w:type="dxa"/>
            <w:vAlign w:val="bottom"/>
          </w:tcPr>
          <w:p>
            <w:pPr>
              <w:spacing w:after="0"/>
              <w:rPr>
                <w:sz w:val="20"/>
                <w:szCs w:val="20"/>
                <w:color w:val="auto"/>
              </w:rPr>
            </w:pPr>
            <w:r>
              <w:rPr>
                <w:rFonts w:ascii="Arial" w:cs="Arial" w:eastAsia="Arial" w:hAnsi="Arial"/>
                <w:sz w:val="10"/>
                <w:szCs w:val="10"/>
                <w:color w:val="auto"/>
              </w:rPr>
              <w:t>Operating loss excluding net special items</w:t>
            </w:r>
          </w:p>
        </w:tc>
        <w:tc>
          <w:tcPr>
            <w:tcW w:w="500" w:type="dxa"/>
            <w:vAlign w:val="bottom"/>
            <w:gridSpan w:val="2"/>
          </w:tcPr>
          <w:p>
            <w:pPr>
              <w:jc w:val="right"/>
              <w:ind w:right="360"/>
              <w:spacing w:after="0"/>
              <w:rPr>
                <w:sz w:val="20"/>
                <w:szCs w:val="20"/>
                <w:color w:val="auto"/>
              </w:rPr>
            </w:pPr>
            <w:r>
              <w:rPr>
                <w:rFonts w:ascii="Arial" w:cs="Arial" w:eastAsia="Arial" w:hAnsi="Arial"/>
                <w:sz w:val="10"/>
                <w:szCs w:val="10"/>
                <w:color w:val="auto"/>
              </w:rPr>
              <w:t>$</w:t>
            </w:r>
          </w:p>
        </w:tc>
        <w:tc>
          <w:tcPr>
            <w:tcW w:w="1380" w:type="dxa"/>
            <w:vAlign w:val="bottom"/>
          </w:tcPr>
          <w:p>
            <w:pPr>
              <w:jc w:val="right"/>
              <w:ind w:right="92"/>
              <w:spacing w:after="0"/>
              <w:rPr>
                <w:sz w:val="20"/>
                <w:szCs w:val="20"/>
                <w:color w:val="auto"/>
              </w:rPr>
            </w:pPr>
            <w:r>
              <w:rPr>
                <w:rFonts w:ascii="Arial" w:cs="Arial" w:eastAsia="Arial" w:hAnsi="Arial"/>
                <w:sz w:val="10"/>
                <w:szCs w:val="10"/>
                <w:color w:val="auto"/>
              </w:rPr>
              <w:t>(27)</w:t>
            </w:r>
          </w:p>
        </w:tc>
        <w:tc>
          <w:tcPr>
            <w:tcW w:w="80" w:type="dxa"/>
            <w:vAlign w:val="bottom"/>
          </w:tcPr>
          <w:p>
            <w:pPr>
              <w:spacing w:after="0"/>
              <w:rPr>
                <w:sz w:val="10"/>
                <w:szCs w:val="10"/>
                <w:color w:val="auto"/>
              </w:rPr>
            </w:pPr>
          </w:p>
        </w:tc>
        <w:tc>
          <w:tcPr>
            <w:tcW w:w="540" w:type="dxa"/>
            <w:vAlign w:val="bottom"/>
          </w:tcPr>
          <w:p>
            <w:pPr>
              <w:jc w:val="right"/>
              <w:ind w:right="432"/>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ind w:right="92"/>
              <w:spacing w:after="0"/>
              <w:rPr>
                <w:sz w:val="20"/>
                <w:szCs w:val="20"/>
                <w:color w:val="auto"/>
              </w:rPr>
            </w:pPr>
            <w:r>
              <w:rPr>
                <w:rFonts w:ascii="Arial" w:cs="Arial" w:eastAsia="Arial" w:hAnsi="Arial"/>
                <w:sz w:val="10"/>
                <w:szCs w:val="10"/>
                <w:color w:val="auto"/>
              </w:rPr>
              <w:t>(200)</w:t>
            </w:r>
          </w:p>
        </w:tc>
        <w:tc>
          <w:tcPr>
            <w:tcW w:w="1220" w:type="dxa"/>
            <w:vAlign w:val="bottom"/>
            <w:gridSpan w:val="2"/>
          </w:tcPr>
          <w:p>
            <w:pPr>
              <w:jc w:val="center"/>
              <w:ind w:left="32"/>
              <w:spacing w:after="0"/>
              <w:rPr>
                <w:sz w:val="20"/>
                <w:szCs w:val="20"/>
                <w:color w:val="auto"/>
              </w:rPr>
            </w:pPr>
            <w:r>
              <w:rPr>
                <w:rFonts w:ascii="Arial" w:cs="Arial" w:eastAsia="Arial" w:hAnsi="Arial"/>
                <w:sz w:val="10"/>
                <w:szCs w:val="10"/>
                <w:color w:val="auto"/>
                <w:w w:val="96"/>
              </w:rPr>
              <w:t>(86.5%)</w:t>
            </w:r>
          </w:p>
        </w:tc>
        <w:tc>
          <w:tcPr>
            <w:tcW w:w="0" w:type="dxa"/>
            <w:vAlign w:val="bottom"/>
          </w:tcPr>
          <w:p>
            <w:pPr>
              <w:spacing w:after="0"/>
              <w:rPr>
                <w:sz w:val="1"/>
                <w:szCs w:val="1"/>
                <w:color w:val="auto"/>
              </w:rPr>
            </w:pPr>
          </w:p>
        </w:tc>
      </w:tr>
      <w:tr>
        <w:trPr>
          <w:trHeight w:val="138"/>
        </w:trPr>
        <w:tc>
          <w:tcPr>
            <w:tcW w:w="6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2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Calculation of Operating Margin</w:t>
            </w:r>
          </w:p>
        </w:tc>
        <w:tc>
          <w:tcPr>
            <w:tcW w:w="80" w:type="dxa"/>
            <w:vAlign w:val="bottom"/>
            <w:tcBorders>
              <w:bottom w:val="single" w:sz="8" w:color="CCEEFF"/>
            </w:tcBorders>
          </w:tcPr>
          <w:p>
            <w:pPr>
              <w:spacing w:after="0"/>
              <w:rPr>
                <w:sz w:val="11"/>
                <w:szCs w:val="11"/>
                <w:color w:val="auto"/>
              </w:rPr>
            </w:pPr>
          </w:p>
        </w:tc>
        <w:tc>
          <w:tcPr>
            <w:tcW w:w="420" w:type="dxa"/>
            <w:vAlign w:val="bottom"/>
            <w:tcBorders>
              <w:bottom w:val="single" w:sz="8" w:color="CCEEFF"/>
            </w:tcBorders>
          </w:tcPr>
          <w:p>
            <w:pPr>
              <w:spacing w:after="0"/>
              <w:rPr>
                <w:sz w:val="11"/>
                <w:szCs w:val="11"/>
                <w:color w:val="auto"/>
              </w:rPr>
            </w:pPr>
          </w:p>
        </w:tc>
        <w:tc>
          <w:tcPr>
            <w:tcW w:w="13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12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6240" w:type="dxa"/>
            <w:vAlign w:val="bottom"/>
            <w:shd w:val="clear" w:color="auto" w:fill="CCEEFF"/>
          </w:tcPr>
          <w:p>
            <w:pPr>
              <w:spacing w:after="0"/>
              <w:rPr>
                <w:sz w:val="20"/>
                <w:szCs w:val="20"/>
                <w:color w:val="auto"/>
              </w:rPr>
            </w:pPr>
            <w:r>
              <w:rPr>
                <w:rFonts w:ascii="Arial" w:cs="Arial" w:eastAsia="Arial" w:hAnsi="Arial"/>
                <w:sz w:val="10"/>
                <w:szCs w:val="10"/>
                <w:color w:val="auto"/>
              </w:rPr>
              <w:t>Operating loss as reported</w:t>
            </w:r>
          </w:p>
        </w:tc>
        <w:tc>
          <w:tcPr>
            <w:tcW w:w="500" w:type="dxa"/>
            <w:vAlign w:val="bottom"/>
            <w:gridSpan w:val="2"/>
            <w:shd w:val="clear" w:color="auto" w:fill="CCEEFF"/>
          </w:tcPr>
          <w:p>
            <w:pPr>
              <w:jc w:val="right"/>
              <w:ind w:right="360"/>
              <w:spacing w:after="0"/>
              <w:rPr>
                <w:sz w:val="20"/>
                <w:szCs w:val="20"/>
                <w:color w:val="auto"/>
              </w:rPr>
            </w:pPr>
            <w:r>
              <w:rPr>
                <w:rFonts w:ascii="Arial" w:cs="Arial" w:eastAsia="Arial" w:hAnsi="Arial"/>
                <w:sz w:val="10"/>
                <w:szCs w:val="10"/>
                <w:color w:val="auto"/>
              </w:rPr>
              <w:t>$</w:t>
            </w:r>
          </w:p>
        </w:tc>
        <w:tc>
          <w:tcPr>
            <w:tcW w:w="13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(41)</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432"/>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(270)</w:t>
            </w:r>
          </w:p>
        </w:tc>
        <w:tc>
          <w:tcPr>
            <w:tcW w:w="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240" w:type="dxa"/>
            <w:vAlign w:val="bottom"/>
          </w:tcPr>
          <w:p>
            <w:pPr>
              <w:spacing w:after="0"/>
              <w:rPr>
                <w:sz w:val="20"/>
                <w:szCs w:val="20"/>
                <w:color w:val="auto"/>
              </w:rPr>
            </w:pPr>
            <w:r>
              <w:rPr>
                <w:rFonts w:ascii="Arial" w:cs="Arial" w:eastAsia="Arial" w:hAnsi="Arial"/>
                <w:sz w:val="10"/>
                <w:szCs w:val="10"/>
                <w:color w:val="auto"/>
              </w:rPr>
              <w:t>Total operating revenues as reported</w:t>
            </w:r>
          </w:p>
        </w:tc>
        <w:tc>
          <w:tcPr>
            <w:tcW w:w="500" w:type="dxa"/>
            <w:vAlign w:val="bottom"/>
            <w:gridSpan w:val="2"/>
          </w:tcPr>
          <w:p>
            <w:pPr>
              <w:jc w:val="right"/>
              <w:ind w:right="360"/>
              <w:spacing w:after="0"/>
              <w:rPr>
                <w:sz w:val="20"/>
                <w:szCs w:val="20"/>
                <w:color w:val="auto"/>
              </w:rPr>
            </w:pPr>
            <w:r>
              <w:rPr>
                <w:rFonts w:ascii="Arial" w:cs="Arial" w:eastAsia="Arial" w:hAnsi="Arial"/>
                <w:sz w:val="10"/>
                <w:szCs w:val="10"/>
                <w:color w:val="auto"/>
              </w:rPr>
              <w:t>$</w:t>
            </w:r>
          </w:p>
        </w:tc>
        <w:tc>
          <w:tcPr>
            <w:tcW w:w="1380" w:type="dxa"/>
            <w:vAlign w:val="bottom"/>
          </w:tcPr>
          <w:p>
            <w:pPr>
              <w:jc w:val="right"/>
              <w:ind w:right="132"/>
              <w:spacing w:after="0"/>
              <w:rPr>
                <w:sz w:val="20"/>
                <w:szCs w:val="20"/>
                <w:color w:val="auto"/>
              </w:rPr>
            </w:pPr>
            <w:r>
              <w:rPr>
                <w:rFonts w:ascii="Arial" w:cs="Arial" w:eastAsia="Arial" w:hAnsi="Arial"/>
                <w:sz w:val="10"/>
                <w:szCs w:val="10"/>
                <w:color w:val="auto"/>
              </w:rPr>
              <w:t>13,912</w:t>
            </w:r>
          </w:p>
        </w:tc>
        <w:tc>
          <w:tcPr>
            <w:tcW w:w="80" w:type="dxa"/>
            <w:vAlign w:val="bottom"/>
          </w:tcPr>
          <w:p>
            <w:pPr>
              <w:spacing w:after="0"/>
              <w:rPr>
                <w:sz w:val="11"/>
                <w:szCs w:val="11"/>
                <w:color w:val="auto"/>
              </w:rPr>
            </w:pPr>
          </w:p>
        </w:tc>
        <w:tc>
          <w:tcPr>
            <w:tcW w:w="540" w:type="dxa"/>
            <w:vAlign w:val="bottom"/>
          </w:tcPr>
          <w:p>
            <w:pPr>
              <w:jc w:val="right"/>
              <w:ind w:right="432"/>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ind w:right="112"/>
              <w:spacing w:after="0"/>
              <w:rPr>
                <w:sz w:val="20"/>
                <w:szCs w:val="20"/>
                <w:color w:val="auto"/>
              </w:rPr>
            </w:pPr>
            <w:r>
              <w:rPr>
                <w:rFonts w:ascii="Arial" w:cs="Arial" w:eastAsia="Arial" w:hAnsi="Arial"/>
                <w:sz w:val="10"/>
                <w:szCs w:val="10"/>
                <w:color w:val="auto"/>
              </w:rPr>
              <w:t>12,551</w:t>
            </w: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240" w:type="dxa"/>
            <w:vAlign w:val="bottom"/>
            <w:shd w:val="clear" w:color="auto" w:fill="CCEEFF"/>
          </w:tcPr>
          <w:p>
            <w:pPr>
              <w:spacing w:after="0"/>
              <w:rPr>
                <w:sz w:val="20"/>
                <w:szCs w:val="20"/>
                <w:color w:val="auto"/>
              </w:rPr>
            </w:pPr>
            <w:r>
              <w:rPr>
                <w:rFonts w:ascii="Arial" w:cs="Arial" w:eastAsia="Arial" w:hAnsi="Arial"/>
                <w:sz w:val="10"/>
                <w:szCs w:val="10"/>
                <w:color w:val="auto"/>
              </w:rPr>
              <w:t>Operating margin</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80" w:type="dxa"/>
            <w:vAlign w:val="bottom"/>
            <w:shd w:val="clear" w:color="auto" w:fill="CCEEFF"/>
          </w:tcPr>
          <w:p>
            <w:pPr>
              <w:ind w:left="1080"/>
              <w:spacing w:after="0"/>
              <w:rPr>
                <w:sz w:val="20"/>
                <w:szCs w:val="20"/>
                <w:color w:val="auto"/>
              </w:rPr>
            </w:pPr>
            <w:r>
              <w:rPr>
                <w:rFonts w:ascii="Arial" w:cs="Arial" w:eastAsia="Arial" w:hAnsi="Arial"/>
                <w:sz w:val="10"/>
                <w:szCs w:val="10"/>
                <w:color w:val="auto"/>
                <w:w w:val="94"/>
              </w:rPr>
              <w:t>(0.3%)</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rPr>
              <w:t>Calculation of Operating Margin Excluding Net Special Items</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6240" w:type="dxa"/>
            <w:vAlign w:val="bottom"/>
          </w:tcPr>
          <w:p>
            <w:pPr>
              <w:spacing w:after="0"/>
              <w:rPr>
                <w:sz w:val="20"/>
                <w:szCs w:val="20"/>
                <w:color w:val="auto"/>
              </w:rPr>
            </w:pPr>
            <w:r>
              <w:rPr>
                <w:rFonts w:ascii="Arial" w:cs="Arial" w:eastAsia="Arial" w:hAnsi="Arial"/>
                <w:sz w:val="10"/>
                <w:szCs w:val="10"/>
                <w:color w:val="auto"/>
              </w:rPr>
              <w:t>Operating loss excluding net special items</w:t>
            </w:r>
          </w:p>
        </w:tc>
        <w:tc>
          <w:tcPr>
            <w:tcW w:w="500" w:type="dxa"/>
            <w:vAlign w:val="bottom"/>
            <w:gridSpan w:val="2"/>
          </w:tcPr>
          <w:p>
            <w:pPr>
              <w:jc w:val="right"/>
              <w:ind w:right="360"/>
              <w:spacing w:after="0"/>
              <w:rPr>
                <w:sz w:val="20"/>
                <w:szCs w:val="20"/>
                <w:color w:val="auto"/>
              </w:rPr>
            </w:pPr>
            <w:r>
              <w:rPr>
                <w:rFonts w:ascii="Arial" w:cs="Arial" w:eastAsia="Arial" w:hAnsi="Arial"/>
                <w:sz w:val="10"/>
                <w:szCs w:val="10"/>
                <w:color w:val="auto"/>
              </w:rPr>
              <w:t>$</w:t>
            </w:r>
          </w:p>
        </w:tc>
        <w:tc>
          <w:tcPr>
            <w:tcW w:w="1380" w:type="dxa"/>
            <w:vAlign w:val="bottom"/>
          </w:tcPr>
          <w:p>
            <w:pPr>
              <w:jc w:val="right"/>
              <w:ind w:right="92"/>
              <w:spacing w:after="0"/>
              <w:rPr>
                <w:sz w:val="20"/>
                <w:szCs w:val="20"/>
                <w:color w:val="auto"/>
              </w:rPr>
            </w:pPr>
            <w:r>
              <w:rPr>
                <w:rFonts w:ascii="Arial" w:cs="Arial" w:eastAsia="Arial" w:hAnsi="Arial"/>
                <w:sz w:val="10"/>
                <w:szCs w:val="10"/>
                <w:color w:val="auto"/>
              </w:rPr>
              <w:t>(27)</w:t>
            </w:r>
          </w:p>
        </w:tc>
        <w:tc>
          <w:tcPr>
            <w:tcW w:w="80" w:type="dxa"/>
            <w:vAlign w:val="bottom"/>
          </w:tcPr>
          <w:p>
            <w:pPr>
              <w:spacing w:after="0"/>
              <w:rPr>
                <w:sz w:val="10"/>
                <w:szCs w:val="10"/>
                <w:color w:val="auto"/>
              </w:rPr>
            </w:pPr>
          </w:p>
        </w:tc>
        <w:tc>
          <w:tcPr>
            <w:tcW w:w="540" w:type="dxa"/>
            <w:vAlign w:val="bottom"/>
          </w:tcPr>
          <w:p>
            <w:pPr>
              <w:jc w:val="right"/>
              <w:ind w:right="432"/>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ind w:right="92"/>
              <w:spacing w:after="0"/>
              <w:rPr>
                <w:sz w:val="20"/>
                <w:szCs w:val="20"/>
                <w:color w:val="auto"/>
              </w:rPr>
            </w:pPr>
            <w:r>
              <w:rPr>
                <w:rFonts w:ascii="Arial" w:cs="Arial" w:eastAsia="Arial" w:hAnsi="Arial"/>
                <w:sz w:val="10"/>
                <w:szCs w:val="10"/>
                <w:color w:val="auto"/>
              </w:rPr>
              <w:t>(200)</w:t>
            </w: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240" w:type="dxa"/>
            <w:vAlign w:val="bottom"/>
            <w:shd w:val="clear" w:color="auto" w:fill="CCEEFF"/>
          </w:tcPr>
          <w:p>
            <w:pPr>
              <w:spacing w:after="0"/>
              <w:rPr>
                <w:sz w:val="20"/>
                <w:szCs w:val="20"/>
                <w:color w:val="auto"/>
              </w:rPr>
            </w:pPr>
            <w:r>
              <w:rPr>
                <w:rFonts w:ascii="Arial" w:cs="Arial" w:eastAsia="Arial" w:hAnsi="Arial"/>
                <w:sz w:val="10"/>
                <w:szCs w:val="10"/>
                <w:color w:val="auto"/>
              </w:rPr>
              <w:t>Total operating revenues as reported</w:t>
            </w:r>
          </w:p>
        </w:tc>
        <w:tc>
          <w:tcPr>
            <w:tcW w:w="500" w:type="dxa"/>
            <w:vAlign w:val="bottom"/>
            <w:gridSpan w:val="2"/>
            <w:shd w:val="clear" w:color="auto" w:fill="CCEEFF"/>
          </w:tcPr>
          <w:p>
            <w:pPr>
              <w:jc w:val="right"/>
              <w:ind w:right="360"/>
              <w:spacing w:after="0"/>
              <w:rPr>
                <w:sz w:val="20"/>
                <w:szCs w:val="20"/>
                <w:color w:val="auto"/>
              </w:rPr>
            </w:pPr>
            <w:r>
              <w:rPr>
                <w:rFonts w:ascii="Arial" w:cs="Arial" w:eastAsia="Arial" w:hAnsi="Arial"/>
                <w:sz w:val="10"/>
                <w:szCs w:val="10"/>
                <w:color w:val="auto"/>
              </w:rPr>
              <w:t>$</w:t>
            </w: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rPr>
              <w:t>13,912</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32"/>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12,551</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240" w:type="dxa"/>
            <w:vAlign w:val="bottom"/>
          </w:tcPr>
          <w:p>
            <w:pPr>
              <w:spacing w:after="0"/>
              <w:rPr>
                <w:sz w:val="20"/>
                <w:szCs w:val="20"/>
                <w:color w:val="auto"/>
              </w:rPr>
            </w:pPr>
            <w:r>
              <w:rPr>
                <w:rFonts w:ascii="Arial" w:cs="Arial" w:eastAsia="Arial" w:hAnsi="Arial"/>
                <w:sz w:val="10"/>
                <w:szCs w:val="10"/>
                <w:color w:val="auto"/>
              </w:rPr>
              <w:t>Operating margin excluding net special items</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80" w:type="dxa"/>
            <w:vAlign w:val="bottom"/>
          </w:tcPr>
          <w:p>
            <w:pPr>
              <w:ind w:left="1080"/>
              <w:spacing w:after="0"/>
              <w:rPr>
                <w:sz w:val="20"/>
                <w:szCs w:val="20"/>
                <w:color w:val="auto"/>
              </w:rPr>
            </w:pPr>
            <w:r>
              <w:rPr>
                <w:rFonts w:ascii="Arial" w:cs="Arial" w:eastAsia="Arial" w:hAnsi="Arial"/>
                <w:sz w:val="10"/>
                <w:szCs w:val="10"/>
                <w:color w:val="auto"/>
                <w:w w:val="94"/>
              </w:rPr>
              <w:t>(0.2%)</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(1.6%)</w:t>
            </w: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2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Reconciliation of Pre-Tax Loss Excluding Net Special Items</w:t>
            </w:r>
          </w:p>
        </w:tc>
        <w:tc>
          <w:tcPr>
            <w:tcW w:w="80" w:type="dxa"/>
            <w:vAlign w:val="bottom"/>
            <w:tcBorders>
              <w:bottom w:val="single" w:sz="8" w:color="CCEEFF"/>
            </w:tcBorders>
          </w:tcPr>
          <w:p>
            <w:pPr>
              <w:spacing w:after="0"/>
              <w:rPr>
                <w:sz w:val="11"/>
                <w:szCs w:val="11"/>
                <w:color w:val="auto"/>
              </w:rPr>
            </w:pPr>
          </w:p>
        </w:tc>
        <w:tc>
          <w:tcPr>
            <w:tcW w:w="420" w:type="dxa"/>
            <w:vAlign w:val="bottom"/>
            <w:tcBorders>
              <w:bottom w:val="single" w:sz="8" w:color="CCEEFF"/>
            </w:tcBorders>
          </w:tcPr>
          <w:p>
            <w:pPr>
              <w:spacing w:after="0"/>
              <w:rPr>
                <w:sz w:val="11"/>
                <w:szCs w:val="11"/>
                <w:color w:val="auto"/>
              </w:rPr>
            </w:pPr>
          </w:p>
        </w:tc>
        <w:tc>
          <w:tcPr>
            <w:tcW w:w="13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12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6240" w:type="dxa"/>
            <w:vAlign w:val="bottom"/>
            <w:shd w:val="clear" w:color="auto" w:fill="CCEEFF"/>
          </w:tcPr>
          <w:p>
            <w:pPr>
              <w:spacing w:after="0"/>
              <w:rPr>
                <w:sz w:val="20"/>
                <w:szCs w:val="20"/>
                <w:color w:val="auto"/>
              </w:rPr>
            </w:pPr>
            <w:r>
              <w:rPr>
                <w:rFonts w:ascii="Arial" w:cs="Arial" w:eastAsia="Arial" w:hAnsi="Arial"/>
                <w:sz w:val="10"/>
                <w:szCs w:val="10"/>
                <w:color w:val="auto"/>
              </w:rPr>
              <w:t>Pre-tax loss as reported</w:t>
            </w:r>
          </w:p>
        </w:tc>
        <w:tc>
          <w:tcPr>
            <w:tcW w:w="500" w:type="dxa"/>
            <w:vAlign w:val="bottom"/>
            <w:gridSpan w:val="2"/>
            <w:shd w:val="clear" w:color="auto" w:fill="CCEEFF"/>
          </w:tcPr>
          <w:p>
            <w:pPr>
              <w:jc w:val="right"/>
              <w:ind w:right="360"/>
              <w:spacing w:after="0"/>
              <w:rPr>
                <w:sz w:val="20"/>
                <w:szCs w:val="20"/>
                <w:color w:val="auto"/>
              </w:rPr>
            </w:pPr>
            <w:r>
              <w:rPr>
                <w:rFonts w:ascii="Arial" w:cs="Arial" w:eastAsia="Arial" w:hAnsi="Arial"/>
                <w:sz w:val="10"/>
                <w:szCs w:val="10"/>
                <w:color w:val="auto"/>
              </w:rPr>
              <w:t>$</w:t>
            </w:r>
          </w:p>
        </w:tc>
        <w:tc>
          <w:tcPr>
            <w:tcW w:w="13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(476)</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432"/>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(648)</w:t>
            </w:r>
          </w:p>
        </w:tc>
        <w:tc>
          <w:tcPr>
            <w:tcW w:w="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240" w:type="dxa"/>
            <w:vAlign w:val="bottom"/>
          </w:tcPr>
          <w:p>
            <w:pPr>
              <w:spacing w:after="0"/>
              <w:rPr>
                <w:sz w:val="20"/>
                <w:szCs w:val="20"/>
                <w:color w:val="auto"/>
              </w:rPr>
            </w:pPr>
            <w:r>
              <w:rPr>
                <w:rFonts w:ascii="Arial" w:cs="Arial" w:eastAsia="Arial" w:hAnsi="Arial"/>
                <w:sz w:val="10"/>
                <w:szCs w:val="10"/>
                <w:color w:val="auto"/>
              </w:rPr>
              <w:t>Pre-tax net special items:</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 xml:space="preserve">Mainline operating special items, net </w:t>
            </w:r>
            <w:r>
              <w:rPr>
                <w:rFonts w:ascii="Arial" w:cs="Arial" w:eastAsia="Arial" w:hAnsi="Arial"/>
                <w:sz w:val="12"/>
                <w:szCs w:val="12"/>
                <w:color w:val="auto"/>
                <w:vertAlign w:val="superscript"/>
              </w:rPr>
              <w:t>(1)</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rPr>
              <w:t>14</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rPr>
              <w:t>70</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240" w:type="dxa"/>
            <w:vAlign w:val="bottom"/>
            <w:tcBorders>
              <w:bottom w:val="single" w:sz="8" w:color="CCEEFF"/>
            </w:tcBorders>
          </w:tcPr>
          <w:p>
            <w:pPr>
              <w:ind w:left="220"/>
              <w:spacing w:after="0" w:line="135" w:lineRule="exact"/>
              <w:rPr>
                <w:sz w:val="20"/>
                <w:szCs w:val="20"/>
                <w:color w:val="auto"/>
              </w:rPr>
            </w:pPr>
            <w:r>
              <w:rPr>
                <w:rFonts w:ascii="Arial" w:cs="Arial" w:eastAsia="Arial" w:hAnsi="Arial"/>
                <w:sz w:val="10"/>
                <w:szCs w:val="10"/>
                <w:color w:val="auto"/>
              </w:rPr>
              <w:t xml:space="preserve">Nonoperating special items, net </w:t>
            </w:r>
            <w:r>
              <w:rPr>
                <w:rFonts w:ascii="Arial" w:cs="Arial" w:eastAsia="Arial" w:hAnsi="Arial"/>
                <w:sz w:val="12"/>
                <w:szCs w:val="12"/>
                <w:color w:val="auto"/>
                <w:vertAlign w:val="superscript"/>
              </w:rPr>
              <w:t>(2)</w:t>
            </w:r>
          </w:p>
        </w:tc>
        <w:tc>
          <w:tcPr>
            <w:tcW w:w="8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135</w:t>
            </w:r>
          </w:p>
        </w:tc>
        <w:tc>
          <w:tcPr>
            <w:tcW w:w="8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48</w:t>
            </w:r>
          </w:p>
        </w:tc>
        <w:tc>
          <w:tcPr>
            <w:tcW w:w="80" w:type="dxa"/>
            <w:vAlign w:val="bottom"/>
            <w:tcBorders>
              <w:bottom w:val="single" w:sz="8" w:color="CCEEFF"/>
            </w:tcBorders>
          </w:tcPr>
          <w:p>
            <w:pPr>
              <w:spacing w:after="0"/>
              <w:rPr>
                <w:sz w:val="11"/>
                <w:szCs w:val="11"/>
                <w:color w:val="auto"/>
              </w:rPr>
            </w:pPr>
          </w:p>
        </w:tc>
        <w:tc>
          <w:tcPr>
            <w:tcW w:w="1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6240" w:type="dxa"/>
            <w:vAlign w:val="bottom"/>
            <w:shd w:val="clear" w:color="auto" w:fill="CCEEFF"/>
          </w:tcPr>
          <w:p>
            <w:pPr>
              <w:spacing w:after="0"/>
              <w:rPr>
                <w:sz w:val="20"/>
                <w:szCs w:val="20"/>
                <w:color w:val="auto"/>
              </w:rPr>
            </w:pPr>
            <w:r>
              <w:rPr>
                <w:rFonts w:ascii="Arial" w:cs="Arial" w:eastAsia="Arial" w:hAnsi="Arial"/>
                <w:sz w:val="10"/>
                <w:szCs w:val="10"/>
                <w:color w:val="auto"/>
              </w:rPr>
              <w:t>Total pre-tax net special items</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rPr>
              <w:t>149</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6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118</w:t>
            </w:r>
          </w:p>
        </w:tc>
        <w:tc>
          <w:tcPr>
            <w:tcW w:w="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40" w:type="dxa"/>
            <w:vAlign w:val="bottom"/>
            <w:shd w:val="clear" w:color="auto" w:fill="CCEEFF"/>
          </w:tcPr>
          <w:p>
            <w:pPr>
              <w:spacing w:after="0"/>
              <w:rPr>
                <w:sz w:val="20"/>
                <w:szCs w:val="20"/>
                <w:color w:val="auto"/>
              </w:rPr>
            </w:pPr>
            <w:r>
              <w:rPr>
                <w:rFonts w:ascii="Arial" w:cs="Arial" w:eastAsia="Arial" w:hAnsi="Arial"/>
                <w:sz w:val="10"/>
                <w:szCs w:val="10"/>
                <w:color w:val="auto"/>
              </w:rPr>
              <w:t>Pre-tax loss excluding net special items</w:t>
            </w:r>
          </w:p>
        </w:tc>
        <w:tc>
          <w:tcPr>
            <w:tcW w:w="500" w:type="dxa"/>
            <w:vAlign w:val="bottom"/>
            <w:gridSpan w:val="2"/>
            <w:shd w:val="clear" w:color="auto" w:fill="CCEEFF"/>
          </w:tcPr>
          <w:p>
            <w:pPr>
              <w:jc w:val="right"/>
              <w:ind w:right="360"/>
              <w:spacing w:after="0"/>
              <w:rPr>
                <w:sz w:val="20"/>
                <w:szCs w:val="20"/>
                <w:color w:val="auto"/>
              </w:rPr>
            </w:pPr>
            <w:r>
              <w:rPr>
                <w:rFonts w:ascii="Arial" w:cs="Arial" w:eastAsia="Arial" w:hAnsi="Arial"/>
                <w:sz w:val="10"/>
                <w:szCs w:val="10"/>
                <w:color w:val="auto"/>
              </w:rPr>
              <w:t>$</w:t>
            </w:r>
          </w:p>
        </w:tc>
        <w:tc>
          <w:tcPr>
            <w:tcW w:w="13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(327)</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432"/>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(530)</w:t>
            </w:r>
          </w:p>
        </w:tc>
        <w:tc>
          <w:tcPr>
            <w:tcW w:w="1220" w:type="dxa"/>
            <w:vAlign w:val="bottom"/>
            <w:gridSpan w:val="2"/>
            <w:shd w:val="clear" w:color="auto" w:fill="CCEEFF"/>
          </w:tcPr>
          <w:p>
            <w:pPr>
              <w:jc w:val="center"/>
              <w:ind w:left="32"/>
              <w:spacing w:after="0"/>
              <w:rPr>
                <w:sz w:val="20"/>
                <w:szCs w:val="20"/>
                <w:color w:val="auto"/>
              </w:rPr>
            </w:pPr>
            <w:r>
              <w:rPr>
                <w:rFonts w:ascii="Arial" w:cs="Arial" w:eastAsia="Arial" w:hAnsi="Arial"/>
                <w:sz w:val="10"/>
                <w:szCs w:val="10"/>
                <w:color w:val="auto"/>
                <w:w w:val="96"/>
              </w:rPr>
              <w:t>(38.2%)</w:t>
            </w:r>
          </w:p>
        </w:tc>
        <w:tc>
          <w:tcPr>
            <w:tcW w:w="0" w:type="dxa"/>
            <w:vAlign w:val="bottom"/>
          </w:tcPr>
          <w:p>
            <w:pPr>
              <w:spacing w:after="0"/>
              <w:rPr>
                <w:sz w:val="1"/>
                <w:szCs w:val="1"/>
                <w:color w:val="auto"/>
              </w:rPr>
            </w:pPr>
          </w:p>
        </w:tc>
      </w:tr>
      <w:tr>
        <w:trPr>
          <w:trHeight w:val="135"/>
        </w:trPr>
        <w:tc>
          <w:tcPr>
            <w:tcW w:w="6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rPr>
              <w:t>Calculation of Pre-Tax Margin</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6240" w:type="dxa"/>
            <w:vAlign w:val="bottom"/>
          </w:tcPr>
          <w:p>
            <w:pPr>
              <w:spacing w:after="0"/>
              <w:rPr>
                <w:sz w:val="20"/>
                <w:szCs w:val="20"/>
                <w:color w:val="auto"/>
              </w:rPr>
            </w:pPr>
            <w:r>
              <w:rPr>
                <w:rFonts w:ascii="Arial" w:cs="Arial" w:eastAsia="Arial" w:hAnsi="Arial"/>
                <w:sz w:val="10"/>
                <w:szCs w:val="10"/>
                <w:color w:val="auto"/>
              </w:rPr>
              <w:t>Pre-tax loss as reported</w:t>
            </w:r>
          </w:p>
        </w:tc>
        <w:tc>
          <w:tcPr>
            <w:tcW w:w="500" w:type="dxa"/>
            <w:vAlign w:val="bottom"/>
            <w:gridSpan w:val="2"/>
          </w:tcPr>
          <w:p>
            <w:pPr>
              <w:jc w:val="right"/>
              <w:ind w:right="360"/>
              <w:spacing w:after="0"/>
              <w:rPr>
                <w:sz w:val="20"/>
                <w:szCs w:val="20"/>
                <w:color w:val="auto"/>
              </w:rPr>
            </w:pPr>
            <w:r>
              <w:rPr>
                <w:rFonts w:ascii="Arial" w:cs="Arial" w:eastAsia="Arial" w:hAnsi="Arial"/>
                <w:sz w:val="10"/>
                <w:szCs w:val="10"/>
                <w:color w:val="auto"/>
              </w:rPr>
              <w:t>$</w:t>
            </w:r>
          </w:p>
        </w:tc>
        <w:tc>
          <w:tcPr>
            <w:tcW w:w="1380" w:type="dxa"/>
            <w:vAlign w:val="bottom"/>
          </w:tcPr>
          <w:p>
            <w:pPr>
              <w:jc w:val="right"/>
              <w:ind w:right="92"/>
              <w:spacing w:after="0"/>
              <w:rPr>
                <w:sz w:val="20"/>
                <w:szCs w:val="20"/>
                <w:color w:val="auto"/>
              </w:rPr>
            </w:pPr>
            <w:r>
              <w:rPr>
                <w:rFonts w:ascii="Arial" w:cs="Arial" w:eastAsia="Arial" w:hAnsi="Arial"/>
                <w:sz w:val="10"/>
                <w:szCs w:val="10"/>
                <w:color w:val="auto"/>
              </w:rPr>
              <w:t>(476)</w:t>
            </w:r>
          </w:p>
        </w:tc>
        <w:tc>
          <w:tcPr>
            <w:tcW w:w="80" w:type="dxa"/>
            <w:vAlign w:val="bottom"/>
          </w:tcPr>
          <w:p>
            <w:pPr>
              <w:spacing w:after="0"/>
              <w:rPr>
                <w:sz w:val="10"/>
                <w:szCs w:val="10"/>
                <w:color w:val="auto"/>
              </w:rPr>
            </w:pPr>
          </w:p>
        </w:tc>
        <w:tc>
          <w:tcPr>
            <w:tcW w:w="540" w:type="dxa"/>
            <w:vAlign w:val="bottom"/>
          </w:tcPr>
          <w:p>
            <w:pPr>
              <w:jc w:val="right"/>
              <w:ind w:right="432"/>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ind w:right="92"/>
              <w:spacing w:after="0"/>
              <w:rPr>
                <w:sz w:val="20"/>
                <w:szCs w:val="20"/>
                <w:color w:val="auto"/>
              </w:rPr>
            </w:pPr>
            <w:r>
              <w:rPr>
                <w:rFonts w:ascii="Arial" w:cs="Arial" w:eastAsia="Arial" w:hAnsi="Arial"/>
                <w:sz w:val="10"/>
                <w:szCs w:val="10"/>
                <w:color w:val="auto"/>
              </w:rPr>
              <w:t>(648)</w:t>
            </w: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240" w:type="dxa"/>
            <w:vAlign w:val="bottom"/>
            <w:shd w:val="clear" w:color="auto" w:fill="CCEEFF"/>
          </w:tcPr>
          <w:p>
            <w:pPr>
              <w:spacing w:after="0"/>
              <w:rPr>
                <w:sz w:val="20"/>
                <w:szCs w:val="20"/>
                <w:color w:val="auto"/>
              </w:rPr>
            </w:pPr>
            <w:r>
              <w:rPr>
                <w:rFonts w:ascii="Arial" w:cs="Arial" w:eastAsia="Arial" w:hAnsi="Arial"/>
                <w:sz w:val="10"/>
                <w:szCs w:val="10"/>
                <w:color w:val="auto"/>
              </w:rPr>
              <w:t>Total operating revenues as reported</w:t>
            </w:r>
          </w:p>
        </w:tc>
        <w:tc>
          <w:tcPr>
            <w:tcW w:w="500" w:type="dxa"/>
            <w:vAlign w:val="bottom"/>
            <w:gridSpan w:val="2"/>
            <w:shd w:val="clear" w:color="auto" w:fill="CCEEFF"/>
          </w:tcPr>
          <w:p>
            <w:pPr>
              <w:jc w:val="right"/>
              <w:ind w:right="360"/>
              <w:spacing w:after="0"/>
              <w:rPr>
                <w:sz w:val="20"/>
                <w:szCs w:val="20"/>
                <w:color w:val="auto"/>
              </w:rPr>
            </w:pPr>
            <w:r>
              <w:rPr>
                <w:rFonts w:ascii="Arial" w:cs="Arial" w:eastAsia="Arial" w:hAnsi="Arial"/>
                <w:sz w:val="10"/>
                <w:szCs w:val="10"/>
                <w:color w:val="auto"/>
              </w:rPr>
              <w:t>$</w:t>
            </w: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rPr>
              <w:t>13,912</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32"/>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12,551</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240" w:type="dxa"/>
            <w:vAlign w:val="bottom"/>
          </w:tcPr>
          <w:p>
            <w:pPr>
              <w:spacing w:after="0"/>
              <w:rPr>
                <w:sz w:val="20"/>
                <w:szCs w:val="20"/>
                <w:color w:val="auto"/>
              </w:rPr>
            </w:pPr>
            <w:r>
              <w:rPr>
                <w:rFonts w:ascii="Arial" w:cs="Arial" w:eastAsia="Arial" w:hAnsi="Arial"/>
                <w:sz w:val="10"/>
                <w:szCs w:val="10"/>
                <w:color w:val="auto"/>
              </w:rPr>
              <w:t>Pre-tax margin</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80" w:type="dxa"/>
            <w:vAlign w:val="bottom"/>
          </w:tcPr>
          <w:p>
            <w:pPr>
              <w:ind w:left="1080"/>
              <w:spacing w:after="0"/>
              <w:rPr>
                <w:sz w:val="20"/>
                <w:szCs w:val="20"/>
                <w:color w:val="auto"/>
              </w:rPr>
            </w:pPr>
            <w:r>
              <w:rPr>
                <w:rFonts w:ascii="Arial" w:cs="Arial" w:eastAsia="Arial" w:hAnsi="Arial"/>
                <w:sz w:val="10"/>
                <w:szCs w:val="10"/>
                <w:color w:val="auto"/>
                <w:w w:val="94"/>
              </w:rPr>
              <w:t>(3.4%)</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(5.2%)</w:t>
            </w: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2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Calculation of Pre-Tax Margin Excluding Net Special Items</w:t>
            </w:r>
          </w:p>
        </w:tc>
        <w:tc>
          <w:tcPr>
            <w:tcW w:w="80" w:type="dxa"/>
            <w:vAlign w:val="bottom"/>
            <w:tcBorders>
              <w:bottom w:val="single" w:sz="8" w:color="CCEEFF"/>
            </w:tcBorders>
          </w:tcPr>
          <w:p>
            <w:pPr>
              <w:spacing w:after="0"/>
              <w:rPr>
                <w:sz w:val="11"/>
                <w:szCs w:val="11"/>
                <w:color w:val="auto"/>
              </w:rPr>
            </w:pPr>
          </w:p>
        </w:tc>
        <w:tc>
          <w:tcPr>
            <w:tcW w:w="420" w:type="dxa"/>
            <w:vAlign w:val="bottom"/>
            <w:tcBorders>
              <w:bottom w:val="single" w:sz="8" w:color="CCEEFF"/>
            </w:tcBorders>
          </w:tcPr>
          <w:p>
            <w:pPr>
              <w:spacing w:after="0"/>
              <w:rPr>
                <w:sz w:val="11"/>
                <w:szCs w:val="11"/>
                <w:color w:val="auto"/>
              </w:rPr>
            </w:pPr>
          </w:p>
        </w:tc>
        <w:tc>
          <w:tcPr>
            <w:tcW w:w="13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12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6240" w:type="dxa"/>
            <w:vAlign w:val="bottom"/>
            <w:shd w:val="clear" w:color="auto" w:fill="CCEEFF"/>
          </w:tcPr>
          <w:p>
            <w:pPr>
              <w:spacing w:after="0"/>
              <w:rPr>
                <w:sz w:val="20"/>
                <w:szCs w:val="20"/>
                <w:color w:val="auto"/>
              </w:rPr>
            </w:pPr>
            <w:r>
              <w:rPr>
                <w:rFonts w:ascii="Arial" w:cs="Arial" w:eastAsia="Arial" w:hAnsi="Arial"/>
                <w:sz w:val="10"/>
                <w:szCs w:val="10"/>
                <w:color w:val="auto"/>
              </w:rPr>
              <w:t>Pre-tax loss excluding net special items</w:t>
            </w:r>
          </w:p>
        </w:tc>
        <w:tc>
          <w:tcPr>
            <w:tcW w:w="500" w:type="dxa"/>
            <w:vAlign w:val="bottom"/>
            <w:gridSpan w:val="2"/>
            <w:shd w:val="clear" w:color="auto" w:fill="CCEEFF"/>
          </w:tcPr>
          <w:p>
            <w:pPr>
              <w:jc w:val="right"/>
              <w:ind w:right="360"/>
              <w:spacing w:after="0"/>
              <w:rPr>
                <w:sz w:val="20"/>
                <w:szCs w:val="20"/>
                <w:color w:val="auto"/>
              </w:rPr>
            </w:pPr>
            <w:r>
              <w:rPr>
                <w:rFonts w:ascii="Arial" w:cs="Arial" w:eastAsia="Arial" w:hAnsi="Arial"/>
                <w:sz w:val="10"/>
                <w:szCs w:val="10"/>
                <w:color w:val="auto"/>
              </w:rPr>
              <w:t>$</w:t>
            </w:r>
          </w:p>
        </w:tc>
        <w:tc>
          <w:tcPr>
            <w:tcW w:w="13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(327)</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432"/>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(530)</w:t>
            </w:r>
          </w:p>
        </w:tc>
        <w:tc>
          <w:tcPr>
            <w:tcW w:w="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240" w:type="dxa"/>
            <w:vAlign w:val="bottom"/>
          </w:tcPr>
          <w:p>
            <w:pPr>
              <w:spacing w:after="0"/>
              <w:rPr>
                <w:sz w:val="20"/>
                <w:szCs w:val="20"/>
                <w:color w:val="auto"/>
              </w:rPr>
            </w:pPr>
            <w:r>
              <w:rPr>
                <w:rFonts w:ascii="Arial" w:cs="Arial" w:eastAsia="Arial" w:hAnsi="Arial"/>
                <w:sz w:val="10"/>
                <w:szCs w:val="10"/>
                <w:color w:val="auto"/>
              </w:rPr>
              <w:t>Total operating revenues as reported</w:t>
            </w:r>
          </w:p>
        </w:tc>
        <w:tc>
          <w:tcPr>
            <w:tcW w:w="500" w:type="dxa"/>
            <w:vAlign w:val="bottom"/>
            <w:gridSpan w:val="2"/>
          </w:tcPr>
          <w:p>
            <w:pPr>
              <w:jc w:val="right"/>
              <w:ind w:right="360"/>
              <w:spacing w:after="0"/>
              <w:rPr>
                <w:sz w:val="20"/>
                <w:szCs w:val="20"/>
                <w:color w:val="auto"/>
              </w:rPr>
            </w:pPr>
            <w:r>
              <w:rPr>
                <w:rFonts w:ascii="Arial" w:cs="Arial" w:eastAsia="Arial" w:hAnsi="Arial"/>
                <w:sz w:val="10"/>
                <w:szCs w:val="10"/>
                <w:color w:val="auto"/>
              </w:rPr>
              <w:t>$</w:t>
            </w:r>
          </w:p>
        </w:tc>
        <w:tc>
          <w:tcPr>
            <w:tcW w:w="1380" w:type="dxa"/>
            <w:vAlign w:val="bottom"/>
          </w:tcPr>
          <w:p>
            <w:pPr>
              <w:jc w:val="right"/>
              <w:ind w:right="132"/>
              <w:spacing w:after="0"/>
              <w:rPr>
                <w:sz w:val="20"/>
                <w:szCs w:val="20"/>
                <w:color w:val="auto"/>
              </w:rPr>
            </w:pPr>
            <w:r>
              <w:rPr>
                <w:rFonts w:ascii="Arial" w:cs="Arial" w:eastAsia="Arial" w:hAnsi="Arial"/>
                <w:sz w:val="10"/>
                <w:szCs w:val="10"/>
                <w:color w:val="auto"/>
              </w:rPr>
              <w:t>13,912</w:t>
            </w:r>
          </w:p>
        </w:tc>
        <w:tc>
          <w:tcPr>
            <w:tcW w:w="80" w:type="dxa"/>
            <w:vAlign w:val="bottom"/>
          </w:tcPr>
          <w:p>
            <w:pPr>
              <w:spacing w:after="0"/>
              <w:rPr>
                <w:sz w:val="11"/>
                <w:szCs w:val="11"/>
                <w:color w:val="auto"/>
              </w:rPr>
            </w:pPr>
          </w:p>
        </w:tc>
        <w:tc>
          <w:tcPr>
            <w:tcW w:w="540" w:type="dxa"/>
            <w:vAlign w:val="bottom"/>
          </w:tcPr>
          <w:p>
            <w:pPr>
              <w:jc w:val="right"/>
              <w:ind w:right="432"/>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ind w:right="112"/>
              <w:spacing w:after="0"/>
              <w:rPr>
                <w:sz w:val="20"/>
                <w:szCs w:val="20"/>
                <w:color w:val="auto"/>
              </w:rPr>
            </w:pPr>
            <w:r>
              <w:rPr>
                <w:rFonts w:ascii="Arial" w:cs="Arial" w:eastAsia="Arial" w:hAnsi="Arial"/>
                <w:sz w:val="10"/>
                <w:szCs w:val="10"/>
                <w:color w:val="auto"/>
              </w:rPr>
              <w:t>12,551</w:t>
            </w: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240" w:type="dxa"/>
            <w:vAlign w:val="bottom"/>
            <w:shd w:val="clear" w:color="auto" w:fill="CCEEFF"/>
          </w:tcPr>
          <w:p>
            <w:pPr>
              <w:spacing w:after="0"/>
              <w:rPr>
                <w:sz w:val="20"/>
                <w:szCs w:val="20"/>
                <w:color w:val="auto"/>
              </w:rPr>
            </w:pPr>
            <w:r>
              <w:rPr>
                <w:rFonts w:ascii="Arial" w:cs="Arial" w:eastAsia="Arial" w:hAnsi="Arial"/>
                <w:sz w:val="10"/>
                <w:szCs w:val="10"/>
                <w:color w:val="auto"/>
              </w:rPr>
              <w:t>Pre-tax margin excluding net special items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80" w:type="dxa"/>
            <w:vAlign w:val="bottom"/>
            <w:shd w:val="clear" w:color="auto" w:fill="CCEEFF"/>
          </w:tcPr>
          <w:p>
            <w:pPr>
              <w:ind w:left="1080"/>
              <w:spacing w:after="0"/>
              <w:rPr>
                <w:sz w:val="20"/>
                <w:szCs w:val="20"/>
                <w:color w:val="auto"/>
              </w:rPr>
            </w:pPr>
            <w:r>
              <w:rPr>
                <w:rFonts w:ascii="Arial" w:cs="Arial" w:eastAsia="Arial" w:hAnsi="Arial"/>
                <w:sz w:val="10"/>
                <w:szCs w:val="10"/>
                <w:color w:val="auto"/>
                <w:w w:val="94"/>
              </w:rPr>
              <w:t>(2.4%)</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308"/>
          </w:cols>
          <w:pgMar w:left="292" w:top="128" w:right="299" w:bottom="1440" w:gutter="0" w:footer="0" w:header="0"/>
        </w:sectPr>
      </w:pPr>
    </w:p>
    <w:bookmarkStart w:id="13" w:name="page14"/>
    <w:bookmarkEnd w:id="13"/>
    <w:p>
      <w:pPr>
        <w:ind w:left="8"/>
        <w:spacing w:after="0"/>
        <w:rPr>
          <w:sz w:val="20"/>
          <w:szCs w:val="20"/>
          <w:color w:val="auto"/>
        </w:rPr>
      </w:pPr>
      <w:r>
        <w:rPr>
          <w:rFonts w:ascii="Arial" w:cs="Arial" w:eastAsia="Arial" w:hAnsi="Arial"/>
          <w:sz w:val="12"/>
          <w:szCs w:val="12"/>
          <w:b w:val="1"/>
          <w:bCs w:val="1"/>
          <w:color w:val="auto"/>
        </w:rPr>
        <w:t>American Airlines Reports First-Quarter 2026 Financial Results</w:t>
      </w:r>
    </w:p>
    <w:p>
      <w:pPr>
        <w:spacing w:after="0" w:line="17" w:lineRule="exact"/>
        <w:rPr>
          <w:sz w:val="20"/>
          <w:szCs w:val="20"/>
          <w:color w:val="auto"/>
        </w:rPr>
      </w:pPr>
    </w:p>
    <w:p>
      <w:pPr>
        <w:ind w:left="8"/>
        <w:spacing w:after="0"/>
        <w:rPr>
          <w:sz w:val="20"/>
          <w:szCs w:val="20"/>
          <w:color w:val="auto"/>
        </w:rPr>
      </w:pPr>
      <w:r>
        <w:rPr>
          <w:rFonts w:ascii="Arial" w:cs="Arial" w:eastAsia="Arial" w:hAnsi="Arial"/>
          <w:sz w:val="12"/>
          <w:szCs w:val="12"/>
          <w:color w:val="auto"/>
        </w:rPr>
        <w:t>April 23, 2026</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Page 11</w:t>
      </w:r>
    </w:p>
    <w:p>
      <w:pPr>
        <w:spacing w:after="0" w:line="229" w:lineRule="exact"/>
        <w:rPr>
          <w:sz w:val="20"/>
          <w:szCs w:val="20"/>
          <w:color w:val="auto"/>
        </w:rPr>
      </w:pPr>
    </w:p>
    <w:tbl>
      <w:tblPr>
        <w:tblLayout w:type="fixed"/>
        <w:tblInd w:w="48" w:type="dxa"/>
        <w:tblCellMar>
          <w:top w:w="0" w:type="dxa"/>
          <w:left w:w="0" w:type="dxa"/>
          <w:bottom w:w="0" w:type="dxa"/>
          <w:right w:w="0" w:type="dxa"/>
        </w:tblCellMar>
      </w:tblPr>
      <w:tr>
        <w:trPr>
          <w:trHeight w:val="115"/>
        </w:trPr>
        <w:tc>
          <w:tcPr>
            <w:tcW w:w="6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0" w:type="dxa"/>
            <w:vAlign w:val="bottom"/>
            <w:gridSpan w:val="3"/>
          </w:tcPr>
          <w:p>
            <w:pPr>
              <w:jc w:val="center"/>
              <w:ind w:right="532"/>
              <w:spacing w:after="0"/>
              <w:rPr>
                <w:sz w:val="20"/>
                <w:szCs w:val="20"/>
                <w:color w:val="auto"/>
              </w:rPr>
            </w:pPr>
            <w:r>
              <w:rPr>
                <w:rFonts w:ascii="Arial" w:cs="Arial" w:eastAsia="Arial" w:hAnsi="Arial"/>
                <w:sz w:val="10"/>
                <w:szCs w:val="10"/>
                <w:color w:val="auto"/>
                <w:w w:val="96"/>
              </w:rPr>
              <w:t>3 Months Ended</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vMerge w:val="restart"/>
          </w:tcPr>
          <w:p>
            <w:pPr>
              <w:jc w:val="center"/>
              <w:spacing w:after="0"/>
              <w:rPr>
                <w:sz w:val="20"/>
                <w:szCs w:val="20"/>
                <w:color w:val="auto"/>
              </w:rPr>
            </w:pPr>
            <w:r>
              <w:rPr>
                <w:rFonts w:ascii="Arial" w:cs="Arial" w:eastAsia="Arial" w:hAnsi="Arial"/>
                <w:sz w:val="10"/>
                <w:szCs w:val="10"/>
                <w:color w:val="auto"/>
                <w:w w:val="92"/>
              </w:rPr>
              <w:t>Percent</w:t>
            </w:r>
          </w:p>
        </w:tc>
        <w:tc>
          <w:tcPr>
            <w:tcW w:w="0" w:type="dxa"/>
            <w:vAlign w:val="bottom"/>
          </w:tcPr>
          <w:p>
            <w:pPr>
              <w:spacing w:after="0"/>
              <w:rPr>
                <w:sz w:val="1"/>
                <w:szCs w:val="1"/>
                <w:color w:val="auto"/>
              </w:rPr>
            </w:pPr>
          </w:p>
        </w:tc>
      </w:tr>
      <w:tr>
        <w:trPr>
          <w:trHeight w:val="117"/>
        </w:trPr>
        <w:tc>
          <w:tcPr>
            <w:tcW w:w="6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0" w:type="dxa"/>
            <w:vAlign w:val="bottom"/>
            <w:gridSpan w:val="3"/>
          </w:tcPr>
          <w:p>
            <w:pPr>
              <w:jc w:val="center"/>
              <w:ind w:right="512"/>
              <w:spacing w:after="0"/>
              <w:rPr>
                <w:sz w:val="20"/>
                <w:szCs w:val="20"/>
                <w:color w:val="auto"/>
              </w:rPr>
            </w:pPr>
            <w:r>
              <w:rPr>
                <w:rFonts w:ascii="Arial" w:cs="Arial" w:eastAsia="Arial" w:hAnsi="Arial"/>
                <w:sz w:val="10"/>
                <w:szCs w:val="10"/>
                <w:color w:val="auto"/>
                <w:w w:val="98"/>
              </w:rPr>
              <w:t>March 31,</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63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Reconciliation of Net Loss Excluding Net Special Items</w:t>
            </w:r>
          </w:p>
        </w:tc>
        <w:tc>
          <w:tcPr>
            <w:tcW w:w="80" w:type="dxa"/>
            <w:vAlign w:val="bottom"/>
          </w:tcPr>
          <w:p>
            <w:pPr>
              <w:spacing w:after="0"/>
              <w:rPr>
                <w:sz w:val="12"/>
                <w:szCs w:val="12"/>
                <w:color w:val="auto"/>
              </w:rPr>
            </w:pPr>
          </w:p>
        </w:tc>
        <w:tc>
          <w:tcPr>
            <w:tcW w:w="1140" w:type="dxa"/>
            <w:vAlign w:val="bottom"/>
            <w:tcBorders>
              <w:bottom w:val="single" w:sz="8" w:color="auto"/>
            </w:tcBorders>
          </w:tcPr>
          <w:p>
            <w:pPr>
              <w:jc w:val="right"/>
              <w:ind w:right="133"/>
              <w:spacing w:after="0"/>
              <w:rPr>
                <w:sz w:val="20"/>
                <w:szCs w:val="20"/>
                <w:color w:val="auto"/>
              </w:rPr>
            </w:pPr>
            <w:r>
              <w:rPr>
                <w:rFonts w:ascii="Arial" w:cs="Arial" w:eastAsia="Arial" w:hAnsi="Arial"/>
                <w:sz w:val="10"/>
                <w:szCs w:val="10"/>
                <w:color w:val="auto"/>
              </w:rPr>
              <w:t>2026</w:t>
            </w:r>
          </w:p>
        </w:tc>
        <w:tc>
          <w:tcPr>
            <w:tcW w:w="5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2025</w:t>
            </w:r>
          </w:p>
        </w:tc>
        <w:tc>
          <w:tcPr>
            <w:tcW w:w="5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3"/>
              </w:rPr>
              <w:t>Decrease</w:t>
            </w:r>
          </w:p>
        </w:tc>
        <w:tc>
          <w:tcPr>
            <w:tcW w:w="0" w:type="dxa"/>
            <w:vAlign w:val="bottom"/>
          </w:tcPr>
          <w:p>
            <w:pPr>
              <w:spacing w:after="0"/>
              <w:rPr>
                <w:sz w:val="1"/>
                <w:szCs w:val="1"/>
                <w:color w:val="auto"/>
              </w:rPr>
            </w:pPr>
          </w:p>
        </w:tc>
      </w:tr>
      <w:tr>
        <w:trPr>
          <w:trHeight w:val="120"/>
        </w:trPr>
        <w:tc>
          <w:tcPr>
            <w:tcW w:w="6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40" w:type="dxa"/>
            <w:vAlign w:val="bottom"/>
            <w:gridSpan w:val="4"/>
          </w:tcPr>
          <w:p>
            <w:pPr>
              <w:jc w:val="center"/>
              <w:ind w:left="533"/>
              <w:spacing w:after="0"/>
              <w:rPr>
                <w:sz w:val="20"/>
                <w:szCs w:val="20"/>
                <w:color w:val="auto"/>
              </w:rPr>
            </w:pPr>
            <w:r>
              <w:rPr>
                <w:rFonts w:ascii="Arial" w:cs="Arial" w:eastAsia="Arial" w:hAnsi="Arial"/>
                <w:sz w:val="8"/>
                <w:szCs w:val="8"/>
                <w:color w:val="auto"/>
              </w:rPr>
              <w:t>(in millions, except share and per share amounts)</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64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Net loss as reported</w:t>
            </w:r>
          </w:p>
        </w:tc>
        <w:tc>
          <w:tcPr>
            <w:tcW w:w="1140" w:type="dxa"/>
            <w:vAlign w:val="bottom"/>
            <w:shd w:val="clear" w:color="auto" w:fill="CCEEFF"/>
          </w:tcPr>
          <w:p>
            <w:pPr>
              <w:jc w:val="right"/>
              <w:ind w:right="1033"/>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(382)</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032"/>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(473)</w:t>
            </w: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460" w:type="dxa"/>
            <w:vAlign w:val="bottom"/>
            <w:gridSpan w:val="2"/>
          </w:tcPr>
          <w:p>
            <w:pPr>
              <w:spacing w:after="0"/>
              <w:rPr>
                <w:sz w:val="20"/>
                <w:szCs w:val="20"/>
                <w:color w:val="auto"/>
              </w:rPr>
            </w:pPr>
            <w:r>
              <w:rPr>
                <w:rFonts w:ascii="Arial" w:cs="Arial" w:eastAsia="Arial" w:hAnsi="Arial"/>
                <w:sz w:val="10"/>
                <w:szCs w:val="10"/>
                <w:color w:val="auto"/>
              </w:rPr>
              <w:t>Net special items:</w:t>
            </w: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46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 xml:space="preserve">Total pre-tax net special items </w:t>
            </w:r>
            <w:r>
              <w:rPr>
                <w:rFonts w:ascii="Arial" w:cs="Arial" w:eastAsia="Arial" w:hAnsi="Arial"/>
                <w:sz w:val="12"/>
                <w:szCs w:val="12"/>
                <w:color w:val="auto"/>
                <w:vertAlign w:val="superscript"/>
              </w:rPr>
              <w:t>(1), (2)</w:t>
            </w:r>
          </w:p>
        </w:tc>
        <w:tc>
          <w:tcPr>
            <w:tcW w:w="11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149</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118</w:t>
            </w: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460" w:type="dxa"/>
            <w:vAlign w:val="bottom"/>
            <w:tcBorders>
              <w:bottom w:val="single" w:sz="8" w:color="CCEEFF"/>
            </w:tcBorders>
            <w:gridSpan w:val="2"/>
          </w:tcPr>
          <w:p>
            <w:pPr>
              <w:ind w:left="220"/>
              <w:spacing w:after="0"/>
              <w:rPr>
                <w:sz w:val="20"/>
                <w:szCs w:val="20"/>
                <w:color w:val="auto"/>
              </w:rPr>
            </w:pPr>
            <w:r>
              <w:rPr>
                <w:rFonts w:ascii="Arial" w:cs="Arial" w:eastAsia="Arial" w:hAnsi="Arial"/>
                <w:sz w:val="10"/>
                <w:szCs w:val="10"/>
                <w:color w:val="auto"/>
              </w:rPr>
              <w:t>Net tax effect of net special items</w:t>
            </w:r>
          </w:p>
        </w:tc>
        <w:tc>
          <w:tcPr>
            <w:tcW w:w="1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w:t>
            </w:r>
          </w:p>
        </w:tc>
        <w:tc>
          <w:tcPr>
            <w:tcW w:w="8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(31)</w:t>
            </w:r>
          </w:p>
        </w:tc>
        <w:tc>
          <w:tcPr>
            <w:tcW w:w="80" w:type="dxa"/>
            <w:vAlign w:val="bottom"/>
            <w:tcBorders>
              <w:bottom w:val="single" w:sz="8" w:color="CCEEFF"/>
            </w:tcBorders>
          </w:tcPr>
          <w:p>
            <w:pPr>
              <w:spacing w:after="0"/>
              <w:rPr>
                <w:sz w:val="11"/>
                <w:szCs w:val="11"/>
                <w:color w:val="auto"/>
              </w:rPr>
            </w:pPr>
          </w:p>
        </w:tc>
        <w:tc>
          <w:tcPr>
            <w:tcW w:w="11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4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Net loss excluding net special items</w:t>
            </w:r>
          </w:p>
        </w:tc>
        <w:tc>
          <w:tcPr>
            <w:tcW w:w="1140" w:type="dxa"/>
            <w:vAlign w:val="bottom"/>
            <w:shd w:val="clear" w:color="auto" w:fill="CCEEFF"/>
          </w:tcPr>
          <w:p>
            <w:pPr>
              <w:jc w:val="right"/>
              <w:ind w:right="1033"/>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(267)</w:t>
            </w: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ind w:right="1032"/>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(386)</w:t>
            </w:r>
          </w:p>
        </w:tc>
        <w:tc>
          <w:tcPr>
            <w:tcW w:w="1240" w:type="dxa"/>
            <w:vAlign w:val="bottom"/>
            <w:gridSpan w:val="2"/>
            <w:shd w:val="clear" w:color="auto" w:fill="CCEEFF"/>
          </w:tcPr>
          <w:p>
            <w:pPr>
              <w:jc w:val="center"/>
              <w:ind w:left="32"/>
              <w:spacing w:after="0"/>
              <w:rPr>
                <w:sz w:val="20"/>
                <w:szCs w:val="20"/>
                <w:color w:val="auto"/>
              </w:rPr>
            </w:pPr>
            <w:r>
              <w:rPr>
                <w:rFonts w:ascii="Arial" w:cs="Arial" w:eastAsia="Arial" w:hAnsi="Arial"/>
                <w:sz w:val="10"/>
                <w:szCs w:val="10"/>
                <w:color w:val="auto"/>
                <w:w w:val="91"/>
              </w:rPr>
              <w:t>(30.8%)</w:t>
            </w:r>
          </w:p>
        </w:tc>
        <w:tc>
          <w:tcPr>
            <w:tcW w:w="0" w:type="dxa"/>
            <w:vAlign w:val="bottom"/>
          </w:tcPr>
          <w:p>
            <w:pPr>
              <w:spacing w:after="0"/>
              <w:rPr>
                <w:sz w:val="1"/>
                <w:szCs w:val="1"/>
                <w:color w:val="auto"/>
              </w:rPr>
            </w:pPr>
          </w:p>
        </w:tc>
      </w:tr>
      <w:tr>
        <w:trPr>
          <w:trHeight w:val="144"/>
        </w:trPr>
        <w:tc>
          <w:tcPr>
            <w:tcW w:w="6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rPr>
              <w:t>Reconciliation of Basic and Diluted Loss Per Share Excluding Net Special Items</w:t>
            </w: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6460" w:type="dxa"/>
            <w:vAlign w:val="bottom"/>
            <w:gridSpan w:val="2"/>
          </w:tcPr>
          <w:p>
            <w:pPr>
              <w:spacing w:after="0"/>
              <w:rPr>
                <w:sz w:val="20"/>
                <w:szCs w:val="20"/>
                <w:color w:val="auto"/>
              </w:rPr>
            </w:pPr>
            <w:r>
              <w:rPr>
                <w:rFonts w:ascii="Arial" w:cs="Arial" w:eastAsia="Arial" w:hAnsi="Arial"/>
                <w:sz w:val="10"/>
                <w:szCs w:val="10"/>
                <w:color w:val="auto"/>
              </w:rPr>
              <w:t>Net loss excluding net special items</w:t>
            </w:r>
          </w:p>
        </w:tc>
        <w:tc>
          <w:tcPr>
            <w:tcW w:w="1140" w:type="dxa"/>
            <w:vAlign w:val="bottom"/>
          </w:tcPr>
          <w:p>
            <w:pPr>
              <w:jc w:val="right"/>
              <w:ind w:right="1033"/>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(267)</w:t>
            </w:r>
          </w:p>
        </w:tc>
        <w:tc>
          <w:tcPr>
            <w:tcW w:w="80" w:type="dxa"/>
            <w:vAlign w:val="bottom"/>
          </w:tcPr>
          <w:p>
            <w:pPr>
              <w:spacing w:after="0"/>
              <w:rPr>
                <w:sz w:val="10"/>
                <w:szCs w:val="10"/>
                <w:color w:val="auto"/>
              </w:rPr>
            </w:pPr>
          </w:p>
        </w:tc>
        <w:tc>
          <w:tcPr>
            <w:tcW w:w="1140" w:type="dxa"/>
            <w:vAlign w:val="bottom"/>
          </w:tcPr>
          <w:p>
            <w:pPr>
              <w:jc w:val="right"/>
              <w:ind w:right="1032"/>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(386)</w:t>
            </w: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4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Shares used for computation (in thousands):</w:t>
            </w:r>
          </w:p>
        </w:tc>
        <w:tc>
          <w:tcPr>
            <w:tcW w:w="1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460" w:type="dxa"/>
            <w:vAlign w:val="bottom"/>
            <w:tcBorders>
              <w:bottom w:val="single" w:sz="8" w:color="CCEEFF"/>
            </w:tcBorders>
            <w:gridSpan w:val="2"/>
          </w:tcPr>
          <w:p>
            <w:pPr>
              <w:ind w:left="140"/>
              <w:spacing w:after="0"/>
              <w:rPr>
                <w:sz w:val="20"/>
                <w:szCs w:val="20"/>
                <w:color w:val="auto"/>
              </w:rPr>
            </w:pPr>
            <w:r>
              <w:rPr>
                <w:rFonts w:ascii="Arial" w:cs="Arial" w:eastAsia="Arial" w:hAnsi="Arial"/>
                <w:sz w:val="10"/>
                <w:szCs w:val="10"/>
                <w:color w:val="auto"/>
              </w:rPr>
              <w:t>Basic and diluted</w:t>
            </w:r>
          </w:p>
        </w:tc>
        <w:tc>
          <w:tcPr>
            <w:tcW w:w="1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661,181</w:t>
            </w:r>
          </w:p>
        </w:tc>
        <w:tc>
          <w:tcPr>
            <w:tcW w:w="8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658,880</w:t>
            </w:r>
          </w:p>
        </w:tc>
        <w:tc>
          <w:tcPr>
            <w:tcW w:w="80" w:type="dxa"/>
            <w:vAlign w:val="bottom"/>
            <w:tcBorders>
              <w:bottom w:val="single" w:sz="8" w:color="CCEEFF"/>
            </w:tcBorders>
          </w:tcPr>
          <w:p>
            <w:pPr>
              <w:spacing w:after="0"/>
              <w:rPr>
                <w:sz w:val="11"/>
                <w:szCs w:val="11"/>
                <w:color w:val="auto"/>
              </w:rPr>
            </w:pPr>
          </w:p>
        </w:tc>
        <w:tc>
          <w:tcPr>
            <w:tcW w:w="11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6460" w:type="dxa"/>
            <w:vAlign w:val="bottom"/>
            <w:gridSpan w:val="2"/>
            <w:shd w:val="clear" w:color="auto" w:fill="CCEEFF"/>
          </w:tcPr>
          <w:p>
            <w:pPr>
              <w:spacing w:after="0" w:line="111" w:lineRule="exact"/>
              <w:rPr>
                <w:sz w:val="20"/>
                <w:szCs w:val="20"/>
                <w:color w:val="auto"/>
              </w:rPr>
            </w:pPr>
            <w:r>
              <w:rPr>
                <w:rFonts w:ascii="Arial" w:cs="Arial" w:eastAsia="Arial" w:hAnsi="Arial"/>
                <w:sz w:val="10"/>
                <w:szCs w:val="10"/>
                <w:color w:val="auto"/>
              </w:rPr>
              <w:t>Loss per share excluding net special items:</w:t>
            </w:r>
          </w:p>
        </w:tc>
        <w:tc>
          <w:tcPr>
            <w:tcW w:w="1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6460" w:type="dxa"/>
            <w:vAlign w:val="bottom"/>
            <w:tcBorders>
              <w:bottom w:val="single" w:sz="8" w:color="CCEEFF"/>
            </w:tcBorders>
            <w:gridSpan w:val="2"/>
          </w:tcPr>
          <w:p>
            <w:pPr>
              <w:ind w:left="140"/>
              <w:spacing w:after="0"/>
              <w:rPr>
                <w:sz w:val="20"/>
                <w:szCs w:val="20"/>
                <w:color w:val="auto"/>
              </w:rPr>
            </w:pPr>
            <w:r>
              <w:rPr>
                <w:rFonts w:ascii="Arial" w:cs="Arial" w:eastAsia="Arial" w:hAnsi="Arial"/>
                <w:sz w:val="10"/>
                <w:szCs w:val="10"/>
                <w:color w:val="auto"/>
              </w:rPr>
              <w:t>Basic and diluted</w:t>
            </w:r>
          </w:p>
        </w:tc>
        <w:tc>
          <w:tcPr>
            <w:tcW w:w="1140" w:type="dxa"/>
            <w:vAlign w:val="bottom"/>
            <w:tcBorders>
              <w:bottom w:val="single" w:sz="8" w:color="auto"/>
            </w:tcBorders>
          </w:tcPr>
          <w:p>
            <w:pPr>
              <w:jc w:val="right"/>
              <w:ind w:right="1033"/>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(0.40)</w:t>
            </w:r>
          </w:p>
        </w:tc>
        <w:tc>
          <w:tcPr>
            <w:tcW w:w="8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jc w:val="right"/>
              <w:ind w:right="103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(0.59)</w:t>
            </w:r>
          </w:p>
        </w:tc>
        <w:tc>
          <w:tcPr>
            <w:tcW w:w="80" w:type="dxa"/>
            <w:vAlign w:val="bottom"/>
            <w:tcBorders>
              <w:bottom w:val="single" w:sz="8" w:color="CCEEFF"/>
            </w:tcBorders>
          </w:tcPr>
          <w:p>
            <w:pPr>
              <w:spacing w:after="0"/>
              <w:rPr>
                <w:sz w:val="11"/>
                <w:szCs w:val="11"/>
                <w:color w:val="auto"/>
              </w:rPr>
            </w:pPr>
          </w:p>
        </w:tc>
        <w:tc>
          <w:tcPr>
            <w:tcW w:w="11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6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63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Reconciliation of Total Operating Costs per ASM Excluding Net Special Items, Fuel and Profit Sharing</w:t>
            </w:r>
          </w:p>
        </w:tc>
        <w:tc>
          <w:tcPr>
            <w:tcW w:w="80" w:type="dxa"/>
            <w:vAlign w:val="bottom"/>
            <w:tcBorders>
              <w:bottom w:val="single" w:sz="8" w:color="CCEEFF"/>
            </w:tcBorders>
          </w:tcPr>
          <w:p>
            <w:pPr>
              <w:spacing w:after="0"/>
              <w:rPr>
                <w:sz w:val="11"/>
                <w:szCs w:val="11"/>
                <w:color w:val="auto"/>
              </w:rPr>
            </w:pPr>
          </w:p>
        </w:tc>
        <w:tc>
          <w:tcPr>
            <w:tcW w:w="114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14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1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64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Total operating expenses as reported</w:t>
            </w:r>
          </w:p>
        </w:tc>
        <w:tc>
          <w:tcPr>
            <w:tcW w:w="1140" w:type="dxa"/>
            <w:vAlign w:val="bottom"/>
            <w:shd w:val="clear" w:color="auto" w:fill="CCEEFF"/>
          </w:tcPr>
          <w:p>
            <w:pPr>
              <w:jc w:val="right"/>
              <w:ind w:right="1033"/>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13,953</w:t>
            </w:r>
          </w:p>
        </w:tc>
        <w:tc>
          <w:tcPr>
            <w:tcW w:w="8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1032"/>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12,821</w:t>
            </w: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Operating net special items:</w:t>
            </w:r>
          </w:p>
        </w:tc>
        <w:tc>
          <w:tcPr>
            <w:tcW w:w="1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60" w:type="dxa"/>
            <w:vAlign w:val="bottom"/>
            <w:tcBorders>
              <w:bottom w:val="single" w:sz="8" w:color="CCEEFF"/>
            </w:tcBorders>
            <w:gridSpan w:val="2"/>
          </w:tcPr>
          <w:p>
            <w:pPr>
              <w:ind w:left="220"/>
              <w:spacing w:after="0" w:line="135" w:lineRule="exact"/>
              <w:rPr>
                <w:sz w:val="20"/>
                <w:szCs w:val="20"/>
                <w:color w:val="auto"/>
              </w:rPr>
            </w:pPr>
            <w:r>
              <w:rPr>
                <w:rFonts w:ascii="Arial" w:cs="Arial" w:eastAsia="Arial" w:hAnsi="Arial"/>
                <w:sz w:val="10"/>
                <w:szCs w:val="10"/>
                <w:color w:val="auto"/>
              </w:rPr>
              <w:t xml:space="preserve">Mainline operating special items, net </w:t>
            </w:r>
            <w:r>
              <w:rPr>
                <w:rFonts w:ascii="Arial" w:cs="Arial" w:eastAsia="Arial" w:hAnsi="Arial"/>
                <w:sz w:val="12"/>
                <w:szCs w:val="12"/>
                <w:color w:val="auto"/>
                <w:vertAlign w:val="superscript"/>
              </w:rPr>
              <w:t>(1)</w:t>
            </w:r>
          </w:p>
        </w:tc>
        <w:tc>
          <w:tcPr>
            <w:tcW w:w="1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w:t>
            </w:r>
          </w:p>
        </w:tc>
        <w:tc>
          <w:tcPr>
            <w:tcW w:w="8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(70)</w:t>
            </w:r>
          </w:p>
        </w:tc>
        <w:tc>
          <w:tcPr>
            <w:tcW w:w="80" w:type="dxa"/>
            <w:vAlign w:val="bottom"/>
            <w:tcBorders>
              <w:bottom w:val="single" w:sz="8" w:color="CCEEFF"/>
            </w:tcBorders>
          </w:tcPr>
          <w:p>
            <w:pPr>
              <w:spacing w:after="0"/>
              <w:rPr>
                <w:sz w:val="11"/>
                <w:szCs w:val="11"/>
                <w:color w:val="auto"/>
              </w:rPr>
            </w:pPr>
          </w:p>
        </w:tc>
        <w:tc>
          <w:tcPr>
            <w:tcW w:w="11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64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Total operating expenses excluding net special items</w:t>
            </w:r>
          </w:p>
        </w:tc>
        <w:tc>
          <w:tcPr>
            <w:tcW w:w="114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13,939</w:t>
            </w:r>
          </w:p>
        </w:tc>
        <w:tc>
          <w:tcPr>
            <w:tcW w:w="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12,751</w:t>
            </w: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4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Aircraft fuel and related taxes</w:t>
            </w:r>
          </w:p>
        </w:tc>
        <w:tc>
          <w:tcPr>
            <w:tcW w:w="11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(2,928)</w:t>
            </w:r>
          </w:p>
        </w:tc>
        <w:tc>
          <w:tcPr>
            <w:tcW w:w="80" w:type="dxa"/>
            <w:vAlign w:val="bottom"/>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(2,587)</w:t>
            </w: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6460" w:type="dxa"/>
            <w:vAlign w:val="bottom"/>
            <w:gridSpan w:val="2"/>
          </w:tcPr>
          <w:p>
            <w:pPr>
              <w:spacing w:after="0"/>
              <w:rPr>
                <w:sz w:val="20"/>
                <w:szCs w:val="20"/>
                <w:color w:val="auto"/>
              </w:rPr>
            </w:pPr>
            <w:r>
              <w:rPr>
                <w:rFonts w:ascii="Arial" w:cs="Arial" w:eastAsia="Arial" w:hAnsi="Arial"/>
                <w:sz w:val="10"/>
                <w:szCs w:val="10"/>
                <w:color w:val="auto"/>
              </w:rPr>
              <w:t>Total operating expenses excluding net special items and fuel</w:t>
            </w:r>
          </w:p>
        </w:tc>
        <w:tc>
          <w:tcPr>
            <w:tcW w:w="1140" w:type="dxa"/>
            <w:vAlign w:val="bottom"/>
          </w:tcPr>
          <w:p>
            <w:pPr>
              <w:spacing w:after="0"/>
              <w:rPr>
                <w:sz w:val="10"/>
                <w:szCs w:val="10"/>
                <w:color w:val="auto"/>
              </w:rPr>
            </w:pP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11,011</w:t>
            </w: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10,164</w:t>
            </w: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6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6460" w:type="dxa"/>
            <w:vAlign w:val="bottom"/>
            <w:gridSpan w:val="2"/>
          </w:tcPr>
          <w:p>
            <w:pPr>
              <w:spacing w:after="0"/>
              <w:rPr>
                <w:sz w:val="20"/>
                <w:szCs w:val="20"/>
                <w:color w:val="auto"/>
              </w:rPr>
            </w:pPr>
            <w:r>
              <w:rPr>
                <w:rFonts w:ascii="Arial" w:cs="Arial" w:eastAsia="Arial" w:hAnsi="Arial"/>
                <w:sz w:val="10"/>
                <w:szCs w:val="10"/>
                <w:color w:val="auto"/>
              </w:rPr>
              <w:t>Profit sharing</w:t>
            </w:r>
          </w:p>
        </w:tc>
        <w:tc>
          <w:tcPr>
            <w:tcW w:w="114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140" w:type="dxa"/>
            <w:vAlign w:val="bottom"/>
          </w:tcPr>
          <w:p>
            <w:pPr>
              <w:spacing w:after="0"/>
              <w:rPr>
                <w:sz w:val="11"/>
                <w:szCs w:val="11"/>
                <w:color w:val="auto"/>
              </w:rPr>
            </w:pP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0"/>
                <w:szCs w:val="10"/>
                <w:color w:val="auto"/>
              </w:rPr>
              <w:t>Total operating expenses excluding net special items, fuel and profit sharing</w:t>
            </w:r>
          </w:p>
        </w:tc>
        <w:tc>
          <w:tcPr>
            <w:tcW w:w="1140" w:type="dxa"/>
            <w:vAlign w:val="bottom"/>
            <w:tcBorders>
              <w:top w:val="single" w:sz="8" w:color="auto"/>
            </w:tcBorders>
            <w:shd w:val="clear" w:color="auto" w:fill="CCEEFF"/>
          </w:tcPr>
          <w:p>
            <w:pPr>
              <w:jc w:val="right"/>
              <w:ind w:right="1033"/>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11,011</w:t>
            </w:r>
          </w:p>
        </w:tc>
        <w:tc>
          <w:tcPr>
            <w:tcW w:w="8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right"/>
              <w:ind w:right="103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10,164</w:t>
            </w:r>
          </w:p>
        </w:tc>
        <w:tc>
          <w:tcPr>
            <w:tcW w:w="8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3"/>
          </w:tcPr>
          <w:p>
            <w:pPr>
              <w:jc w:val="center"/>
              <w:ind w:right="512"/>
              <w:spacing w:after="0"/>
              <w:rPr>
                <w:sz w:val="20"/>
                <w:szCs w:val="20"/>
                <w:color w:val="auto"/>
              </w:rPr>
            </w:pPr>
            <w:r>
              <w:rPr>
                <w:rFonts w:ascii="Arial" w:cs="Arial" w:eastAsia="Arial" w:hAnsi="Arial"/>
                <w:sz w:val="8"/>
                <w:szCs w:val="8"/>
                <w:color w:val="auto"/>
              </w:rPr>
              <w:t>(in cents)</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4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Total operating expenses per ASM as reported</w:t>
            </w:r>
          </w:p>
        </w:tc>
        <w:tc>
          <w:tcPr>
            <w:tcW w:w="11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19.38</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18.34</w:t>
            </w: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Operating net special items per ASM:</w:t>
            </w:r>
          </w:p>
        </w:tc>
        <w:tc>
          <w:tcPr>
            <w:tcW w:w="1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60" w:type="dxa"/>
            <w:vAlign w:val="bottom"/>
            <w:tcBorders>
              <w:bottom w:val="single" w:sz="8" w:color="CCEEFF"/>
            </w:tcBorders>
            <w:gridSpan w:val="2"/>
          </w:tcPr>
          <w:p>
            <w:pPr>
              <w:ind w:left="220"/>
              <w:spacing w:after="0" w:line="135" w:lineRule="exact"/>
              <w:rPr>
                <w:sz w:val="20"/>
                <w:szCs w:val="20"/>
                <w:color w:val="auto"/>
              </w:rPr>
            </w:pPr>
            <w:r>
              <w:rPr>
                <w:rFonts w:ascii="Arial" w:cs="Arial" w:eastAsia="Arial" w:hAnsi="Arial"/>
                <w:sz w:val="10"/>
                <w:szCs w:val="10"/>
                <w:color w:val="auto"/>
              </w:rPr>
              <w:t xml:space="preserve">Mainline operating special items, net </w:t>
            </w:r>
            <w:r>
              <w:rPr>
                <w:rFonts w:ascii="Arial" w:cs="Arial" w:eastAsia="Arial" w:hAnsi="Arial"/>
                <w:sz w:val="12"/>
                <w:szCs w:val="12"/>
                <w:color w:val="auto"/>
                <w:vertAlign w:val="superscript"/>
              </w:rPr>
              <w:t>(1)</w:t>
            </w:r>
          </w:p>
        </w:tc>
        <w:tc>
          <w:tcPr>
            <w:tcW w:w="1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(0.02)</w:t>
            </w:r>
          </w:p>
        </w:tc>
        <w:tc>
          <w:tcPr>
            <w:tcW w:w="8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(0.10)</w:t>
            </w:r>
          </w:p>
        </w:tc>
        <w:tc>
          <w:tcPr>
            <w:tcW w:w="80" w:type="dxa"/>
            <w:vAlign w:val="bottom"/>
            <w:tcBorders>
              <w:bottom w:val="single" w:sz="8" w:color="CCEEFF"/>
            </w:tcBorders>
          </w:tcPr>
          <w:p>
            <w:pPr>
              <w:spacing w:after="0"/>
              <w:rPr>
                <w:sz w:val="11"/>
                <w:szCs w:val="11"/>
                <w:color w:val="auto"/>
              </w:rPr>
            </w:pPr>
          </w:p>
        </w:tc>
        <w:tc>
          <w:tcPr>
            <w:tcW w:w="11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64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Total operating expenses per ASM excluding net special items</w:t>
            </w:r>
          </w:p>
        </w:tc>
        <w:tc>
          <w:tcPr>
            <w:tcW w:w="114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19.36</w:t>
            </w:r>
          </w:p>
        </w:tc>
        <w:tc>
          <w:tcPr>
            <w:tcW w:w="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18.24</w:t>
            </w: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4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Aircraft fuel and related taxes per ASM</w:t>
            </w:r>
          </w:p>
        </w:tc>
        <w:tc>
          <w:tcPr>
            <w:tcW w:w="11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(4.07)</w:t>
            </w:r>
          </w:p>
        </w:tc>
        <w:tc>
          <w:tcPr>
            <w:tcW w:w="80" w:type="dxa"/>
            <w:vAlign w:val="bottom"/>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(3.70)</w:t>
            </w: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6460" w:type="dxa"/>
            <w:vAlign w:val="bottom"/>
            <w:gridSpan w:val="2"/>
          </w:tcPr>
          <w:p>
            <w:pPr>
              <w:spacing w:after="0"/>
              <w:rPr>
                <w:sz w:val="20"/>
                <w:szCs w:val="20"/>
                <w:color w:val="auto"/>
              </w:rPr>
            </w:pPr>
            <w:r>
              <w:rPr>
                <w:rFonts w:ascii="Arial" w:cs="Arial" w:eastAsia="Arial" w:hAnsi="Arial"/>
                <w:sz w:val="10"/>
                <w:szCs w:val="10"/>
                <w:color w:val="auto"/>
              </w:rPr>
              <w:t>Total operating expenses per ASM excluding net special items and fuel</w:t>
            </w:r>
          </w:p>
        </w:tc>
        <w:tc>
          <w:tcPr>
            <w:tcW w:w="1140" w:type="dxa"/>
            <w:vAlign w:val="bottom"/>
          </w:tcPr>
          <w:p>
            <w:pPr>
              <w:spacing w:after="0"/>
              <w:rPr>
                <w:sz w:val="10"/>
                <w:szCs w:val="10"/>
                <w:color w:val="auto"/>
              </w:rPr>
            </w:pP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15.29</w:t>
            </w: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14.54</w:t>
            </w: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460" w:type="dxa"/>
            <w:vAlign w:val="bottom"/>
            <w:gridSpan w:val="2"/>
          </w:tcPr>
          <w:p>
            <w:pPr>
              <w:spacing w:after="0"/>
              <w:rPr>
                <w:sz w:val="20"/>
                <w:szCs w:val="20"/>
                <w:color w:val="auto"/>
              </w:rPr>
            </w:pPr>
            <w:r>
              <w:rPr>
                <w:rFonts w:ascii="Arial" w:cs="Arial" w:eastAsia="Arial" w:hAnsi="Arial"/>
                <w:sz w:val="10"/>
                <w:szCs w:val="10"/>
                <w:color w:val="auto"/>
              </w:rPr>
              <w:t>Profit sharing per ASM</w:t>
            </w:r>
          </w:p>
        </w:tc>
        <w:tc>
          <w:tcPr>
            <w:tcW w:w="114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140" w:type="dxa"/>
            <w:vAlign w:val="bottom"/>
          </w:tcPr>
          <w:p>
            <w:pPr>
              <w:spacing w:after="0"/>
              <w:rPr>
                <w:sz w:val="11"/>
                <w:szCs w:val="11"/>
                <w:color w:val="auto"/>
              </w:rPr>
            </w:pP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0"/>
                <w:szCs w:val="10"/>
                <w:color w:val="auto"/>
              </w:rPr>
              <w:t>Total operating expenses per ASM excluding net special items, fuel and profit sharing</w:t>
            </w:r>
          </w:p>
        </w:tc>
        <w:tc>
          <w:tcPr>
            <w:tcW w:w="11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15.29</w:t>
            </w:r>
          </w:p>
        </w:tc>
        <w:tc>
          <w:tcPr>
            <w:tcW w:w="8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14.54</w:t>
            </w:r>
          </w:p>
        </w:tc>
        <w:tc>
          <w:tcPr>
            <w:tcW w:w="8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Note: Amounts may not recalculate due to rounding.</w:t>
      </w:r>
    </w:p>
    <w:p>
      <w:pPr>
        <w:spacing w:after="0" w:line="47" w:lineRule="exact"/>
        <w:rPr>
          <w:sz w:val="20"/>
          <w:szCs w:val="20"/>
          <w:color w:val="auto"/>
        </w:rPr>
      </w:pPr>
    </w:p>
    <w:p>
      <w:pPr>
        <w:ind w:left="8"/>
        <w:spacing w:after="0"/>
        <w:rPr>
          <w:sz w:val="20"/>
          <w:szCs w:val="20"/>
          <w:color w:val="auto"/>
        </w:rPr>
      </w:pPr>
      <w:r>
        <w:rPr>
          <w:rFonts w:ascii="Arial" w:cs="Arial" w:eastAsia="Arial" w:hAnsi="Arial"/>
          <w:sz w:val="10"/>
          <w:szCs w:val="10"/>
          <w:b w:val="1"/>
          <w:bCs w:val="1"/>
          <w:u w:val="single" w:color="auto"/>
          <w:color w:val="auto"/>
        </w:rPr>
        <w:t>FOOTNOTES:</w:t>
      </w:r>
    </w:p>
    <w:p>
      <w:pPr>
        <w:spacing w:after="0" w:line="58" w:lineRule="exact"/>
        <w:rPr>
          <w:sz w:val="20"/>
          <w:szCs w:val="20"/>
          <w:color w:val="auto"/>
        </w:rPr>
      </w:pPr>
    </w:p>
    <w:p>
      <w:pPr>
        <w:ind w:left="208" w:hanging="208"/>
        <w:spacing w:after="0" w:line="264" w:lineRule="auto"/>
        <w:tabs>
          <w:tab w:leader="none" w:pos="203" w:val="left"/>
        </w:tabs>
        <w:numPr>
          <w:ilvl w:val="0"/>
          <w:numId w:val="12"/>
        </w:numPr>
        <w:rPr>
          <w:rFonts w:ascii="Arial" w:cs="Arial" w:eastAsia="Arial" w:hAnsi="Arial"/>
          <w:sz w:val="6"/>
          <w:szCs w:val="6"/>
          <w:color w:val="auto"/>
        </w:rPr>
      </w:pPr>
      <w:r>
        <w:rPr>
          <w:rFonts w:ascii="Arial" w:cs="Arial" w:eastAsia="Arial" w:hAnsi="Arial"/>
          <w:sz w:val="10"/>
          <w:szCs w:val="10"/>
          <w:color w:val="auto"/>
        </w:rPr>
        <w:t>The 2025 first quarter mainline operating special items, net included a one-time charge resulting from adjustments to vacation accruals due to pay rate increases effective January 1, 2025, following the ratification of the contract extension in the fourth quarter of 2024 with the Company's mainline maintenance and fleet service team members and an adjustment to litigation reserves.</w:t>
      </w:r>
    </w:p>
    <w:p>
      <w:pPr>
        <w:spacing w:after="0" w:line="39" w:lineRule="exact"/>
        <w:rPr>
          <w:rFonts w:ascii="Arial" w:cs="Arial" w:eastAsia="Arial" w:hAnsi="Arial"/>
          <w:sz w:val="6"/>
          <w:szCs w:val="6"/>
          <w:color w:val="auto"/>
        </w:rPr>
      </w:pPr>
    </w:p>
    <w:p>
      <w:pPr>
        <w:ind w:left="208" w:hanging="208"/>
        <w:spacing w:after="0"/>
        <w:tabs>
          <w:tab w:leader="none" w:pos="208" w:val="left"/>
        </w:tabs>
        <w:numPr>
          <w:ilvl w:val="0"/>
          <w:numId w:val="12"/>
        </w:numPr>
        <w:rPr>
          <w:rFonts w:ascii="Arial" w:cs="Arial" w:eastAsia="Arial" w:hAnsi="Arial"/>
          <w:sz w:val="12"/>
          <w:szCs w:val="12"/>
          <w:color w:val="auto"/>
          <w:vertAlign w:val="superscript"/>
        </w:rPr>
      </w:pPr>
      <w:r>
        <w:rPr>
          <w:rFonts w:ascii="Arial" w:cs="Arial" w:eastAsia="Arial" w:hAnsi="Arial"/>
          <w:sz w:val="10"/>
          <w:szCs w:val="10"/>
          <w:color w:val="auto"/>
        </w:rPr>
        <w:t>Principally included mark-to-market net unrealized gains and losses associated with certain equity investments as well as charges associated with debt refinancings and extinguishments.</w:t>
      </w:r>
    </w:p>
    <w:p>
      <w:pPr>
        <w:sectPr>
          <w:pgSz w:w="11900" w:h="16838" w:orient="portrait"/>
          <w:cols w:equalWidth="0" w:num="1">
            <w:col w:w="11288"/>
          </w:cols>
          <w:pgMar w:left="292" w:top="128" w:right="319" w:bottom="1440" w:gutter="0" w:footer="0" w:header="0"/>
        </w:sectPr>
      </w:pPr>
    </w:p>
    <w:bookmarkStart w:id="14" w:name="page15"/>
    <w:bookmarkEnd w:id="14"/>
    <w:p>
      <w:pPr>
        <w:ind w:left="8"/>
        <w:spacing w:after="0"/>
        <w:rPr>
          <w:sz w:val="20"/>
          <w:szCs w:val="20"/>
          <w:color w:val="auto"/>
        </w:rPr>
      </w:pPr>
      <w:r>
        <w:rPr>
          <w:rFonts w:ascii="Arial" w:cs="Arial" w:eastAsia="Arial" w:hAnsi="Arial"/>
          <w:sz w:val="11"/>
          <w:szCs w:val="11"/>
          <w:b w:val="1"/>
          <w:bCs w:val="1"/>
          <w:color w:val="auto"/>
        </w:rPr>
        <w:t>American Airlines Reports First-Quarter 2026 Financial Results</w:t>
      </w:r>
    </w:p>
    <w:p>
      <w:pPr>
        <w:spacing w:after="0" w:line="29" w:lineRule="exact"/>
        <w:rPr>
          <w:sz w:val="20"/>
          <w:szCs w:val="20"/>
          <w:color w:val="auto"/>
        </w:rPr>
      </w:pPr>
    </w:p>
    <w:p>
      <w:pPr>
        <w:ind w:left="8"/>
        <w:spacing w:after="0"/>
        <w:rPr>
          <w:sz w:val="20"/>
          <w:szCs w:val="20"/>
          <w:color w:val="auto"/>
        </w:rPr>
      </w:pPr>
      <w:r>
        <w:rPr>
          <w:rFonts w:ascii="Arial" w:cs="Arial" w:eastAsia="Arial" w:hAnsi="Arial"/>
          <w:sz w:val="12"/>
          <w:szCs w:val="12"/>
          <w:color w:val="auto"/>
        </w:rPr>
        <w:t>April 23, 2026</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Page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Net cash provided by operating activities</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Cash flows from investing activities:</w:t>
      </w:r>
    </w:p>
    <w:p>
      <w:pPr>
        <w:spacing w:after="0" w:line="21" w:lineRule="exact"/>
        <w:rPr>
          <w:sz w:val="20"/>
          <w:szCs w:val="20"/>
          <w:color w:val="auto"/>
        </w:rPr>
      </w:pPr>
    </w:p>
    <w:p>
      <w:pPr>
        <w:ind w:left="148"/>
        <w:spacing w:after="0"/>
        <w:rPr>
          <w:sz w:val="20"/>
          <w:szCs w:val="20"/>
          <w:color w:val="auto"/>
        </w:rPr>
      </w:pPr>
      <w:r>
        <w:rPr>
          <w:rFonts w:ascii="Arial" w:cs="Arial" w:eastAsia="Arial" w:hAnsi="Arial"/>
          <w:sz w:val="11"/>
          <w:szCs w:val="11"/>
          <w:color w:val="auto"/>
        </w:rPr>
        <w:t>Capital expenditures and aircraft purchase deposits</w:t>
      </w:r>
    </w:p>
    <w:p>
      <w:pPr>
        <w:spacing w:after="0" w:line="14" w:lineRule="exact"/>
        <w:rPr>
          <w:sz w:val="20"/>
          <w:szCs w:val="20"/>
          <w:color w:val="auto"/>
        </w:rPr>
      </w:pPr>
    </w:p>
    <w:p>
      <w:pPr>
        <w:ind w:left="148"/>
        <w:spacing w:after="0"/>
        <w:rPr>
          <w:sz w:val="20"/>
          <w:szCs w:val="20"/>
          <w:color w:val="auto"/>
        </w:rPr>
      </w:pPr>
      <w:r>
        <w:rPr>
          <w:rFonts w:ascii="Arial" w:cs="Arial" w:eastAsia="Arial" w:hAnsi="Arial"/>
          <w:sz w:val="11"/>
          <w:szCs w:val="11"/>
          <w:color w:val="auto"/>
        </w:rPr>
        <w:t>Purchases of short-term investments</w:t>
      </w:r>
    </w:p>
    <w:p>
      <w:pPr>
        <w:spacing w:after="0" w:line="18" w:lineRule="exact"/>
        <w:rPr>
          <w:sz w:val="20"/>
          <w:szCs w:val="20"/>
          <w:color w:val="auto"/>
        </w:rPr>
      </w:pPr>
    </w:p>
    <w:p>
      <w:pPr>
        <w:ind w:left="148"/>
        <w:spacing w:after="0"/>
        <w:rPr>
          <w:sz w:val="20"/>
          <w:szCs w:val="20"/>
          <w:color w:val="auto"/>
        </w:rPr>
      </w:pPr>
      <w:r>
        <w:rPr>
          <w:rFonts w:ascii="Arial" w:cs="Arial" w:eastAsia="Arial" w:hAnsi="Arial"/>
          <w:sz w:val="11"/>
          <w:szCs w:val="11"/>
          <w:color w:val="auto"/>
        </w:rPr>
        <w:t>Sales of short-term investments</w:t>
      </w:r>
    </w:p>
    <w:p>
      <w:pPr>
        <w:spacing w:after="0" w:line="18" w:lineRule="exact"/>
        <w:rPr>
          <w:sz w:val="20"/>
          <w:szCs w:val="20"/>
          <w:color w:val="auto"/>
        </w:rPr>
      </w:pPr>
    </w:p>
    <w:p>
      <w:pPr>
        <w:ind w:left="148"/>
        <w:spacing w:after="0"/>
        <w:rPr>
          <w:sz w:val="20"/>
          <w:szCs w:val="20"/>
          <w:color w:val="auto"/>
        </w:rPr>
      </w:pPr>
      <w:r>
        <w:rPr>
          <w:rFonts w:ascii="Arial" w:cs="Arial" w:eastAsia="Arial" w:hAnsi="Arial"/>
          <w:sz w:val="11"/>
          <w:szCs w:val="11"/>
          <w:color w:val="auto"/>
        </w:rPr>
        <w:t>Decrease in restricted short-term investments</w:t>
      </w:r>
    </w:p>
    <w:p>
      <w:pPr>
        <w:spacing w:after="0" w:line="18" w:lineRule="exact"/>
        <w:rPr>
          <w:sz w:val="20"/>
          <w:szCs w:val="20"/>
          <w:color w:val="auto"/>
        </w:rPr>
      </w:pPr>
    </w:p>
    <w:p>
      <w:pPr>
        <w:ind w:left="148"/>
        <w:spacing w:after="0"/>
        <w:rPr>
          <w:sz w:val="20"/>
          <w:szCs w:val="20"/>
          <w:color w:val="auto"/>
        </w:rPr>
      </w:pPr>
      <w:r>
        <w:rPr>
          <w:rFonts w:ascii="Arial" w:cs="Arial" w:eastAsia="Arial" w:hAnsi="Arial"/>
          <w:sz w:val="11"/>
          <w:szCs w:val="11"/>
          <w:color w:val="auto"/>
        </w:rPr>
        <w:t>Other investing activities</w:t>
      </w:r>
    </w:p>
    <w:p>
      <w:pPr>
        <w:spacing w:after="0" w:line="18" w:lineRule="exact"/>
        <w:rPr>
          <w:sz w:val="20"/>
          <w:szCs w:val="20"/>
          <w:color w:val="auto"/>
        </w:rPr>
      </w:pPr>
    </w:p>
    <w:p>
      <w:pPr>
        <w:ind w:left="368"/>
        <w:spacing w:after="0"/>
        <w:rPr>
          <w:sz w:val="20"/>
          <w:szCs w:val="20"/>
          <w:color w:val="auto"/>
        </w:rPr>
      </w:pPr>
      <w:r>
        <w:rPr>
          <w:rFonts w:ascii="Arial" w:cs="Arial" w:eastAsia="Arial" w:hAnsi="Arial"/>
          <w:sz w:val="11"/>
          <w:szCs w:val="11"/>
          <w:color w:val="auto"/>
        </w:rPr>
        <w:t>Net cash used in investing activities</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Cash flows from financing activities:</w:t>
      </w:r>
    </w:p>
    <w:p>
      <w:pPr>
        <w:spacing w:after="0" w:line="21" w:lineRule="exact"/>
        <w:rPr>
          <w:sz w:val="20"/>
          <w:szCs w:val="20"/>
          <w:color w:val="auto"/>
        </w:rPr>
      </w:pPr>
    </w:p>
    <w:p>
      <w:pPr>
        <w:ind w:left="148"/>
        <w:spacing w:after="0"/>
        <w:rPr>
          <w:sz w:val="20"/>
          <w:szCs w:val="20"/>
          <w:color w:val="auto"/>
        </w:rPr>
      </w:pPr>
      <w:r>
        <w:rPr>
          <w:rFonts w:ascii="Arial" w:cs="Arial" w:eastAsia="Arial" w:hAnsi="Arial"/>
          <w:sz w:val="11"/>
          <w:szCs w:val="11"/>
          <w:color w:val="auto"/>
        </w:rPr>
        <w:t>Payments on long-term debt and finance leases</w:t>
      </w:r>
    </w:p>
    <w:p>
      <w:pPr>
        <w:spacing w:after="0" w:line="14" w:lineRule="exact"/>
        <w:rPr>
          <w:sz w:val="20"/>
          <w:szCs w:val="20"/>
          <w:color w:val="auto"/>
        </w:rPr>
      </w:pPr>
    </w:p>
    <w:p>
      <w:pPr>
        <w:ind w:left="148"/>
        <w:spacing w:after="0"/>
        <w:rPr>
          <w:sz w:val="20"/>
          <w:szCs w:val="20"/>
          <w:color w:val="auto"/>
        </w:rPr>
      </w:pPr>
      <w:r>
        <w:rPr>
          <w:rFonts w:ascii="Arial" w:cs="Arial" w:eastAsia="Arial" w:hAnsi="Arial"/>
          <w:sz w:val="11"/>
          <w:szCs w:val="11"/>
          <w:color w:val="auto"/>
        </w:rPr>
        <w:t>Proceeds from issuance of long-term debt</w:t>
      </w:r>
    </w:p>
    <w:p>
      <w:pPr>
        <w:spacing w:after="0" w:line="18" w:lineRule="exact"/>
        <w:rPr>
          <w:sz w:val="20"/>
          <w:szCs w:val="20"/>
          <w:color w:val="auto"/>
        </w:rPr>
      </w:pPr>
    </w:p>
    <w:p>
      <w:pPr>
        <w:ind w:left="148"/>
        <w:spacing w:after="0"/>
        <w:rPr>
          <w:sz w:val="20"/>
          <w:szCs w:val="20"/>
          <w:color w:val="auto"/>
        </w:rPr>
      </w:pPr>
      <w:r>
        <w:rPr>
          <w:rFonts w:ascii="Arial" w:cs="Arial" w:eastAsia="Arial" w:hAnsi="Arial"/>
          <w:sz w:val="11"/>
          <w:szCs w:val="11"/>
          <w:color w:val="auto"/>
        </w:rPr>
        <w:t>Net payments on fuel financing</w:t>
      </w:r>
    </w:p>
    <w:p>
      <w:pPr>
        <w:spacing w:after="0" w:line="18" w:lineRule="exact"/>
        <w:rPr>
          <w:sz w:val="20"/>
          <w:szCs w:val="20"/>
          <w:color w:val="auto"/>
        </w:rPr>
      </w:pPr>
    </w:p>
    <w:p>
      <w:pPr>
        <w:ind w:left="148"/>
        <w:spacing w:after="0"/>
        <w:rPr>
          <w:sz w:val="20"/>
          <w:szCs w:val="20"/>
          <w:color w:val="auto"/>
        </w:rPr>
      </w:pPr>
      <w:r>
        <w:rPr>
          <w:rFonts w:ascii="Arial" w:cs="Arial" w:eastAsia="Arial" w:hAnsi="Arial"/>
          <w:sz w:val="11"/>
          <w:szCs w:val="11"/>
          <w:color w:val="auto"/>
        </w:rPr>
        <w:t>Other financing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320"/>
        <w:spacing w:after="0"/>
        <w:rPr>
          <w:sz w:val="20"/>
          <w:szCs w:val="20"/>
          <w:color w:val="auto"/>
        </w:rPr>
      </w:pPr>
      <w:r>
        <w:rPr>
          <w:rFonts w:ascii="Arial" w:cs="Arial" w:eastAsia="Arial" w:hAnsi="Arial"/>
          <w:sz w:val="11"/>
          <w:szCs w:val="11"/>
          <w:b w:val="1"/>
          <w:bCs w:val="1"/>
          <w:color w:val="auto"/>
        </w:rPr>
        <w:t>American Airlines Group Inc.</w:t>
      </w:r>
    </w:p>
    <w:p>
      <w:pPr>
        <w:spacing w:after="0" w:line="10" w:lineRule="exact"/>
        <w:rPr>
          <w:sz w:val="20"/>
          <w:szCs w:val="20"/>
          <w:color w:val="auto"/>
        </w:rPr>
      </w:pPr>
    </w:p>
    <w:p>
      <w:pPr>
        <w:jc w:val="center"/>
        <w:ind w:right="4320"/>
        <w:spacing w:after="0"/>
        <w:rPr>
          <w:sz w:val="20"/>
          <w:szCs w:val="20"/>
          <w:color w:val="auto"/>
        </w:rPr>
      </w:pPr>
      <w:r>
        <w:rPr>
          <w:rFonts w:ascii="Arial" w:cs="Arial" w:eastAsia="Arial" w:hAnsi="Arial"/>
          <w:sz w:val="10"/>
          <w:szCs w:val="10"/>
          <w:b w:val="1"/>
          <w:bCs w:val="1"/>
          <w:color w:val="auto"/>
        </w:rPr>
        <w:t>Condensed Consolidated Statements of Cash Flows</w:t>
      </w:r>
    </w:p>
    <w:p>
      <w:pPr>
        <w:spacing w:after="0" w:line="20" w:lineRule="exact"/>
        <w:rPr>
          <w:sz w:val="20"/>
          <w:szCs w:val="20"/>
          <w:color w:val="auto"/>
        </w:rPr>
      </w:pPr>
    </w:p>
    <w:p>
      <w:pPr>
        <w:ind w:left="740"/>
        <w:spacing w:after="0"/>
        <w:rPr>
          <w:sz w:val="20"/>
          <w:szCs w:val="20"/>
          <w:color w:val="auto"/>
        </w:rPr>
      </w:pPr>
      <w:r>
        <w:rPr>
          <w:rFonts w:ascii="Arial" w:cs="Arial" w:eastAsia="Arial" w:hAnsi="Arial"/>
          <w:sz w:val="11"/>
          <w:szCs w:val="11"/>
          <w:b w:val="1"/>
          <w:bCs w:val="1"/>
          <w:color w:val="auto"/>
        </w:rPr>
        <w:t>(In millions)(Unaudited)</w:t>
      </w:r>
    </w:p>
    <w:p>
      <w:pPr>
        <w:spacing w:after="0" w:line="116" w:lineRule="exact"/>
        <w:rPr>
          <w:sz w:val="20"/>
          <w:szCs w:val="20"/>
          <w:color w:val="auto"/>
        </w:rPr>
      </w:pPr>
    </w:p>
    <w:p>
      <w:pPr>
        <w:jc w:val="center"/>
        <w:ind w:left="-2399"/>
        <w:spacing w:after="0"/>
        <w:rPr>
          <w:sz w:val="20"/>
          <w:szCs w:val="20"/>
          <w:color w:val="auto"/>
        </w:rPr>
      </w:pPr>
      <w:r>
        <w:rPr>
          <w:rFonts w:ascii="Arial" w:cs="Arial" w:eastAsia="Arial" w:hAnsi="Arial"/>
          <w:sz w:val="11"/>
          <w:szCs w:val="11"/>
          <w:color w:val="auto"/>
        </w:rPr>
        <w:t>3 Months Ended</w:t>
      </w:r>
    </w:p>
    <w:p>
      <w:pPr>
        <w:jc w:val="center"/>
        <w:ind w:left="-2399"/>
        <w:spacing w:after="0"/>
        <w:rPr>
          <w:sz w:val="20"/>
          <w:szCs w:val="20"/>
          <w:color w:val="auto"/>
        </w:rPr>
      </w:pPr>
      <w:r>
        <w:rPr>
          <w:rFonts w:ascii="Arial" w:cs="Arial" w:eastAsia="Arial" w:hAnsi="Arial"/>
          <w:sz w:val="11"/>
          <w:szCs w:val="11"/>
          <w:color w:val="auto"/>
        </w:rPr>
        <w:t>March 31,</w:t>
      </w:r>
    </w:p>
    <w:p>
      <w:pPr>
        <w:spacing w:after="0" w:line="8" w:lineRule="exact"/>
        <w:rPr>
          <w:sz w:val="20"/>
          <w:szCs w:val="20"/>
          <w:color w:val="auto"/>
        </w:rPr>
      </w:pPr>
    </w:p>
    <w:tbl>
      <w:tblPr>
        <w:tblLayout w:type="fixed"/>
        <w:tblInd w:w="2720" w:type="dxa"/>
        <w:tblCellMar>
          <w:top w:w="0" w:type="dxa"/>
          <w:left w:w="0" w:type="dxa"/>
          <w:bottom w:w="0" w:type="dxa"/>
          <w:right w:w="0" w:type="dxa"/>
        </w:tblCellMar>
      </w:tblPr>
      <w:tr>
        <w:trPr>
          <w:trHeight w:val="143"/>
        </w:trPr>
        <w:tc>
          <w:tcPr>
            <w:tcW w:w="5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866"/>
              <w:spacing w:after="0"/>
              <w:rPr>
                <w:sz w:val="20"/>
                <w:szCs w:val="20"/>
                <w:color w:val="auto"/>
              </w:rPr>
            </w:pPr>
            <w:r>
              <w:rPr>
                <w:rFonts w:ascii="Arial" w:cs="Arial" w:eastAsia="Arial" w:hAnsi="Arial"/>
                <w:sz w:val="11"/>
                <w:szCs w:val="11"/>
                <w:color w:val="auto"/>
              </w:rPr>
              <w:t>2026</w:t>
            </w:r>
          </w:p>
        </w:tc>
        <w:tc>
          <w:tcPr>
            <w:tcW w:w="1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886"/>
              <w:spacing w:after="0"/>
              <w:rPr>
                <w:sz w:val="20"/>
                <w:szCs w:val="20"/>
                <w:color w:val="auto"/>
              </w:rPr>
            </w:pPr>
            <w:r>
              <w:rPr>
                <w:rFonts w:ascii="Arial" w:cs="Arial" w:eastAsia="Arial" w:hAnsi="Arial"/>
                <w:sz w:val="11"/>
                <w:szCs w:val="11"/>
                <w:color w:val="auto"/>
              </w:rPr>
              <w:t>2025</w:t>
            </w:r>
          </w:p>
        </w:tc>
      </w:tr>
      <w:tr>
        <w:trPr>
          <w:trHeight w:val="132"/>
        </w:trPr>
        <w:tc>
          <w:tcPr>
            <w:tcW w:w="500" w:type="dxa"/>
            <w:vAlign w:val="bottom"/>
          </w:tcPr>
          <w:p>
            <w:pPr>
              <w:jc w:val="right"/>
              <w:ind w:right="391"/>
              <w:spacing w:after="0"/>
              <w:rPr>
                <w:sz w:val="20"/>
                <w:szCs w:val="20"/>
                <w:color w:val="auto"/>
              </w:rPr>
            </w:pPr>
            <w:r>
              <w:rPr>
                <w:rFonts w:ascii="Arial" w:cs="Arial" w:eastAsia="Arial" w:hAnsi="Arial"/>
                <w:sz w:val="10"/>
                <w:szCs w:val="10"/>
                <w:color w:val="auto"/>
                <w:w w:val="71"/>
              </w:rPr>
              <w:t>$</w:t>
            </w:r>
          </w:p>
        </w:tc>
        <w:tc>
          <w:tcPr>
            <w:tcW w:w="1580" w:type="dxa"/>
            <w:vAlign w:val="bottom"/>
          </w:tcPr>
          <w:p>
            <w:pPr>
              <w:jc w:val="right"/>
              <w:spacing w:after="0"/>
              <w:rPr>
                <w:sz w:val="20"/>
                <w:szCs w:val="20"/>
                <w:color w:val="auto"/>
              </w:rPr>
            </w:pPr>
            <w:r>
              <w:rPr>
                <w:rFonts w:ascii="Arial" w:cs="Arial" w:eastAsia="Arial" w:hAnsi="Arial"/>
                <w:sz w:val="11"/>
                <w:szCs w:val="11"/>
                <w:color w:val="auto"/>
              </w:rPr>
              <w:t>4,223</w:t>
            </w:r>
          </w:p>
        </w:tc>
        <w:tc>
          <w:tcPr>
            <w:tcW w:w="100" w:type="dxa"/>
            <w:vAlign w:val="bottom"/>
          </w:tcPr>
          <w:p>
            <w:pPr>
              <w:spacing w:after="0"/>
              <w:rPr>
                <w:sz w:val="11"/>
                <w:szCs w:val="11"/>
                <w:color w:val="auto"/>
              </w:rPr>
            </w:pPr>
          </w:p>
        </w:tc>
        <w:tc>
          <w:tcPr>
            <w:tcW w:w="500" w:type="dxa"/>
            <w:vAlign w:val="bottom"/>
          </w:tcPr>
          <w:p>
            <w:pPr>
              <w:jc w:val="right"/>
              <w:ind w:right="366"/>
              <w:spacing w:after="0"/>
              <w:rPr>
                <w:sz w:val="20"/>
                <w:szCs w:val="20"/>
                <w:color w:val="auto"/>
              </w:rPr>
            </w:pPr>
            <w:r>
              <w:rPr>
                <w:rFonts w:ascii="Arial" w:cs="Arial" w:eastAsia="Arial" w:hAnsi="Arial"/>
                <w:sz w:val="11"/>
                <w:szCs w:val="11"/>
                <w:color w:val="auto"/>
                <w:w w:val="97"/>
              </w:rPr>
              <w:t>$</w:t>
            </w:r>
          </w:p>
        </w:tc>
        <w:tc>
          <w:tcPr>
            <w:tcW w:w="1600" w:type="dxa"/>
            <w:vAlign w:val="bottom"/>
          </w:tcPr>
          <w:p>
            <w:pPr>
              <w:jc w:val="right"/>
              <w:ind w:right="6"/>
              <w:spacing w:after="0"/>
              <w:rPr>
                <w:sz w:val="20"/>
                <w:szCs w:val="20"/>
                <w:color w:val="auto"/>
              </w:rPr>
            </w:pPr>
            <w:r>
              <w:rPr>
                <w:rFonts w:ascii="Arial" w:cs="Arial" w:eastAsia="Arial" w:hAnsi="Arial"/>
                <w:sz w:val="11"/>
                <w:szCs w:val="11"/>
                <w:color w:val="auto"/>
              </w:rPr>
              <w:t>2,456</w:t>
            </w:r>
          </w:p>
        </w:tc>
      </w:tr>
      <w:tr>
        <w:trPr>
          <w:trHeight w:val="288"/>
        </w:trPr>
        <w:tc>
          <w:tcPr>
            <w:tcW w:w="5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(811)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(824)</w:t>
            </w:r>
          </w:p>
        </w:tc>
      </w:tr>
      <w:tr>
        <w:trPr>
          <w:trHeight w:val="144"/>
        </w:trPr>
        <w:tc>
          <w:tcPr>
            <w:tcW w:w="500" w:type="dxa"/>
            <w:vAlign w:val="bottom"/>
          </w:tcPr>
          <w:p>
            <w:pPr>
              <w:spacing w:after="0"/>
              <w:rPr>
                <w:sz w:val="12"/>
                <w:szCs w:val="12"/>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(2,773)</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(1,806)</w:t>
            </w:r>
          </w:p>
        </w:tc>
      </w:tr>
      <w:tr>
        <w:trPr>
          <w:trHeight w:val="144"/>
        </w:trPr>
        <w:tc>
          <w:tcPr>
            <w:tcW w:w="500" w:type="dxa"/>
            <w:vAlign w:val="bottom"/>
          </w:tcPr>
          <w:p>
            <w:pPr>
              <w:spacing w:after="0"/>
              <w:rPr>
                <w:sz w:val="12"/>
                <w:szCs w:val="12"/>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1,263</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0" w:type="dxa"/>
            <w:vAlign w:val="bottom"/>
          </w:tcPr>
          <w:p>
            <w:pPr>
              <w:jc w:val="right"/>
              <w:ind w:right="6"/>
              <w:spacing w:after="0"/>
              <w:rPr>
                <w:sz w:val="20"/>
                <w:szCs w:val="20"/>
                <w:color w:val="auto"/>
              </w:rPr>
            </w:pPr>
            <w:r>
              <w:rPr>
                <w:rFonts w:ascii="Arial" w:cs="Arial" w:eastAsia="Arial" w:hAnsi="Arial"/>
                <w:sz w:val="11"/>
                <w:szCs w:val="11"/>
                <w:color w:val="auto"/>
              </w:rPr>
              <w:t>1,349</w:t>
            </w:r>
          </w:p>
        </w:tc>
      </w:tr>
      <w:tr>
        <w:trPr>
          <w:trHeight w:val="144"/>
        </w:trPr>
        <w:tc>
          <w:tcPr>
            <w:tcW w:w="500" w:type="dxa"/>
            <w:vAlign w:val="bottom"/>
          </w:tcPr>
          <w:p>
            <w:pPr>
              <w:spacing w:after="0"/>
              <w:rPr>
                <w:sz w:val="12"/>
                <w:szCs w:val="12"/>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0" w:type="dxa"/>
            <w:vAlign w:val="bottom"/>
          </w:tcPr>
          <w:p>
            <w:pPr>
              <w:jc w:val="right"/>
              <w:ind w:right="6"/>
              <w:spacing w:after="0"/>
              <w:rPr>
                <w:sz w:val="20"/>
                <w:szCs w:val="20"/>
                <w:color w:val="auto"/>
              </w:rPr>
            </w:pPr>
            <w:r>
              <w:rPr>
                <w:rFonts w:ascii="Arial" w:cs="Arial" w:eastAsia="Arial" w:hAnsi="Arial"/>
                <w:sz w:val="11"/>
                <w:szCs w:val="11"/>
                <w:color w:val="auto"/>
              </w:rPr>
              <w:t>85</w:t>
            </w:r>
          </w:p>
        </w:tc>
      </w:tr>
      <w:tr>
        <w:trPr>
          <w:trHeight w:val="145"/>
        </w:trPr>
        <w:tc>
          <w:tcPr>
            <w:tcW w:w="5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w:t>
            </w:r>
          </w:p>
        </w:tc>
      </w:tr>
      <w:tr>
        <w:trPr>
          <w:trHeight w:val="132"/>
        </w:trPr>
        <w:tc>
          <w:tcPr>
            <w:tcW w:w="50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(2,328)</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(1,204)</w:t>
            </w:r>
          </w:p>
        </w:tc>
      </w:tr>
      <w:tr>
        <w:trPr>
          <w:trHeight w:val="288"/>
        </w:trPr>
        <w:tc>
          <w:tcPr>
            <w:tcW w:w="5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(2,324)</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(1,362)</w:t>
            </w:r>
          </w:p>
        </w:tc>
      </w:tr>
      <w:tr>
        <w:trPr>
          <w:trHeight w:val="144"/>
        </w:trPr>
        <w:tc>
          <w:tcPr>
            <w:tcW w:w="500" w:type="dxa"/>
            <w:vAlign w:val="bottom"/>
          </w:tcPr>
          <w:p>
            <w:pPr>
              <w:spacing w:after="0"/>
              <w:rPr>
                <w:sz w:val="12"/>
                <w:szCs w:val="12"/>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997</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0" w:type="dxa"/>
            <w:vAlign w:val="bottom"/>
          </w:tcPr>
          <w:p>
            <w:pPr>
              <w:jc w:val="right"/>
              <w:ind w:right="6"/>
              <w:spacing w:after="0"/>
              <w:rPr>
                <w:sz w:val="20"/>
                <w:szCs w:val="20"/>
                <w:color w:val="auto"/>
              </w:rPr>
            </w:pPr>
            <w:r>
              <w:rPr>
                <w:rFonts w:ascii="Arial" w:cs="Arial" w:eastAsia="Arial" w:hAnsi="Arial"/>
                <w:sz w:val="11"/>
                <w:szCs w:val="11"/>
                <w:color w:val="auto"/>
              </w:rPr>
              <w:t>325</w:t>
            </w:r>
          </w:p>
        </w:tc>
      </w:tr>
      <w:tr>
        <w:trPr>
          <w:trHeight w:val="144"/>
        </w:trPr>
        <w:tc>
          <w:tcPr>
            <w:tcW w:w="500" w:type="dxa"/>
            <w:vAlign w:val="bottom"/>
          </w:tcPr>
          <w:p>
            <w:pPr>
              <w:spacing w:after="0"/>
              <w:rPr>
                <w:sz w:val="12"/>
                <w:szCs w:val="12"/>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(554)</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(74)</w:t>
            </w:r>
          </w:p>
        </w:tc>
      </w:tr>
      <w:tr>
        <w:trPr>
          <w:trHeight w:val="144"/>
        </w:trPr>
        <w:tc>
          <w:tcPr>
            <w:tcW w:w="500" w:type="dxa"/>
            <w:vAlign w:val="bottom"/>
          </w:tcPr>
          <w:p>
            <w:pPr>
              <w:spacing w:after="0"/>
              <w:rPr>
                <w:sz w:val="12"/>
                <w:szCs w:val="12"/>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(68)</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(112)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-2734945</wp:posOffset>
            </wp:positionH>
            <wp:positionV relativeFrom="paragraph">
              <wp:posOffset>-1198245</wp:posOffset>
            </wp:positionV>
            <wp:extent cx="7178040" cy="97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-2734945</wp:posOffset>
            </wp:positionH>
            <wp:positionV relativeFrom="paragraph">
              <wp:posOffset>-1009650</wp:posOffset>
            </wp:positionV>
            <wp:extent cx="7178040" cy="914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-2734945</wp:posOffset>
            </wp:positionH>
            <wp:positionV relativeFrom="paragraph">
              <wp:posOffset>-826770</wp:posOffset>
            </wp:positionV>
            <wp:extent cx="7178040" cy="914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-2734945</wp:posOffset>
            </wp:positionH>
            <wp:positionV relativeFrom="paragraph">
              <wp:posOffset>-643890</wp:posOffset>
            </wp:positionV>
            <wp:extent cx="7178040" cy="914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-2734945</wp:posOffset>
            </wp:positionH>
            <wp:positionV relativeFrom="paragraph">
              <wp:posOffset>-455295</wp:posOffset>
            </wp:positionV>
            <wp:extent cx="7178040" cy="914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-2734945</wp:posOffset>
            </wp:positionH>
            <wp:positionV relativeFrom="paragraph">
              <wp:posOffset>-272415</wp:posOffset>
            </wp:positionV>
            <wp:extent cx="7178040" cy="914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-2734945</wp:posOffset>
            </wp:positionH>
            <wp:positionV relativeFrom="paragraph">
              <wp:posOffset>-89535</wp:posOffset>
            </wp:positionV>
            <wp:extent cx="7178040" cy="914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588" w:space="720"/>
            <w:col w:w="7000"/>
          </w:cols>
          <w:pgMar w:left="292" w:top="128" w:right="299" w:bottom="1440" w:gutter="0" w:footer="0" w:header="0"/>
        </w:sectPr>
      </w:pPr>
    </w:p>
    <w:tbl>
      <w:tblPr>
        <w:tblLayout w:type="fixed"/>
        <w:tblInd w:w="8" w:type="dxa"/>
        <w:tblCellMar>
          <w:top w:w="0" w:type="dxa"/>
          <w:left w:w="0" w:type="dxa"/>
          <w:bottom w:w="0" w:type="dxa"/>
          <w:right w:w="0" w:type="dxa"/>
        </w:tblCellMar>
      </w:tblPr>
      <w:tr>
        <w:trPr>
          <w:trHeight w:val="135"/>
        </w:trPr>
        <w:tc>
          <w:tcPr>
            <w:tcW w:w="7020" w:type="dxa"/>
            <w:vAlign w:val="bottom"/>
            <w:tcBorders>
              <w:bottom w:val="single" w:sz="8" w:color="CCEEFF"/>
            </w:tcBorders>
            <w:gridSpan w:val="2"/>
          </w:tcPr>
          <w:p>
            <w:pPr>
              <w:ind w:left="360"/>
              <w:spacing w:after="0"/>
              <w:rPr>
                <w:sz w:val="20"/>
                <w:szCs w:val="20"/>
                <w:color w:val="auto"/>
              </w:rPr>
            </w:pPr>
            <w:r>
              <w:rPr>
                <w:rFonts w:ascii="Arial" w:cs="Arial" w:eastAsia="Arial" w:hAnsi="Arial"/>
                <w:sz w:val="11"/>
                <w:szCs w:val="11"/>
                <w:color w:val="auto"/>
              </w:rPr>
              <w:t>Net cash used in financing activities</w:t>
            </w:r>
          </w:p>
        </w:tc>
        <w:tc>
          <w:tcPr>
            <w:tcW w:w="90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(1,949)</w:t>
            </w:r>
          </w:p>
        </w:tc>
        <w:tc>
          <w:tcPr>
            <w:tcW w:w="100" w:type="dxa"/>
            <w:vAlign w:val="bottom"/>
            <w:tcBorders>
              <w:bottom w:val="single" w:sz="8" w:color="CCEEFF"/>
            </w:tcBorders>
          </w:tcPr>
          <w:p>
            <w:pPr>
              <w:spacing w:after="0"/>
              <w:rPr>
                <w:sz w:val="11"/>
                <w:szCs w:val="11"/>
                <w:color w:val="auto"/>
              </w:rPr>
            </w:pPr>
          </w:p>
        </w:tc>
        <w:tc>
          <w:tcPr>
            <w:tcW w:w="900" w:type="dxa"/>
            <w:vAlign w:val="bottom"/>
            <w:tcBorders>
              <w:top w:val="single" w:sz="8" w:color="auto"/>
              <w:bottom w:val="single" w:sz="8" w:color="auto"/>
            </w:tcBorders>
          </w:tcPr>
          <w:p>
            <w:pPr>
              <w:spacing w:after="0"/>
              <w:rPr>
                <w:sz w:val="11"/>
                <w:szCs w:val="1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(1,223)</w:t>
            </w:r>
          </w:p>
        </w:tc>
      </w:tr>
      <w:tr>
        <w:trPr>
          <w:trHeight w:val="133"/>
        </w:trPr>
        <w:tc>
          <w:tcPr>
            <w:tcW w:w="70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Net increase (decrease) in cash and restricted cash</w:t>
            </w:r>
          </w:p>
        </w:tc>
        <w:tc>
          <w:tcPr>
            <w:tcW w:w="90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29</w:t>
            </w:r>
          </w:p>
        </w:tc>
      </w:tr>
      <w:tr>
        <w:trPr>
          <w:trHeight w:val="143"/>
        </w:trPr>
        <w:tc>
          <w:tcPr>
            <w:tcW w:w="702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Cash and restricted cash at beginning of period</w:t>
            </w:r>
          </w:p>
        </w:tc>
        <w:tc>
          <w:tcPr>
            <w:tcW w:w="9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1,056</w:t>
            </w: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902</w:t>
            </w:r>
          </w:p>
        </w:tc>
      </w:tr>
      <w:tr>
        <w:trPr>
          <w:trHeight w:val="150"/>
        </w:trPr>
        <w:tc>
          <w:tcPr>
            <w:tcW w:w="7020" w:type="dxa"/>
            <w:vAlign w:val="bottom"/>
            <w:tcBorders>
              <w:bottom w:val="single" w:sz="8" w:color="CCEEFF"/>
            </w:tcBorders>
            <w:gridSpan w:val="2"/>
            <w:shd w:val="clear" w:color="auto" w:fill="CCEEFF"/>
          </w:tcPr>
          <w:p>
            <w:pPr>
              <w:spacing w:after="0" w:line="134" w:lineRule="exact"/>
              <w:rPr>
                <w:sz w:val="20"/>
                <w:szCs w:val="20"/>
                <w:color w:val="auto"/>
              </w:rPr>
            </w:pPr>
            <w:r>
              <w:rPr>
                <w:rFonts w:ascii="Arial" w:cs="Arial" w:eastAsia="Arial" w:hAnsi="Arial"/>
                <w:sz w:val="11"/>
                <w:szCs w:val="11"/>
                <w:color w:val="auto"/>
              </w:rPr>
              <w:t xml:space="preserve">Cash and restricted cash at end of period </w:t>
            </w:r>
            <w:r>
              <w:rPr>
                <w:rFonts w:ascii="Arial" w:cs="Arial" w:eastAsia="Arial" w:hAnsi="Arial"/>
                <w:sz w:val="14"/>
                <w:szCs w:val="14"/>
                <w:color w:val="auto"/>
                <w:vertAlign w:val="superscript"/>
              </w:rPr>
              <w:t>(1)</w:t>
            </w:r>
          </w:p>
        </w:tc>
        <w:tc>
          <w:tcPr>
            <w:tcW w:w="90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1,002</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766"/>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931</w:t>
            </w:r>
          </w:p>
        </w:tc>
      </w:tr>
      <w:tr>
        <w:trPr>
          <w:trHeight w:val="117"/>
        </w:trPr>
        <w:tc>
          <w:tcPr>
            <w:tcW w:w="2180" w:type="dxa"/>
            <w:vAlign w:val="bottom"/>
            <w:tcBorders>
              <w:bottom w:val="single" w:sz="8" w:color="auto"/>
            </w:tcBorders>
          </w:tcPr>
          <w:p>
            <w:pPr>
              <w:spacing w:after="0"/>
              <w:rPr>
                <w:sz w:val="10"/>
                <w:szCs w:val="10"/>
                <w:color w:val="auto"/>
              </w:rPr>
            </w:pPr>
          </w:p>
        </w:tc>
        <w:tc>
          <w:tcPr>
            <w:tcW w:w="48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0" w:type="dxa"/>
            <w:vAlign w:val="bottom"/>
          </w:tcPr>
          <w:p>
            <w:pPr>
              <w:spacing w:after="0"/>
              <w:rPr>
                <w:sz w:val="10"/>
                <w:szCs w:val="10"/>
                <w:color w:val="auto"/>
              </w:rPr>
            </w:pPr>
          </w:p>
        </w:tc>
      </w:tr>
    </w:tbl>
    <w:p>
      <w:pPr>
        <w:spacing w:after="0" w:line="26" w:lineRule="exact"/>
        <w:rPr>
          <w:sz w:val="20"/>
          <w:szCs w:val="20"/>
          <w:color w:val="auto"/>
        </w:rPr>
      </w:pPr>
    </w:p>
    <w:p>
      <w:pPr>
        <w:ind w:left="208" w:hanging="208"/>
        <w:spacing w:after="0"/>
        <w:tabs>
          <w:tab w:leader="none" w:pos="208" w:val="left"/>
        </w:tabs>
        <w:numPr>
          <w:ilvl w:val="0"/>
          <w:numId w:val="13"/>
        </w:numPr>
        <w:rPr>
          <w:rFonts w:ascii="Arial" w:cs="Arial" w:eastAsia="Arial" w:hAnsi="Arial"/>
          <w:sz w:val="14"/>
          <w:szCs w:val="14"/>
          <w:color w:val="auto"/>
          <w:vertAlign w:val="superscript"/>
        </w:rPr>
      </w:pPr>
      <w:r>
        <w:rPr>
          <w:rFonts w:ascii="Arial" w:cs="Arial" w:eastAsia="Arial" w:hAnsi="Arial"/>
          <w:sz w:val="11"/>
          <w:szCs w:val="11"/>
          <w:color w:val="auto"/>
        </w:rPr>
        <w:t>The following table provides a reconciliation of cash and restricted cash to amounts reported within the condensed consolidated balance sheets:</w:t>
      </w:r>
    </w:p>
    <w:p>
      <w:pPr>
        <w:spacing w:after="0" w:line="83"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7020" w:type="dxa"/>
            <w:vAlign w:val="bottom"/>
            <w:shd w:val="clear" w:color="auto" w:fill="CCEEFF"/>
          </w:tcPr>
          <w:p>
            <w:pPr>
              <w:spacing w:after="0"/>
              <w:rPr>
                <w:sz w:val="20"/>
                <w:szCs w:val="20"/>
                <w:color w:val="auto"/>
              </w:rPr>
            </w:pPr>
            <w:r>
              <w:rPr>
                <w:rFonts w:ascii="Arial" w:cs="Arial" w:eastAsia="Arial" w:hAnsi="Arial"/>
                <w:sz w:val="11"/>
                <w:szCs w:val="11"/>
                <w:color w:val="auto"/>
              </w:rPr>
              <w:t>Cash</w:t>
            </w:r>
          </w:p>
        </w:tc>
        <w:tc>
          <w:tcPr>
            <w:tcW w:w="920" w:type="dxa"/>
            <w:vAlign w:val="bottom"/>
            <w:shd w:val="clear" w:color="auto" w:fill="CCEEFF"/>
          </w:tcPr>
          <w:p>
            <w:pPr>
              <w:jc w:val="right"/>
              <w:ind w:right="811"/>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903</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826"/>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835</w:t>
            </w:r>
          </w:p>
        </w:tc>
      </w:tr>
      <w:tr>
        <w:trPr>
          <w:trHeight w:val="143"/>
        </w:trPr>
        <w:tc>
          <w:tcPr>
            <w:tcW w:w="702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Restricted cash included in restricted cash and short-term investments</w:t>
            </w:r>
          </w:p>
        </w:tc>
        <w:tc>
          <w:tcPr>
            <w:tcW w:w="9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99</w:t>
            </w:r>
          </w:p>
        </w:tc>
        <w:tc>
          <w:tcPr>
            <w:tcW w:w="1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96</w:t>
            </w:r>
          </w:p>
        </w:tc>
      </w:tr>
      <w:tr>
        <w:trPr>
          <w:trHeight w:val="150"/>
        </w:trPr>
        <w:tc>
          <w:tcPr>
            <w:tcW w:w="7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Total cash and restricted cash</w:t>
            </w:r>
          </w:p>
        </w:tc>
        <w:tc>
          <w:tcPr>
            <w:tcW w:w="920" w:type="dxa"/>
            <w:vAlign w:val="bottom"/>
            <w:tcBorders>
              <w:bottom w:val="single" w:sz="8" w:color="auto"/>
            </w:tcBorders>
            <w:shd w:val="clear" w:color="auto" w:fill="CCEEFF"/>
          </w:tcPr>
          <w:p>
            <w:pPr>
              <w:jc w:val="right"/>
              <w:ind w:right="811"/>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1,002</w:t>
            </w:r>
          </w:p>
        </w:tc>
        <w:tc>
          <w:tcPr>
            <w:tcW w:w="1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826"/>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931</w:t>
            </w:r>
          </w:p>
        </w:tc>
      </w:tr>
    </w:tbl>
    <w:p>
      <w:pPr>
        <w:sectPr>
          <w:pgSz w:w="11900" w:h="16838" w:orient="portrait"/>
          <w:cols w:equalWidth="0" w:num="1">
            <w:col w:w="11308"/>
          </w:cols>
          <w:pgMar w:left="292" w:top="128" w:right="299" w:bottom="1440" w:gutter="0" w:footer="0" w:header="0"/>
          <w:type w:val="continuous"/>
        </w:sectPr>
      </w:pPr>
    </w:p>
    <w:bookmarkStart w:id="15" w:name="page16"/>
    <w:bookmarkEnd w:id="15"/>
    <w:p>
      <w:pPr>
        <w:ind w:left="8"/>
        <w:spacing w:after="0"/>
        <w:rPr>
          <w:sz w:val="20"/>
          <w:szCs w:val="20"/>
          <w:color w:val="auto"/>
        </w:rPr>
      </w:pPr>
      <w:r>
        <w:rPr>
          <w:rFonts w:ascii="Arial" w:cs="Arial" w:eastAsia="Arial" w:hAnsi="Arial"/>
          <w:sz w:val="12"/>
          <w:szCs w:val="12"/>
          <w:b w:val="1"/>
          <w:bCs w:val="1"/>
          <w:color w:val="auto"/>
        </w:rPr>
        <w:t>American Airlines Reports First-Quarter 2026 Financial Results</w:t>
      </w:r>
    </w:p>
    <w:p>
      <w:pPr>
        <w:spacing w:after="0" w:line="17" w:lineRule="exact"/>
        <w:rPr>
          <w:sz w:val="20"/>
          <w:szCs w:val="20"/>
          <w:color w:val="auto"/>
        </w:rPr>
      </w:pPr>
    </w:p>
    <w:p>
      <w:pPr>
        <w:ind w:left="8"/>
        <w:spacing w:after="0"/>
        <w:rPr>
          <w:sz w:val="20"/>
          <w:szCs w:val="20"/>
          <w:color w:val="auto"/>
        </w:rPr>
      </w:pPr>
      <w:r>
        <w:rPr>
          <w:rFonts w:ascii="Arial" w:cs="Arial" w:eastAsia="Arial" w:hAnsi="Arial"/>
          <w:sz w:val="12"/>
          <w:szCs w:val="12"/>
          <w:color w:val="auto"/>
        </w:rPr>
        <w:t>April 23, 2026</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Page 13</w:t>
      </w:r>
    </w:p>
    <w:p>
      <w:pPr>
        <w:spacing w:after="0" w:line="322"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Free Cash Flow</w:t>
      </w:r>
    </w:p>
    <w:p>
      <w:pPr>
        <w:spacing w:after="0" w:line="54" w:lineRule="exact"/>
        <w:rPr>
          <w:sz w:val="20"/>
          <w:szCs w:val="20"/>
          <w:color w:val="auto"/>
        </w:rPr>
      </w:pPr>
    </w:p>
    <w:p>
      <w:pPr>
        <w:jc w:val="both"/>
        <w:ind w:left="8"/>
        <w:spacing w:after="0" w:line="260" w:lineRule="auto"/>
        <w:rPr>
          <w:sz w:val="20"/>
          <w:szCs w:val="20"/>
          <w:color w:val="auto"/>
        </w:rPr>
      </w:pPr>
      <w:r>
        <w:rPr>
          <w:rFonts w:ascii="Arial" w:cs="Arial" w:eastAsia="Arial" w:hAnsi="Arial"/>
          <w:sz w:val="11"/>
          <w:szCs w:val="11"/>
          <w:color w:val="auto"/>
        </w:rPr>
        <w:t>The Company's free cash flow summary is presented in the table below, which is a non-GAAP measure that management believes is useful information to investors and others in evaluating the Company's ability to generate cash from its core operating performance that is available for use to reinvest in the business or to reduce debt. The Company defines free cash flows as net cash provided by operating activities less net cash used in investing activities, adjusted for (1) net purchases or sales of short-term investments and (2) change in restricted cash. We believe that calculating free cash flow as adjusted for these items is more useful for investors because short-term investment activity and restricted cash are not representative of activity core to our operations.</w:t>
      </w:r>
    </w:p>
    <w:p>
      <w:pPr>
        <w:spacing w:after="0" w:line="82"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This non-GAAP measure may not be comparable to similarly titled non-GAAP measures of other companies, and should be considered in addition to, and not as a substitute for or superior to, any measure of performance, cash flow or liquidity prepared in accordance with GAAP. Our calculation of free cash flow is not intended, and should not be used, to measure the residual cash flow available for discretionary expenditures because, among other things, it excludes mandatory debt service requirements and certain other non-discretionary expenditures.</w:t>
      </w:r>
    </w:p>
    <w:p>
      <w:pPr>
        <w:spacing w:after="0" w:line="17"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2180" w:type="dxa"/>
            <w:vAlign w:val="bottom"/>
          </w:tcPr>
          <w:p>
            <w:pPr>
              <w:spacing w:after="0"/>
              <w:rPr>
                <w:sz w:val="10"/>
                <w:szCs w:val="10"/>
                <w:color w:val="auto"/>
              </w:rPr>
            </w:pPr>
          </w:p>
        </w:tc>
        <w:tc>
          <w:tcPr>
            <w:tcW w:w="70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40" w:type="dxa"/>
            <w:vAlign w:val="bottom"/>
          </w:tcPr>
          <w:p>
            <w:pPr>
              <w:jc w:val="center"/>
              <w:ind w:right="306"/>
              <w:spacing w:after="0"/>
              <w:rPr>
                <w:sz w:val="20"/>
                <w:szCs w:val="20"/>
                <w:color w:val="auto"/>
              </w:rPr>
            </w:pPr>
            <w:r>
              <w:rPr>
                <w:rFonts w:ascii="Arial" w:cs="Arial" w:eastAsia="Arial" w:hAnsi="Arial"/>
                <w:sz w:val="11"/>
                <w:szCs w:val="11"/>
                <w:color w:val="auto"/>
                <w:w w:val="97"/>
              </w:rPr>
              <w:t>3 Months Ended</w:t>
            </w:r>
          </w:p>
        </w:tc>
      </w:tr>
      <w:tr>
        <w:trPr>
          <w:trHeight w:val="143"/>
        </w:trPr>
        <w:tc>
          <w:tcPr>
            <w:tcW w:w="218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center"/>
              <w:ind w:right="306"/>
              <w:spacing w:after="0"/>
              <w:rPr>
                <w:sz w:val="20"/>
                <w:szCs w:val="20"/>
                <w:color w:val="auto"/>
              </w:rPr>
            </w:pPr>
            <w:r>
              <w:rPr>
                <w:rFonts w:ascii="Arial" w:cs="Arial" w:eastAsia="Arial" w:hAnsi="Arial"/>
                <w:sz w:val="11"/>
                <w:szCs w:val="11"/>
                <w:color w:val="auto"/>
                <w:w w:val="96"/>
              </w:rPr>
              <w:t>March 31, 2026</w:t>
            </w:r>
          </w:p>
        </w:tc>
      </w:tr>
      <w:tr>
        <w:trPr>
          <w:trHeight w:val="133"/>
        </w:trPr>
        <w:tc>
          <w:tcPr>
            <w:tcW w:w="218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tcPr>
          <w:p>
            <w:pPr>
              <w:jc w:val="center"/>
              <w:ind w:right="306"/>
              <w:spacing w:after="0"/>
              <w:rPr>
                <w:sz w:val="20"/>
                <w:szCs w:val="20"/>
                <w:color w:val="auto"/>
              </w:rPr>
            </w:pPr>
            <w:r>
              <w:rPr>
                <w:rFonts w:ascii="Arial" w:cs="Arial" w:eastAsia="Arial" w:hAnsi="Arial"/>
                <w:sz w:val="11"/>
                <w:szCs w:val="11"/>
                <w:color w:val="auto"/>
                <w:w w:val="97"/>
              </w:rPr>
              <w:t>(in millions)</w:t>
            </w:r>
          </w:p>
        </w:tc>
      </w:tr>
      <w:tr>
        <w:trPr>
          <w:trHeight w:val="145"/>
        </w:trPr>
        <w:tc>
          <w:tcPr>
            <w:tcW w:w="92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Net cash provided by operating activities</w:t>
            </w:r>
          </w:p>
        </w:tc>
        <w:tc>
          <w:tcPr>
            <w:tcW w:w="36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w w:val="97"/>
              </w:rPr>
              <w:t>$</w:t>
            </w:r>
          </w:p>
        </w:tc>
        <w:tc>
          <w:tcPr>
            <w:tcW w:w="1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4,223</w:t>
            </w:r>
          </w:p>
        </w:tc>
      </w:tr>
      <w:tr>
        <w:trPr>
          <w:trHeight w:val="144"/>
        </w:trPr>
        <w:tc>
          <w:tcPr>
            <w:tcW w:w="9200" w:type="dxa"/>
            <w:vAlign w:val="bottom"/>
            <w:tcBorders>
              <w:bottom w:val="single" w:sz="8" w:color="CCEEFF"/>
            </w:tcBorders>
            <w:gridSpan w:val="2"/>
          </w:tcPr>
          <w:p>
            <w:pPr>
              <w:spacing w:after="0" w:line="144" w:lineRule="exact"/>
              <w:rPr>
                <w:sz w:val="20"/>
                <w:szCs w:val="20"/>
                <w:color w:val="auto"/>
              </w:rPr>
            </w:pPr>
            <w:r>
              <w:rPr>
                <w:rFonts w:ascii="Arial" w:cs="Arial" w:eastAsia="Arial" w:hAnsi="Arial"/>
                <w:sz w:val="11"/>
                <w:szCs w:val="11"/>
                <w:b w:val="1"/>
                <w:bCs w:val="1"/>
                <w:color w:val="auto"/>
              </w:rPr>
              <w:t xml:space="preserve">Adjusted net cash used in investing activities </w:t>
            </w:r>
            <w:r>
              <w:rPr>
                <w:rFonts w:ascii="Arial" w:cs="Arial" w:eastAsia="Arial" w:hAnsi="Arial"/>
                <w:sz w:val="14"/>
                <w:szCs w:val="14"/>
                <w:b w:val="1"/>
                <w:bCs w:val="1"/>
                <w:color w:val="auto"/>
                <w:vertAlign w:val="superscript"/>
              </w:rPr>
              <w:t>(1)</w:t>
            </w:r>
          </w:p>
        </w:tc>
        <w:tc>
          <w:tcPr>
            <w:tcW w:w="36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(815)</w:t>
            </w:r>
          </w:p>
        </w:tc>
      </w:tr>
      <w:tr>
        <w:trPr>
          <w:trHeight w:val="149"/>
        </w:trPr>
        <w:tc>
          <w:tcPr>
            <w:tcW w:w="9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Free cash flow</w:t>
            </w:r>
          </w:p>
        </w:tc>
        <w:tc>
          <w:tcPr>
            <w:tcW w:w="36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1"/>
                <w:szCs w:val="11"/>
                <w:color w:val="auto"/>
                <w:w w:val="97"/>
              </w:rPr>
              <w:t>$</w:t>
            </w:r>
          </w:p>
        </w:tc>
        <w:tc>
          <w:tcPr>
            <w:tcW w:w="1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3,408</w:t>
            </w:r>
          </w:p>
        </w:tc>
      </w:tr>
      <w:tr>
        <w:trPr>
          <w:trHeight w:val="117"/>
        </w:trPr>
        <w:tc>
          <w:tcPr>
            <w:tcW w:w="2180" w:type="dxa"/>
            <w:vAlign w:val="bottom"/>
            <w:tcBorders>
              <w:bottom w:val="single" w:sz="8" w:color="auto"/>
            </w:tcBorders>
          </w:tcPr>
          <w:p>
            <w:pPr>
              <w:spacing w:after="0"/>
              <w:rPr>
                <w:sz w:val="10"/>
                <w:szCs w:val="10"/>
                <w:color w:val="auto"/>
              </w:rPr>
            </w:pPr>
          </w:p>
        </w:tc>
        <w:tc>
          <w:tcPr>
            <w:tcW w:w="70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40" w:type="dxa"/>
            <w:vAlign w:val="bottom"/>
          </w:tcPr>
          <w:p>
            <w:pPr>
              <w:spacing w:after="0"/>
              <w:rPr>
                <w:sz w:val="10"/>
                <w:szCs w:val="10"/>
                <w:color w:val="auto"/>
              </w:rPr>
            </w:pPr>
          </w:p>
        </w:tc>
      </w:tr>
    </w:tbl>
    <w:p>
      <w:pPr>
        <w:spacing w:after="0" w:line="26" w:lineRule="exact"/>
        <w:rPr>
          <w:sz w:val="20"/>
          <w:szCs w:val="20"/>
          <w:color w:val="auto"/>
        </w:rPr>
      </w:pPr>
    </w:p>
    <w:p>
      <w:pPr>
        <w:ind w:left="208" w:hanging="208"/>
        <w:spacing w:after="0"/>
        <w:tabs>
          <w:tab w:leader="none" w:pos="208" w:val="left"/>
        </w:tabs>
        <w:numPr>
          <w:ilvl w:val="0"/>
          <w:numId w:val="14"/>
        </w:numPr>
        <w:rPr>
          <w:rFonts w:ascii="Arial" w:cs="Arial" w:eastAsia="Arial" w:hAnsi="Arial"/>
          <w:sz w:val="14"/>
          <w:szCs w:val="14"/>
          <w:color w:val="auto"/>
          <w:vertAlign w:val="superscript"/>
        </w:rPr>
      </w:pPr>
      <w:r>
        <w:rPr>
          <w:rFonts w:ascii="Arial" w:cs="Arial" w:eastAsia="Arial" w:hAnsi="Arial"/>
          <w:sz w:val="11"/>
          <w:szCs w:val="11"/>
          <w:color w:val="auto"/>
        </w:rPr>
        <w:t>The following table provides a reconciliation of adjusted net cash used in investing activities for the three months ended March 31, 2026 (in millions):</w:t>
      </w:r>
    </w:p>
    <w:p>
      <w:pPr>
        <w:spacing w:after="0" w:line="128"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9200" w:type="dxa"/>
            <w:vAlign w:val="bottom"/>
            <w:shd w:val="clear" w:color="auto" w:fill="CCEEFF"/>
          </w:tcPr>
          <w:p>
            <w:pPr>
              <w:spacing w:after="0"/>
              <w:rPr>
                <w:sz w:val="20"/>
                <w:szCs w:val="20"/>
                <w:color w:val="auto"/>
              </w:rPr>
            </w:pPr>
            <w:r>
              <w:rPr>
                <w:rFonts w:ascii="Arial" w:cs="Arial" w:eastAsia="Arial" w:hAnsi="Arial"/>
                <w:sz w:val="11"/>
                <w:szCs w:val="11"/>
                <w:color w:val="auto"/>
              </w:rPr>
              <w:t>Net cash used in investing activities</w:t>
            </w:r>
          </w:p>
        </w:tc>
        <w:tc>
          <w:tcPr>
            <w:tcW w:w="900" w:type="dxa"/>
            <w:vAlign w:val="bottom"/>
            <w:shd w:val="clear" w:color="auto" w:fill="CCEEFF"/>
          </w:tcPr>
          <w:p>
            <w:pPr>
              <w:jc w:val="right"/>
              <w:ind w:right="766"/>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(2,328)</w:t>
            </w:r>
          </w:p>
        </w:tc>
      </w:tr>
      <w:tr>
        <w:trPr>
          <w:trHeight w:val="143"/>
        </w:trPr>
        <w:tc>
          <w:tcPr>
            <w:tcW w:w="9200" w:type="dxa"/>
            <w:vAlign w:val="bottom"/>
          </w:tcPr>
          <w:p>
            <w:pPr>
              <w:spacing w:after="0"/>
              <w:rPr>
                <w:sz w:val="20"/>
                <w:szCs w:val="20"/>
                <w:color w:val="auto"/>
              </w:rPr>
            </w:pPr>
            <w:r>
              <w:rPr>
                <w:rFonts w:ascii="Arial" w:cs="Arial" w:eastAsia="Arial" w:hAnsi="Arial"/>
                <w:sz w:val="11"/>
                <w:szCs w:val="11"/>
                <w:color w:val="auto"/>
              </w:rPr>
              <w:t>Adjustments:</w:t>
            </w:r>
          </w:p>
        </w:tc>
        <w:tc>
          <w:tcPr>
            <w:tcW w:w="90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5"/>
        </w:trPr>
        <w:tc>
          <w:tcPr>
            <w:tcW w:w="92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Net purchases of short-term investments</w:t>
            </w:r>
          </w:p>
        </w:tc>
        <w:tc>
          <w:tcPr>
            <w:tcW w:w="90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1,510</w:t>
            </w:r>
          </w:p>
        </w:tc>
      </w:tr>
      <w:tr>
        <w:trPr>
          <w:trHeight w:val="143"/>
        </w:trPr>
        <w:tc>
          <w:tcPr>
            <w:tcW w:w="920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Decrease in restricted cash</w:t>
            </w:r>
          </w:p>
        </w:tc>
        <w:tc>
          <w:tcPr>
            <w:tcW w:w="9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w:t>
            </w:r>
          </w:p>
        </w:tc>
      </w:tr>
      <w:tr>
        <w:trPr>
          <w:trHeight w:val="150"/>
        </w:trPr>
        <w:tc>
          <w:tcPr>
            <w:tcW w:w="9200" w:type="dxa"/>
            <w:vAlign w:val="bottom"/>
            <w:tcBorders>
              <w:bottom w:val="single" w:sz="8" w:color="CCEEFF"/>
            </w:tcBorders>
            <w:shd w:val="clear" w:color="auto" w:fill="CCEEFF"/>
          </w:tcPr>
          <w:p>
            <w:pPr>
              <w:spacing w:after="0" w:line="123" w:lineRule="exact"/>
              <w:rPr>
                <w:sz w:val="20"/>
                <w:szCs w:val="20"/>
                <w:color w:val="auto"/>
              </w:rPr>
            </w:pPr>
            <w:r>
              <w:rPr>
                <w:rFonts w:ascii="Arial" w:cs="Arial" w:eastAsia="Arial" w:hAnsi="Arial"/>
                <w:sz w:val="11"/>
                <w:szCs w:val="11"/>
                <w:color w:val="auto"/>
              </w:rPr>
              <w:t>Adjusted net cash used in investing activities</w:t>
            </w:r>
          </w:p>
        </w:tc>
        <w:tc>
          <w:tcPr>
            <w:tcW w:w="900" w:type="dxa"/>
            <w:vAlign w:val="bottom"/>
            <w:tcBorders>
              <w:bottom w:val="single" w:sz="8" w:color="auto"/>
            </w:tcBorders>
            <w:shd w:val="clear" w:color="auto" w:fill="CCEEFF"/>
          </w:tcPr>
          <w:p>
            <w:pPr>
              <w:jc w:val="right"/>
              <w:ind w:right="766"/>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(815)</w:t>
            </w:r>
          </w:p>
        </w:tc>
      </w:tr>
    </w:tbl>
    <w:p>
      <w:pPr>
        <w:sectPr>
          <w:pgSz w:w="11900" w:h="16838" w:orient="portrait"/>
          <w:cols w:equalWidth="0" w:num="1">
            <w:col w:w="11308"/>
          </w:cols>
          <w:pgMar w:left="292" w:top="128" w:right="299" w:bottom="1440" w:gutter="0" w:footer="0" w:header="0"/>
        </w:sectPr>
      </w:pPr>
    </w:p>
    <w:bookmarkStart w:id="16" w:name="page17"/>
    <w:bookmarkEnd w:id="16"/>
    <w:p>
      <w:pPr>
        <w:spacing w:after="0"/>
        <w:rPr>
          <w:sz w:val="20"/>
          <w:szCs w:val="20"/>
          <w:color w:val="auto"/>
        </w:rPr>
      </w:pPr>
      <w:r>
        <w:rPr>
          <w:rFonts w:ascii="Arial" w:cs="Arial" w:eastAsia="Arial" w:hAnsi="Arial"/>
          <w:sz w:val="12"/>
          <w:szCs w:val="12"/>
          <w:b w:val="1"/>
          <w:bCs w:val="1"/>
          <w:color w:val="auto"/>
        </w:rPr>
        <w:t>American Airlines Reports First-Quarter 2026 Financial Results</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April 23, 2026</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Page 14</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American Airlines Group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(In millions, except shares)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240" w:type="dxa"/>
            <w:vAlign w:val="bottom"/>
          </w:tcPr>
          <w:p>
            <w:pPr>
              <w:spacing w:after="0"/>
              <w:rPr>
                <w:sz w:val="11"/>
                <w:szCs w:val="11"/>
                <w:color w:val="auto"/>
              </w:rPr>
            </w:pPr>
          </w:p>
        </w:tc>
        <w:tc>
          <w:tcPr>
            <w:tcW w:w="146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rPr>
              <w:t>March 31, 2026</w:t>
            </w: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jc w:val="right"/>
              <w:ind w:right="529"/>
              <w:spacing w:after="0"/>
              <w:rPr>
                <w:sz w:val="20"/>
                <w:szCs w:val="20"/>
                <w:color w:val="auto"/>
              </w:rPr>
            </w:pPr>
            <w:r>
              <w:rPr>
                <w:rFonts w:ascii="Arial" w:cs="Arial" w:eastAsia="Arial" w:hAnsi="Arial"/>
                <w:sz w:val="10"/>
                <w:szCs w:val="10"/>
                <w:color w:val="auto"/>
              </w:rPr>
              <w:t>December 31, 2025</w:t>
            </w:r>
          </w:p>
        </w:tc>
      </w:tr>
      <w:tr>
        <w:trPr>
          <w:trHeight w:val="124"/>
        </w:trPr>
        <w:tc>
          <w:tcPr>
            <w:tcW w:w="7240" w:type="dxa"/>
            <w:vAlign w:val="bottom"/>
          </w:tcPr>
          <w:p>
            <w:pPr>
              <w:spacing w:after="0"/>
              <w:rPr>
                <w:sz w:val="10"/>
                <w:szCs w:val="10"/>
                <w:color w:val="auto"/>
              </w:rPr>
            </w:pPr>
          </w:p>
        </w:tc>
        <w:tc>
          <w:tcPr>
            <w:tcW w:w="1460" w:type="dxa"/>
            <w:vAlign w:val="bottom"/>
          </w:tcPr>
          <w:p>
            <w:pPr>
              <w:jc w:val="right"/>
              <w:ind w:right="170"/>
              <w:spacing w:after="0"/>
              <w:rPr>
                <w:sz w:val="20"/>
                <w:szCs w:val="20"/>
                <w:color w:val="auto"/>
              </w:rPr>
            </w:pPr>
            <w:r>
              <w:rPr>
                <w:rFonts w:ascii="Arial" w:cs="Arial" w:eastAsia="Arial" w:hAnsi="Arial"/>
                <w:sz w:val="10"/>
                <w:szCs w:val="10"/>
                <w:color w:val="auto"/>
              </w:rPr>
              <w:t>(unaudited)</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60" w:type="dxa"/>
            <w:vAlign w:val="bottom"/>
          </w:tcPr>
          <w:p>
            <w:pPr>
              <w:spacing w:after="0"/>
              <w:rPr>
                <w:sz w:val="10"/>
                <w:szCs w:val="10"/>
                <w:color w:val="auto"/>
              </w:rPr>
            </w:pPr>
          </w:p>
        </w:tc>
      </w:tr>
      <w:tr>
        <w:trPr>
          <w:trHeight w:val="138"/>
        </w:trPr>
        <w:tc>
          <w:tcPr>
            <w:tcW w:w="724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Assets</w:t>
            </w:r>
          </w:p>
        </w:tc>
        <w:tc>
          <w:tcPr>
            <w:tcW w:w="14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r>
      <w:tr>
        <w:trPr>
          <w:trHeight w:val="135"/>
        </w:trPr>
        <w:tc>
          <w:tcPr>
            <w:tcW w:w="7240" w:type="dxa"/>
            <w:vAlign w:val="bottom"/>
          </w:tcPr>
          <w:p>
            <w:pPr>
              <w:spacing w:after="0"/>
              <w:rPr>
                <w:sz w:val="20"/>
                <w:szCs w:val="20"/>
                <w:color w:val="auto"/>
              </w:rPr>
            </w:pPr>
            <w:r>
              <w:rPr>
                <w:rFonts w:ascii="Arial" w:cs="Arial" w:eastAsia="Arial" w:hAnsi="Arial"/>
                <w:sz w:val="10"/>
                <w:szCs w:val="10"/>
                <w:b w:val="1"/>
                <w:bCs w:val="1"/>
                <w:color w:val="auto"/>
              </w:rPr>
              <w:t>Current assets</w:t>
            </w:r>
          </w:p>
        </w:tc>
        <w:tc>
          <w:tcPr>
            <w:tcW w:w="1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135"/>
        </w:trPr>
        <w:tc>
          <w:tcPr>
            <w:tcW w:w="7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Cash</w:t>
            </w:r>
          </w:p>
        </w:tc>
        <w:tc>
          <w:tcPr>
            <w:tcW w:w="1460" w:type="dxa"/>
            <w:vAlign w:val="bottom"/>
            <w:shd w:val="clear" w:color="auto" w:fill="CCEEFF"/>
          </w:tcPr>
          <w:p>
            <w:pPr>
              <w:jc w:val="right"/>
              <w:ind w:right="1330"/>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903</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954</w:t>
            </w:r>
          </w:p>
        </w:tc>
      </w:tr>
      <w:tr>
        <w:trPr>
          <w:trHeight w:val="135"/>
        </w:trPr>
        <w:tc>
          <w:tcPr>
            <w:tcW w:w="7240" w:type="dxa"/>
            <w:vAlign w:val="bottom"/>
          </w:tcPr>
          <w:p>
            <w:pPr>
              <w:ind w:left="220"/>
              <w:spacing w:after="0"/>
              <w:rPr>
                <w:sz w:val="20"/>
                <w:szCs w:val="20"/>
                <w:color w:val="auto"/>
              </w:rPr>
            </w:pPr>
            <w:r>
              <w:rPr>
                <w:rFonts w:ascii="Arial" w:cs="Arial" w:eastAsia="Arial" w:hAnsi="Arial"/>
                <w:sz w:val="10"/>
                <w:szCs w:val="10"/>
                <w:color w:val="auto"/>
              </w:rPr>
              <w:t>Short-term investments</w:t>
            </w:r>
          </w:p>
        </w:tc>
        <w:tc>
          <w:tcPr>
            <w:tcW w:w="14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6,391</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jc w:val="right"/>
              <w:ind w:right="9"/>
              <w:spacing w:after="0"/>
              <w:rPr>
                <w:sz w:val="20"/>
                <w:szCs w:val="20"/>
                <w:color w:val="auto"/>
              </w:rPr>
            </w:pPr>
            <w:r>
              <w:rPr>
                <w:rFonts w:ascii="Arial" w:cs="Arial" w:eastAsia="Arial" w:hAnsi="Arial"/>
                <w:sz w:val="10"/>
                <w:szCs w:val="10"/>
                <w:color w:val="auto"/>
              </w:rPr>
              <w:t>4,882</w:t>
            </w:r>
          </w:p>
        </w:tc>
      </w:tr>
      <w:tr>
        <w:trPr>
          <w:trHeight w:val="135"/>
        </w:trPr>
        <w:tc>
          <w:tcPr>
            <w:tcW w:w="7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Restricted cash and short-term investments</w:t>
            </w:r>
          </w:p>
        </w:tc>
        <w:tc>
          <w:tcPr>
            <w:tcW w:w="14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717</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735</w:t>
            </w:r>
          </w:p>
        </w:tc>
      </w:tr>
      <w:tr>
        <w:trPr>
          <w:trHeight w:val="135"/>
        </w:trPr>
        <w:tc>
          <w:tcPr>
            <w:tcW w:w="7240" w:type="dxa"/>
            <w:vAlign w:val="bottom"/>
          </w:tcPr>
          <w:p>
            <w:pPr>
              <w:ind w:left="220"/>
              <w:spacing w:after="0"/>
              <w:rPr>
                <w:sz w:val="20"/>
                <w:szCs w:val="20"/>
                <w:color w:val="auto"/>
              </w:rPr>
            </w:pPr>
            <w:r>
              <w:rPr>
                <w:rFonts w:ascii="Arial" w:cs="Arial" w:eastAsia="Arial" w:hAnsi="Arial"/>
                <w:sz w:val="10"/>
                <w:szCs w:val="10"/>
                <w:color w:val="auto"/>
              </w:rPr>
              <w:t>Accounts receivable, net</w:t>
            </w:r>
          </w:p>
        </w:tc>
        <w:tc>
          <w:tcPr>
            <w:tcW w:w="14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2,008</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jc w:val="right"/>
              <w:ind w:right="9"/>
              <w:spacing w:after="0"/>
              <w:rPr>
                <w:sz w:val="20"/>
                <w:szCs w:val="20"/>
                <w:color w:val="auto"/>
              </w:rPr>
            </w:pPr>
            <w:r>
              <w:rPr>
                <w:rFonts w:ascii="Arial" w:cs="Arial" w:eastAsia="Arial" w:hAnsi="Arial"/>
                <w:sz w:val="10"/>
                <w:szCs w:val="10"/>
                <w:color w:val="auto"/>
              </w:rPr>
              <w:t>2,075</w:t>
            </w:r>
          </w:p>
        </w:tc>
      </w:tr>
      <w:tr>
        <w:trPr>
          <w:trHeight w:val="135"/>
        </w:trPr>
        <w:tc>
          <w:tcPr>
            <w:tcW w:w="7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Aircraft fuel, spare parts and supplies, net</w:t>
            </w:r>
          </w:p>
        </w:tc>
        <w:tc>
          <w:tcPr>
            <w:tcW w:w="14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3,131</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2,792</w:t>
            </w:r>
          </w:p>
        </w:tc>
      </w:tr>
      <w:tr>
        <w:trPr>
          <w:trHeight w:val="135"/>
        </w:trPr>
        <w:tc>
          <w:tcPr>
            <w:tcW w:w="7240" w:type="dxa"/>
            <w:vAlign w:val="bottom"/>
            <w:tcBorders>
              <w:bottom w:val="single" w:sz="8" w:color="CCEEFF"/>
            </w:tcBorders>
          </w:tcPr>
          <w:p>
            <w:pPr>
              <w:ind w:left="220"/>
              <w:spacing w:after="0"/>
              <w:rPr>
                <w:sz w:val="20"/>
                <w:szCs w:val="20"/>
                <w:color w:val="auto"/>
              </w:rPr>
            </w:pPr>
            <w:r>
              <w:rPr>
                <w:rFonts w:ascii="Arial" w:cs="Arial" w:eastAsia="Arial" w:hAnsi="Arial"/>
                <w:sz w:val="10"/>
                <w:szCs w:val="10"/>
                <w:color w:val="auto"/>
              </w:rPr>
              <w:t>Prepaid expenses and other</w:t>
            </w:r>
          </w:p>
        </w:tc>
        <w:tc>
          <w:tcPr>
            <w:tcW w:w="14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834</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767</w:t>
            </w:r>
          </w:p>
        </w:tc>
      </w:tr>
      <w:tr>
        <w:trPr>
          <w:trHeight w:val="124"/>
        </w:trPr>
        <w:tc>
          <w:tcPr>
            <w:tcW w:w="7240" w:type="dxa"/>
            <w:vAlign w:val="bottom"/>
            <w:shd w:val="clear" w:color="auto" w:fill="CCEEFF"/>
          </w:tcPr>
          <w:p>
            <w:pPr>
              <w:ind w:left="360"/>
              <w:spacing w:after="0"/>
              <w:rPr>
                <w:sz w:val="20"/>
                <w:szCs w:val="20"/>
                <w:color w:val="auto"/>
              </w:rPr>
            </w:pPr>
            <w:r>
              <w:rPr>
                <w:rFonts w:ascii="Arial" w:cs="Arial" w:eastAsia="Arial" w:hAnsi="Arial"/>
                <w:sz w:val="10"/>
                <w:szCs w:val="10"/>
                <w:color w:val="auto"/>
              </w:rPr>
              <w:t>Total current assets</w:t>
            </w:r>
          </w:p>
        </w:tc>
        <w:tc>
          <w:tcPr>
            <w:tcW w:w="14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13,984</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12,205</w:t>
            </w:r>
          </w:p>
        </w:tc>
      </w:tr>
      <w:tr>
        <w:trPr>
          <w:trHeight w:val="135"/>
        </w:trPr>
        <w:tc>
          <w:tcPr>
            <w:tcW w:w="7240" w:type="dxa"/>
            <w:vAlign w:val="bottom"/>
          </w:tcPr>
          <w:p>
            <w:pPr>
              <w:spacing w:after="0"/>
              <w:rPr>
                <w:sz w:val="20"/>
                <w:szCs w:val="20"/>
                <w:color w:val="auto"/>
              </w:rPr>
            </w:pPr>
            <w:r>
              <w:rPr>
                <w:rFonts w:ascii="Arial" w:cs="Arial" w:eastAsia="Arial" w:hAnsi="Arial"/>
                <w:sz w:val="10"/>
                <w:szCs w:val="10"/>
                <w:b w:val="1"/>
                <w:bCs w:val="1"/>
                <w:color w:val="auto"/>
              </w:rPr>
              <w:t>Operating property and equipment</w:t>
            </w:r>
          </w:p>
        </w:tc>
        <w:tc>
          <w:tcPr>
            <w:tcW w:w="1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135"/>
        </w:trPr>
        <w:tc>
          <w:tcPr>
            <w:tcW w:w="7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Flight equipment</w:t>
            </w:r>
          </w:p>
        </w:tc>
        <w:tc>
          <w:tcPr>
            <w:tcW w:w="14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47,303</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46,597</w:t>
            </w:r>
          </w:p>
        </w:tc>
      </w:tr>
      <w:tr>
        <w:trPr>
          <w:trHeight w:val="135"/>
        </w:trPr>
        <w:tc>
          <w:tcPr>
            <w:tcW w:w="7240" w:type="dxa"/>
            <w:vAlign w:val="bottom"/>
          </w:tcPr>
          <w:p>
            <w:pPr>
              <w:ind w:left="220"/>
              <w:spacing w:after="0"/>
              <w:rPr>
                <w:sz w:val="20"/>
                <w:szCs w:val="20"/>
                <w:color w:val="auto"/>
              </w:rPr>
            </w:pPr>
            <w:r>
              <w:rPr>
                <w:rFonts w:ascii="Arial" w:cs="Arial" w:eastAsia="Arial" w:hAnsi="Arial"/>
                <w:sz w:val="10"/>
                <w:szCs w:val="10"/>
                <w:color w:val="auto"/>
              </w:rPr>
              <w:t>Ground property and equipment</w:t>
            </w:r>
          </w:p>
        </w:tc>
        <w:tc>
          <w:tcPr>
            <w:tcW w:w="14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10,605</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jc w:val="right"/>
              <w:ind w:right="9"/>
              <w:spacing w:after="0"/>
              <w:rPr>
                <w:sz w:val="20"/>
                <w:szCs w:val="20"/>
                <w:color w:val="auto"/>
              </w:rPr>
            </w:pPr>
            <w:r>
              <w:rPr>
                <w:rFonts w:ascii="Arial" w:cs="Arial" w:eastAsia="Arial" w:hAnsi="Arial"/>
                <w:sz w:val="10"/>
                <w:szCs w:val="10"/>
                <w:color w:val="auto"/>
              </w:rPr>
              <w:t>10,479</w:t>
            </w:r>
          </w:p>
        </w:tc>
      </w:tr>
      <w:tr>
        <w:trPr>
          <w:trHeight w:val="135"/>
        </w:trPr>
        <w:tc>
          <w:tcPr>
            <w:tcW w:w="7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Equipment purchase deposits</w:t>
            </w:r>
          </w:p>
        </w:tc>
        <w:tc>
          <w:tcPr>
            <w:tcW w:w="14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592</w:t>
            </w:r>
          </w:p>
        </w:tc>
        <w:tc>
          <w:tcPr>
            <w:tcW w:w="10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6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656</w:t>
            </w:r>
          </w:p>
        </w:tc>
      </w:tr>
      <w:tr>
        <w:trPr>
          <w:trHeight w:val="124"/>
        </w:trPr>
        <w:tc>
          <w:tcPr>
            <w:tcW w:w="7240" w:type="dxa"/>
            <w:vAlign w:val="bottom"/>
          </w:tcPr>
          <w:p>
            <w:pPr>
              <w:ind w:left="360"/>
              <w:spacing w:after="0"/>
              <w:rPr>
                <w:sz w:val="20"/>
                <w:szCs w:val="20"/>
                <w:color w:val="auto"/>
              </w:rPr>
            </w:pPr>
            <w:r>
              <w:rPr>
                <w:rFonts w:ascii="Arial" w:cs="Arial" w:eastAsia="Arial" w:hAnsi="Arial"/>
                <w:sz w:val="10"/>
                <w:szCs w:val="10"/>
                <w:color w:val="auto"/>
              </w:rPr>
              <w:t>Total property and equipment, at cost</w:t>
            </w:r>
          </w:p>
        </w:tc>
        <w:tc>
          <w:tcPr>
            <w:tcW w:w="14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58,500</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60" w:type="dxa"/>
            <w:vAlign w:val="bottom"/>
          </w:tcPr>
          <w:p>
            <w:pPr>
              <w:jc w:val="right"/>
              <w:ind w:right="9"/>
              <w:spacing w:after="0"/>
              <w:rPr>
                <w:sz w:val="20"/>
                <w:szCs w:val="20"/>
                <w:color w:val="auto"/>
              </w:rPr>
            </w:pPr>
            <w:r>
              <w:rPr>
                <w:rFonts w:ascii="Arial" w:cs="Arial" w:eastAsia="Arial" w:hAnsi="Arial"/>
                <w:sz w:val="10"/>
                <w:szCs w:val="10"/>
                <w:color w:val="auto"/>
              </w:rPr>
              <w:t>57,732</w:t>
            </w:r>
          </w:p>
        </w:tc>
      </w:tr>
      <w:tr>
        <w:trPr>
          <w:trHeight w:val="135"/>
        </w:trPr>
        <w:tc>
          <w:tcPr>
            <w:tcW w:w="7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Less accumulated depreciation and amortization</w:t>
            </w:r>
          </w:p>
        </w:tc>
        <w:tc>
          <w:tcPr>
            <w:tcW w:w="14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(25,675)</w:t>
            </w:r>
          </w:p>
        </w:tc>
        <w:tc>
          <w:tcPr>
            <w:tcW w:w="10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(25,192)</w:t>
            </w:r>
          </w:p>
        </w:tc>
      </w:tr>
      <w:tr>
        <w:trPr>
          <w:trHeight w:val="124"/>
        </w:trPr>
        <w:tc>
          <w:tcPr>
            <w:tcW w:w="7240" w:type="dxa"/>
            <w:vAlign w:val="bottom"/>
          </w:tcPr>
          <w:p>
            <w:pPr>
              <w:ind w:left="360"/>
              <w:spacing w:after="0"/>
              <w:rPr>
                <w:sz w:val="20"/>
                <w:szCs w:val="20"/>
                <w:color w:val="auto"/>
              </w:rPr>
            </w:pPr>
            <w:r>
              <w:rPr>
                <w:rFonts w:ascii="Arial" w:cs="Arial" w:eastAsia="Arial" w:hAnsi="Arial"/>
                <w:sz w:val="10"/>
                <w:szCs w:val="10"/>
                <w:color w:val="auto"/>
              </w:rPr>
              <w:t>Total property and equipment, net</w:t>
            </w:r>
          </w:p>
        </w:tc>
        <w:tc>
          <w:tcPr>
            <w:tcW w:w="14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32,825</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60" w:type="dxa"/>
            <w:vAlign w:val="bottom"/>
          </w:tcPr>
          <w:p>
            <w:pPr>
              <w:jc w:val="right"/>
              <w:ind w:right="9"/>
              <w:spacing w:after="0"/>
              <w:rPr>
                <w:sz w:val="20"/>
                <w:szCs w:val="20"/>
                <w:color w:val="auto"/>
              </w:rPr>
            </w:pPr>
            <w:r>
              <w:rPr>
                <w:rFonts w:ascii="Arial" w:cs="Arial" w:eastAsia="Arial" w:hAnsi="Arial"/>
                <w:sz w:val="10"/>
                <w:szCs w:val="10"/>
                <w:color w:val="auto"/>
              </w:rPr>
              <w:t>32,540</w:t>
            </w:r>
          </w:p>
        </w:tc>
      </w:tr>
      <w:tr>
        <w:trPr>
          <w:trHeight w:val="135"/>
        </w:trPr>
        <w:tc>
          <w:tcPr>
            <w:tcW w:w="724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Operating lease right-of-use assets</w:t>
            </w:r>
          </w:p>
        </w:tc>
        <w:tc>
          <w:tcPr>
            <w:tcW w:w="14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6,943</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7,091</w:t>
            </w:r>
          </w:p>
        </w:tc>
      </w:tr>
      <w:tr>
        <w:trPr>
          <w:trHeight w:val="135"/>
        </w:trPr>
        <w:tc>
          <w:tcPr>
            <w:tcW w:w="7240" w:type="dxa"/>
            <w:vAlign w:val="bottom"/>
          </w:tcPr>
          <w:p>
            <w:pPr>
              <w:spacing w:after="0"/>
              <w:rPr>
                <w:sz w:val="20"/>
                <w:szCs w:val="20"/>
                <w:color w:val="auto"/>
              </w:rPr>
            </w:pPr>
            <w:r>
              <w:rPr>
                <w:rFonts w:ascii="Arial" w:cs="Arial" w:eastAsia="Arial" w:hAnsi="Arial"/>
                <w:sz w:val="10"/>
                <w:szCs w:val="10"/>
                <w:b w:val="1"/>
                <w:bCs w:val="1"/>
                <w:color w:val="auto"/>
              </w:rPr>
              <w:t>Other assets</w:t>
            </w:r>
          </w:p>
        </w:tc>
        <w:tc>
          <w:tcPr>
            <w:tcW w:w="1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135"/>
        </w:trPr>
        <w:tc>
          <w:tcPr>
            <w:tcW w:w="7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Goodwill</w:t>
            </w:r>
          </w:p>
        </w:tc>
        <w:tc>
          <w:tcPr>
            <w:tcW w:w="14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4,091</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4,091</w:t>
            </w:r>
          </w:p>
        </w:tc>
      </w:tr>
      <w:tr>
        <w:trPr>
          <w:trHeight w:val="135"/>
        </w:trPr>
        <w:tc>
          <w:tcPr>
            <w:tcW w:w="7240" w:type="dxa"/>
            <w:vAlign w:val="bottom"/>
          </w:tcPr>
          <w:p>
            <w:pPr>
              <w:ind w:left="220"/>
              <w:spacing w:after="0"/>
              <w:rPr>
                <w:sz w:val="20"/>
                <w:szCs w:val="20"/>
                <w:color w:val="auto"/>
              </w:rPr>
            </w:pPr>
            <w:r>
              <w:rPr>
                <w:rFonts w:ascii="Arial" w:cs="Arial" w:eastAsia="Arial" w:hAnsi="Arial"/>
                <w:sz w:val="10"/>
                <w:szCs w:val="10"/>
                <w:color w:val="auto"/>
              </w:rPr>
              <w:t>Intangibles, net</w:t>
            </w:r>
          </w:p>
        </w:tc>
        <w:tc>
          <w:tcPr>
            <w:tcW w:w="14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2,064</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jc w:val="right"/>
              <w:ind w:right="9"/>
              <w:spacing w:after="0"/>
              <w:rPr>
                <w:sz w:val="20"/>
                <w:szCs w:val="20"/>
                <w:color w:val="auto"/>
              </w:rPr>
            </w:pPr>
            <w:r>
              <w:rPr>
                <w:rFonts w:ascii="Arial" w:cs="Arial" w:eastAsia="Arial" w:hAnsi="Arial"/>
                <w:sz w:val="10"/>
                <w:szCs w:val="10"/>
                <w:color w:val="auto"/>
              </w:rPr>
              <w:t>2,066</w:t>
            </w:r>
          </w:p>
        </w:tc>
      </w:tr>
      <w:tr>
        <w:trPr>
          <w:trHeight w:val="135"/>
        </w:trPr>
        <w:tc>
          <w:tcPr>
            <w:tcW w:w="7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Deferred tax asset</w:t>
            </w:r>
          </w:p>
        </w:tc>
        <w:tc>
          <w:tcPr>
            <w:tcW w:w="14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2,457</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2,368</w:t>
            </w:r>
          </w:p>
        </w:tc>
      </w:tr>
      <w:tr>
        <w:trPr>
          <w:trHeight w:val="135"/>
        </w:trPr>
        <w:tc>
          <w:tcPr>
            <w:tcW w:w="7240" w:type="dxa"/>
            <w:vAlign w:val="bottom"/>
            <w:tcBorders>
              <w:bottom w:val="single" w:sz="8" w:color="CCEEFF"/>
            </w:tcBorders>
          </w:tcPr>
          <w:p>
            <w:pPr>
              <w:ind w:left="220"/>
              <w:spacing w:after="0"/>
              <w:rPr>
                <w:sz w:val="20"/>
                <w:szCs w:val="20"/>
                <w:color w:val="auto"/>
              </w:rPr>
            </w:pPr>
            <w:r>
              <w:rPr>
                <w:rFonts w:ascii="Arial" w:cs="Arial" w:eastAsia="Arial" w:hAnsi="Arial"/>
                <w:sz w:val="10"/>
                <w:szCs w:val="10"/>
                <w:color w:val="auto"/>
              </w:rPr>
              <w:t>Other assets</w:t>
            </w:r>
          </w:p>
        </w:tc>
        <w:tc>
          <w:tcPr>
            <w:tcW w:w="14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1,374</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1,413</w:t>
            </w:r>
          </w:p>
        </w:tc>
      </w:tr>
      <w:tr>
        <w:trPr>
          <w:trHeight w:val="124"/>
        </w:trPr>
        <w:tc>
          <w:tcPr>
            <w:tcW w:w="7240" w:type="dxa"/>
            <w:vAlign w:val="bottom"/>
            <w:shd w:val="clear" w:color="auto" w:fill="CCEEFF"/>
          </w:tcPr>
          <w:p>
            <w:pPr>
              <w:ind w:left="360"/>
              <w:spacing w:after="0"/>
              <w:rPr>
                <w:sz w:val="20"/>
                <w:szCs w:val="20"/>
                <w:color w:val="auto"/>
              </w:rPr>
            </w:pPr>
            <w:r>
              <w:rPr>
                <w:rFonts w:ascii="Arial" w:cs="Arial" w:eastAsia="Arial" w:hAnsi="Arial"/>
                <w:sz w:val="10"/>
                <w:szCs w:val="10"/>
                <w:color w:val="auto"/>
              </w:rPr>
              <w:t>Total other assets</w:t>
            </w:r>
          </w:p>
        </w:tc>
        <w:tc>
          <w:tcPr>
            <w:tcW w:w="146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9,986</w:t>
            </w:r>
          </w:p>
        </w:tc>
        <w:tc>
          <w:tcPr>
            <w:tcW w:w="100" w:type="dxa"/>
            <w:vAlign w:val="bottom"/>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16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9,938</w:t>
            </w:r>
          </w:p>
        </w:tc>
      </w:tr>
      <w:tr>
        <w:trPr>
          <w:trHeight w:val="140"/>
        </w:trPr>
        <w:tc>
          <w:tcPr>
            <w:tcW w:w="7240" w:type="dxa"/>
            <w:vAlign w:val="bottom"/>
            <w:tcBorders>
              <w:bottom w:val="single" w:sz="8" w:color="CCEEFF"/>
            </w:tcBorders>
          </w:tcPr>
          <w:p>
            <w:pPr>
              <w:ind w:left="360"/>
              <w:spacing w:after="0"/>
              <w:rPr>
                <w:sz w:val="20"/>
                <w:szCs w:val="20"/>
                <w:color w:val="auto"/>
              </w:rPr>
            </w:pPr>
            <w:r>
              <w:rPr>
                <w:rFonts w:ascii="Arial" w:cs="Arial" w:eastAsia="Arial" w:hAnsi="Arial"/>
                <w:sz w:val="10"/>
                <w:szCs w:val="10"/>
                <w:color w:val="auto"/>
              </w:rPr>
              <w:t>Total assets</w:t>
            </w:r>
          </w:p>
        </w:tc>
        <w:tc>
          <w:tcPr>
            <w:tcW w:w="1460" w:type="dxa"/>
            <w:vAlign w:val="bottom"/>
            <w:tcBorders>
              <w:bottom w:val="single" w:sz="8" w:color="auto"/>
            </w:tcBorders>
          </w:tcPr>
          <w:p>
            <w:pPr>
              <w:jc w:val="right"/>
              <w:ind w:right="133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63,738</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66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61,774</w:t>
            </w:r>
          </w:p>
        </w:tc>
      </w:tr>
      <w:tr>
        <w:trPr>
          <w:trHeight w:val="117"/>
        </w:trPr>
        <w:tc>
          <w:tcPr>
            <w:tcW w:w="724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Liabilities and Stockholders’ Equity (Deficit)</w:t>
            </w:r>
          </w:p>
        </w:tc>
        <w:tc>
          <w:tcPr>
            <w:tcW w:w="14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rPr>
                <w:sz w:val="10"/>
                <w:szCs w:val="10"/>
                <w:color w:val="auto"/>
              </w:rPr>
            </w:pPr>
          </w:p>
        </w:tc>
      </w:tr>
      <w:tr>
        <w:trPr>
          <w:trHeight w:val="135"/>
        </w:trPr>
        <w:tc>
          <w:tcPr>
            <w:tcW w:w="7240" w:type="dxa"/>
            <w:vAlign w:val="bottom"/>
          </w:tcPr>
          <w:p>
            <w:pPr>
              <w:spacing w:after="0"/>
              <w:rPr>
                <w:sz w:val="20"/>
                <w:szCs w:val="20"/>
                <w:color w:val="auto"/>
              </w:rPr>
            </w:pPr>
            <w:r>
              <w:rPr>
                <w:rFonts w:ascii="Arial" w:cs="Arial" w:eastAsia="Arial" w:hAnsi="Arial"/>
                <w:sz w:val="10"/>
                <w:szCs w:val="10"/>
                <w:b w:val="1"/>
                <w:bCs w:val="1"/>
                <w:color w:val="auto"/>
              </w:rPr>
              <w:t>Current liabilities</w:t>
            </w:r>
          </w:p>
        </w:tc>
        <w:tc>
          <w:tcPr>
            <w:tcW w:w="1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135"/>
        </w:trPr>
        <w:tc>
          <w:tcPr>
            <w:tcW w:w="7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Current maturities of long-term debt and finance leases</w:t>
            </w:r>
          </w:p>
        </w:tc>
        <w:tc>
          <w:tcPr>
            <w:tcW w:w="1460" w:type="dxa"/>
            <w:vAlign w:val="bottom"/>
            <w:shd w:val="clear" w:color="auto" w:fill="CCEEFF"/>
          </w:tcPr>
          <w:p>
            <w:pPr>
              <w:jc w:val="right"/>
              <w:ind w:right="1330"/>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4,195</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3,753</w:t>
            </w:r>
          </w:p>
        </w:tc>
      </w:tr>
      <w:tr>
        <w:trPr>
          <w:trHeight w:val="135"/>
        </w:trPr>
        <w:tc>
          <w:tcPr>
            <w:tcW w:w="7240" w:type="dxa"/>
            <w:vAlign w:val="bottom"/>
          </w:tcPr>
          <w:p>
            <w:pPr>
              <w:ind w:left="220"/>
              <w:spacing w:after="0"/>
              <w:rPr>
                <w:sz w:val="20"/>
                <w:szCs w:val="20"/>
                <w:color w:val="auto"/>
              </w:rPr>
            </w:pPr>
            <w:r>
              <w:rPr>
                <w:rFonts w:ascii="Arial" w:cs="Arial" w:eastAsia="Arial" w:hAnsi="Arial"/>
                <w:sz w:val="10"/>
                <w:szCs w:val="10"/>
                <w:color w:val="auto"/>
              </w:rPr>
              <w:t>Accounts payable</w:t>
            </w:r>
          </w:p>
        </w:tc>
        <w:tc>
          <w:tcPr>
            <w:tcW w:w="14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3,610</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jc w:val="right"/>
              <w:ind w:right="9"/>
              <w:spacing w:after="0"/>
              <w:rPr>
                <w:sz w:val="20"/>
                <w:szCs w:val="20"/>
                <w:color w:val="auto"/>
              </w:rPr>
            </w:pPr>
            <w:r>
              <w:rPr>
                <w:rFonts w:ascii="Arial" w:cs="Arial" w:eastAsia="Arial" w:hAnsi="Arial"/>
                <w:sz w:val="10"/>
                <w:szCs w:val="10"/>
                <w:color w:val="auto"/>
              </w:rPr>
              <w:t>2,840</w:t>
            </w:r>
          </w:p>
        </w:tc>
      </w:tr>
      <w:tr>
        <w:trPr>
          <w:trHeight w:val="135"/>
        </w:trPr>
        <w:tc>
          <w:tcPr>
            <w:tcW w:w="7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Accrued salaries and wages</w:t>
            </w:r>
          </w:p>
        </w:tc>
        <w:tc>
          <w:tcPr>
            <w:tcW w:w="14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1,969</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2,128</w:t>
            </w:r>
          </w:p>
        </w:tc>
      </w:tr>
      <w:tr>
        <w:trPr>
          <w:trHeight w:val="135"/>
        </w:trPr>
        <w:tc>
          <w:tcPr>
            <w:tcW w:w="7240" w:type="dxa"/>
            <w:vAlign w:val="bottom"/>
          </w:tcPr>
          <w:p>
            <w:pPr>
              <w:ind w:left="220"/>
              <w:spacing w:after="0"/>
              <w:rPr>
                <w:sz w:val="20"/>
                <w:szCs w:val="20"/>
                <w:color w:val="auto"/>
              </w:rPr>
            </w:pPr>
            <w:r>
              <w:rPr>
                <w:rFonts w:ascii="Arial" w:cs="Arial" w:eastAsia="Arial" w:hAnsi="Arial"/>
                <w:sz w:val="10"/>
                <w:szCs w:val="10"/>
                <w:color w:val="auto"/>
              </w:rPr>
              <w:t>Air traffic liability</w:t>
            </w:r>
          </w:p>
        </w:tc>
        <w:tc>
          <w:tcPr>
            <w:tcW w:w="14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10,031</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jc w:val="right"/>
              <w:ind w:right="9"/>
              <w:spacing w:after="0"/>
              <w:rPr>
                <w:sz w:val="20"/>
                <w:szCs w:val="20"/>
                <w:color w:val="auto"/>
              </w:rPr>
            </w:pPr>
            <w:r>
              <w:rPr>
                <w:rFonts w:ascii="Arial" w:cs="Arial" w:eastAsia="Arial" w:hAnsi="Arial"/>
                <w:sz w:val="10"/>
                <w:szCs w:val="10"/>
                <w:color w:val="auto"/>
              </w:rPr>
              <w:t>7,158</w:t>
            </w:r>
          </w:p>
        </w:tc>
      </w:tr>
      <w:tr>
        <w:trPr>
          <w:trHeight w:val="135"/>
        </w:trPr>
        <w:tc>
          <w:tcPr>
            <w:tcW w:w="7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Loyalty program liability</w:t>
            </w:r>
          </w:p>
        </w:tc>
        <w:tc>
          <w:tcPr>
            <w:tcW w:w="14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4,210</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3,725</w:t>
            </w:r>
          </w:p>
        </w:tc>
      </w:tr>
      <w:tr>
        <w:trPr>
          <w:trHeight w:val="135"/>
        </w:trPr>
        <w:tc>
          <w:tcPr>
            <w:tcW w:w="7240" w:type="dxa"/>
            <w:vAlign w:val="bottom"/>
          </w:tcPr>
          <w:p>
            <w:pPr>
              <w:ind w:left="220"/>
              <w:spacing w:after="0"/>
              <w:rPr>
                <w:sz w:val="20"/>
                <w:szCs w:val="20"/>
                <w:color w:val="auto"/>
              </w:rPr>
            </w:pPr>
            <w:r>
              <w:rPr>
                <w:rFonts w:ascii="Arial" w:cs="Arial" w:eastAsia="Arial" w:hAnsi="Arial"/>
                <w:sz w:val="10"/>
                <w:szCs w:val="10"/>
                <w:color w:val="auto"/>
              </w:rPr>
              <w:t>Operating lease liabilities</w:t>
            </w:r>
          </w:p>
        </w:tc>
        <w:tc>
          <w:tcPr>
            <w:tcW w:w="14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1,053</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jc w:val="right"/>
              <w:ind w:right="9"/>
              <w:spacing w:after="0"/>
              <w:rPr>
                <w:sz w:val="20"/>
                <w:szCs w:val="20"/>
                <w:color w:val="auto"/>
              </w:rPr>
            </w:pPr>
            <w:r>
              <w:rPr>
                <w:rFonts w:ascii="Arial" w:cs="Arial" w:eastAsia="Arial" w:hAnsi="Arial"/>
                <w:sz w:val="10"/>
                <w:szCs w:val="10"/>
                <w:color w:val="auto"/>
              </w:rPr>
              <w:t>1,058</w:t>
            </w:r>
          </w:p>
        </w:tc>
      </w:tr>
      <w:tr>
        <w:trPr>
          <w:trHeight w:val="135"/>
        </w:trPr>
        <w:tc>
          <w:tcPr>
            <w:tcW w:w="7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Fuel financing</w:t>
            </w:r>
          </w:p>
        </w:tc>
        <w:tc>
          <w:tcPr>
            <w:tcW w:w="14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360</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914</w:t>
            </w:r>
          </w:p>
        </w:tc>
      </w:tr>
      <w:tr>
        <w:trPr>
          <w:trHeight w:val="135"/>
        </w:trPr>
        <w:tc>
          <w:tcPr>
            <w:tcW w:w="7240" w:type="dxa"/>
            <w:vAlign w:val="bottom"/>
            <w:tcBorders>
              <w:bottom w:val="single" w:sz="8" w:color="CCEEFF"/>
            </w:tcBorders>
          </w:tcPr>
          <w:p>
            <w:pPr>
              <w:ind w:left="220"/>
              <w:spacing w:after="0"/>
              <w:rPr>
                <w:sz w:val="20"/>
                <w:szCs w:val="20"/>
                <w:color w:val="auto"/>
              </w:rPr>
            </w:pPr>
            <w:r>
              <w:rPr>
                <w:rFonts w:ascii="Arial" w:cs="Arial" w:eastAsia="Arial" w:hAnsi="Arial"/>
                <w:sz w:val="10"/>
                <w:szCs w:val="10"/>
                <w:color w:val="auto"/>
              </w:rPr>
              <w:t>Other accrued liabilities</w:t>
            </w:r>
          </w:p>
        </w:tc>
        <w:tc>
          <w:tcPr>
            <w:tcW w:w="14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2,978</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2,916</w:t>
            </w:r>
          </w:p>
        </w:tc>
      </w:tr>
      <w:tr>
        <w:trPr>
          <w:trHeight w:val="124"/>
        </w:trPr>
        <w:tc>
          <w:tcPr>
            <w:tcW w:w="7240" w:type="dxa"/>
            <w:vAlign w:val="bottom"/>
            <w:shd w:val="clear" w:color="auto" w:fill="CCEEFF"/>
          </w:tcPr>
          <w:p>
            <w:pPr>
              <w:ind w:left="360"/>
              <w:spacing w:after="0"/>
              <w:rPr>
                <w:sz w:val="20"/>
                <w:szCs w:val="20"/>
                <w:color w:val="auto"/>
              </w:rPr>
            </w:pPr>
            <w:r>
              <w:rPr>
                <w:rFonts w:ascii="Arial" w:cs="Arial" w:eastAsia="Arial" w:hAnsi="Arial"/>
                <w:sz w:val="10"/>
                <w:szCs w:val="10"/>
                <w:color w:val="auto"/>
              </w:rPr>
              <w:t>Total current liabilities</w:t>
            </w:r>
          </w:p>
        </w:tc>
        <w:tc>
          <w:tcPr>
            <w:tcW w:w="14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28,406</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24,492</w:t>
            </w:r>
          </w:p>
        </w:tc>
      </w:tr>
      <w:tr>
        <w:trPr>
          <w:trHeight w:val="135"/>
        </w:trPr>
        <w:tc>
          <w:tcPr>
            <w:tcW w:w="7240" w:type="dxa"/>
            <w:vAlign w:val="bottom"/>
          </w:tcPr>
          <w:p>
            <w:pPr>
              <w:spacing w:after="0"/>
              <w:rPr>
                <w:sz w:val="20"/>
                <w:szCs w:val="20"/>
                <w:color w:val="auto"/>
              </w:rPr>
            </w:pPr>
            <w:r>
              <w:rPr>
                <w:rFonts w:ascii="Arial" w:cs="Arial" w:eastAsia="Arial" w:hAnsi="Arial"/>
                <w:sz w:val="10"/>
                <w:szCs w:val="10"/>
                <w:b w:val="1"/>
                <w:bCs w:val="1"/>
                <w:color w:val="auto"/>
              </w:rPr>
              <w:t>Noncurrent liabilities</w:t>
            </w:r>
          </w:p>
        </w:tc>
        <w:tc>
          <w:tcPr>
            <w:tcW w:w="1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135"/>
        </w:trPr>
        <w:tc>
          <w:tcPr>
            <w:tcW w:w="7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Long-term debt and finance leases, net of current maturities</w:t>
            </w:r>
          </w:p>
        </w:tc>
        <w:tc>
          <w:tcPr>
            <w:tcW w:w="14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23,522</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25,254</w:t>
            </w:r>
          </w:p>
        </w:tc>
      </w:tr>
      <w:tr>
        <w:trPr>
          <w:trHeight w:val="135"/>
        </w:trPr>
        <w:tc>
          <w:tcPr>
            <w:tcW w:w="7240" w:type="dxa"/>
            <w:vAlign w:val="bottom"/>
          </w:tcPr>
          <w:p>
            <w:pPr>
              <w:ind w:left="220"/>
              <w:spacing w:after="0"/>
              <w:rPr>
                <w:sz w:val="20"/>
                <w:szCs w:val="20"/>
                <w:color w:val="auto"/>
              </w:rPr>
            </w:pPr>
            <w:r>
              <w:rPr>
                <w:rFonts w:ascii="Arial" w:cs="Arial" w:eastAsia="Arial" w:hAnsi="Arial"/>
                <w:sz w:val="10"/>
                <w:szCs w:val="10"/>
                <w:color w:val="auto"/>
              </w:rPr>
              <w:t>Pension and postretirement benefits</w:t>
            </w:r>
          </w:p>
        </w:tc>
        <w:tc>
          <w:tcPr>
            <w:tcW w:w="14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1,219</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jc w:val="right"/>
              <w:ind w:right="9"/>
              <w:spacing w:after="0"/>
              <w:rPr>
                <w:sz w:val="20"/>
                <w:szCs w:val="20"/>
                <w:color w:val="auto"/>
              </w:rPr>
            </w:pPr>
            <w:r>
              <w:rPr>
                <w:rFonts w:ascii="Arial" w:cs="Arial" w:eastAsia="Arial" w:hAnsi="Arial"/>
                <w:sz w:val="10"/>
                <w:szCs w:val="10"/>
                <w:color w:val="auto"/>
              </w:rPr>
              <w:t>1,568</w:t>
            </w:r>
          </w:p>
        </w:tc>
      </w:tr>
      <w:tr>
        <w:trPr>
          <w:trHeight w:val="135"/>
        </w:trPr>
        <w:tc>
          <w:tcPr>
            <w:tcW w:w="7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Loyalty program liability</w:t>
            </w:r>
          </w:p>
        </w:tc>
        <w:tc>
          <w:tcPr>
            <w:tcW w:w="14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7,376</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6,839</w:t>
            </w:r>
          </w:p>
        </w:tc>
      </w:tr>
      <w:tr>
        <w:trPr>
          <w:trHeight w:val="135"/>
        </w:trPr>
        <w:tc>
          <w:tcPr>
            <w:tcW w:w="7240" w:type="dxa"/>
            <w:vAlign w:val="bottom"/>
          </w:tcPr>
          <w:p>
            <w:pPr>
              <w:ind w:left="220"/>
              <w:spacing w:after="0"/>
              <w:rPr>
                <w:sz w:val="20"/>
                <w:szCs w:val="20"/>
                <w:color w:val="auto"/>
              </w:rPr>
            </w:pPr>
            <w:r>
              <w:rPr>
                <w:rFonts w:ascii="Arial" w:cs="Arial" w:eastAsia="Arial" w:hAnsi="Arial"/>
                <w:sz w:val="10"/>
                <w:szCs w:val="10"/>
                <w:color w:val="auto"/>
              </w:rPr>
              <w:t>Operating lease liabilities</w:t>
            </w:r>
          </w:p>
        </w:tc>
        <w:tc>
          <w:tcPr>
            <w:tcW w:w="14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5,762</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jc w:val="right"/>
              <w:ind w:right="9"/>
              <w:spacing w:after="0"/>
              <w:rPr>
                <w:sz w:val="20"/>
                <w:szCs w:val="20"/>
                <w:color w:val="auto"/>
              </w:rPr>
            </w:pPr>
            <w:r>
              <w:rPr>
                <w:rFonts w:ascii="Arial" w:cs="Arial" w:eastAsia="Arial" w:hAnsi="Arial"/>
                <w:sz w:val="10"/>
                <w:szCs w:val="10"/>
                <w:color w:val="auto"/>
              </w:rPr>
              <w:t>5,905</w:t>
            </w:r>
          </w:p>
        </w:tc>
      </w:tr>
      <w:tr>
        <w:trPr>
          <w:trHeight w:val="135"/>
        </w:trPr>
        <w:tc>
          <w:tcPr>
            <w:tcW w:w="7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Other liabilities</w:t>
            </w:r>
          </w:p>
        </w:tc>
        <w:tc>
          <w:tcPr>
            <w:tcW w:w="14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1,530</w:t>
            </w:r>
          </w:p>
        </w:tc>
        <w:tc>
          <w:tcPr>
            <w:tcW w:w="10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6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1,443</w:t>
            </w:r>
          </w:p>
        </w:tc>
      </w:tr>
      <w:tr>
        <w:trPr>
          <w:trHeight w:val="124"/>
        </w:trPr>
        <w:tc>
          <w:tcPr>
            <w:tcW w:w="7240" w:type="dxa"/>
            <w:vAlign w:val="bottom"/>
          </w:tcPr>
          <w:p>
            <w:pPr>
              <w:ind w:left="360"/>
              <w:spacing w:after="0"/>
              <w:rPr>
                <w:sz w:val="20"/>
                <w:szCs w:val="20"/>
                <w:color w:val="auto"/>
              </w:rPr>
            </w:pPr>
            <w:r>
              <w:rPr>
                <w:rFonts w:ascii="Arial" w:cs="Arial" w:eastAsia="Arial" w:hAnsi="Arial"/>
                <w:sz w:val="10"/>
                <w:szCs w:val="10"/>
                <w:color w:val="auto"/>
              </w:rPr>
              <w:t>Total noncurrent liabilities</w:t>
            </w:r>
          </w:p>
        </w:tc>
        <w:tc>
          <w:tcPr>
            <w:tcW w:w="14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39,409</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60" w:type="dxa"/>
            <w:vAlign w:val="bottom"/>
          </w:tcPr>
          <w:p>
            <w:pPr>
              <w:jc w:val="right"/>
              <w:ind w:right="9"/>
              <w:spacing w:after="0"/>
              <w:rPr>
                <w:sz w:val="20"/>
                <w:szCs w:val="20"/>
                <w:color w:val="auto"/>
              </w:rPr>
            </w:pPr>
            <w:r>
              <w:rPr>
                <w:rFonts w:ascii="Arial" w:cs="Arial" w:eastAsia="Arial" w:hAnsi="Arial"/>
                <w:sz w:val="10"/>
                <w:szCs w:val="10"/>
                <w:color w:val="auto"/>
              </w:rPr>
              <w:t>41,009</w:t>
            </w:r>
          </w:p>
        </w:tc>
      </w:tr>
      <w:tr>
        <w:trPr>
          <w:trHeight w:val="135"/>
        </w:trPr>
        <w:tc>
          <w:tcPr>
            <w:tcW w:w="724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Stockholders' equity (deficit)</w:t>
            </w:r>
          </w:p>
        </w:tc>
        <w:tc>
          <w:tcPr>
            <w:tcW w:w="14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r>
      <w:tr>
        <w:trPr>
          <w:trHeight w:val="135"/>
        </w:trPr>
        <w:tc>
          <w:tcPr>
            <w:tcW w:w="7240" w:type="dxa"/>
            <w:vAlign w:val="bottom"/>
          </w:tcPr>
          <w:p>
            <w:pPr>
              <w:ind w:left="220"/>
              <w:spacing w:after="0"/>
              <w:rPr>
                <w:sz w:val="20"/>
                <w:szCs w:val="20"/>
                <w:color w:val="auto"/>
              </w:rPr>
            </w:pPr>
            <w:r>
              <w:rPr>
                <w:rFonts w:ascii="Arial" w:cs="Arial" w:eastAsia="Arial" w:hAnsi="Arial"/>
                <w:sz w:val="10"/>
                <w:szCs w:val="10"/>
                <w:color w:val="auto"/>
              </w:rPr>
              <w:t>Common stock, 661,385,137 shares outstanding at March 31, 2026</w:t>
            </w:r>
          </w:p>
        </w:tc>
        <w:tc>
          <w:tcPr>
            <w:tcW w:w="14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7</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jc w:val="right"/>
              <w:ind w:right="9"/>
              <w:spacing w:after="0"/>
              <w:rPr>
                <w:sz w:val="20"/>
                <w:szCs w:val="20"/>
                <w:color w:val="auto"/>
              </w:rPr>
            </w:pPr>
            <w:r>
              <w:rPr>
                <w:rFonts w:ascii="Arial" w:cs="Arial" w:eastAsia="Arial" w:hAnsi="Arial"/>
                <w:sz w:val="10"/>
                <w:szCs w:val="10"/>
                <w:color w:val="auto"/>
              </w:rPr>
              <w:t>7</w:t>
            </w:r>
          </w:p>
        </w:tc>
      </w:tr>
      <w:tr>
        <w:trPr>
          <w:trHeight w:val="135"/>
        </w:trPr>
        <w:tc>
          <w:tcPr>
            <w:tcW w:w="7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Additional paid-in capital</w:t>
            </w:r>
          </w:p>
        </w:tc>
        <w:tc>
          <w:tcPr>
            <w:tcW w:w="14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7,402</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7,387</w:t>
            </w:r>
          </w:p>
        </w:tc>
      </w:tr>
      <w:tr>
        <w:trPr>
          <w:trHeight w:val="135"/>
        </w:trPr>
        <w:tc>
          <w:tcPr>
            <w:tcW w:w="7240" w:type="dxa"/>
            <w:vAlign w:val="bottom"/>
          </w:tcPr>
          <w:p>
            <w:pPr>
              <w:ind w:left="220"/>
              <w:spacing w:after="0"/>
              <w:rPr>
                <w:sz w:val="20"/>
                <w:szCs w:val="20"/>
                <w:color w:val="auto"/>
              </w:rPr>
            </w:pPr>
            <w:r>
              <w:rPr>
                <w:rFonts w:ascii="Arial" w:cs="Arial" w:eastAsia="Arial" w:hAnsi="Arial"/>
                <w:sz w:val="10"/>
                <w:szCs w:val="10"/>
                <w:color w:val="auto"/>
              </w:rPr>
              <w:t>Accumulated other comprehensive loss</w:t>
            </w:r>
          </w:p>
        </w:tc>
        <w:tc>
          <w:tcPr>
            <w:tcW w:w="14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(4,372)</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jc w:val="right"/>
              <w:spacing w:after="0"/>
              <w:rPr>
                <w:sz w:val="20"/>
                <w:szCs w:val="20"/>
                <w:color w:val="auto"/>
              </w:rPr>
            </w:pPr>
            <w:r>
              <w:rPr>
                <w:rFonts w:ascii="Arial" w:cs="Arial" w:eastAsia="Arial" w:hAnsi="Arial"/>
                <w:sz w:val="10"/>
                <w:szCs w:val="10"/>
                <w:color w:val="auto"/>
              </w:rPr>
              <w:t>(4,389)</w:t>
            </w:r>
          </w:p>
        </w:tc>
      </w:tr>
      <w:tr>
        <w:trPr>
          <w:trHeight w:val="135"/>
        </w:trPr>
        <w:tc>
          <w:tcPr>
            <w:tcW w:w="7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Retained deficit</w:t>
            </w:r>
          </w:p>
        </w:tc>
        <w:tc>
          <w:tcPr>
            <w:tcW w:w="14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(7,114)</w:t>
            </w:r>
          </w:p>
        </w:tc>
        <w:tc>
          <w:tcPr>
            <w:tcW w:w="10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(6,732)</w:t>
            </w:r>
          </w:p>
        </w:tc>
      </w:tr>
      <w:tr>
        <w:trPr>
          <w:trHeight w:val="124"/>
        </w:trPr>
        <w:tc>
          <w:tcPr>
            <w:tcW w:w="7240" w:type="dxa"/>
            <w:vAlign w:val="bottom"/>
            <w:tcBorders>
              <w:bottom w:val="single" w:sz="8" w:color="CCEEFF"/>
            </w:tcBorders>
          </w:tcPr>
          <w:p>
            <w:pPr>
              <w:ind w:left="360"/>
              <w:spacing w:after="0"/>
              <w:rPr>
                <w:sz w:val="20"/>
                <w:szCs w:val="20"/>
                <w:color w:val="auto"/>
              </w:rPr>
            </w:pPr>
            <w:r>
              <w:rPr>
                <w:rFonts w:ascii="Arial" w:cs="Arial" w:eastAsia="Arial" w:hAnsi="Arial"/>
                <w:sz w:val="10"/>
                <w:szCs w:val="10"/>
                <w:color w:val="auto"/>
              </w:rPr>
              <w:t>Total stockholders' deficit</w:t>
            </w:r>
          </w:p>
        </w:tc>
        <w:tc>
          <w:tcPr>
            <w:tcW w:w="14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(4,077)</w:t>
            </w:r>
          </w:p>
        </w:tc>
        <w:tc>
          <w:tcPr>
            <w:tcW w:w="10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(3,727)</w:t>
            </w:r>
          </w:p>
        </w:tc>
      </w:tr>
      <w:tr>
        <w:trPr>
          <w:trHeight w:val="140"/>
        </w:trPr>
        <w:tc>
          <w:tcPr>
            <w:tcW w:w="7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0"/>
                <w:szCs w:val="10"/>
                <w:b w:val="1"/>
                <w:bCs w:val="1"/>
                <w:color w:val="auto"/>
              </w:rPr>
              <w:t>Total liabilities and stockholders’ equity (deficit)</w:t>
            </w:r>
          </w:p>
        </w:tc>
        <w:tc>
          <w:tcPr>
            <w:tcW w:w="1460" w:type="dxa"/>
            <w:vAlign w:val="bottom"/>
            <w:tcBorders>
              <w:bottom w:val="single" w:sz="8" w:color="auto"/>
            </w:tcBorders>
            <w:shd w:val="clear" w:color="auto" w:fill="CCEEFF"/>
          </w:tcPr>
          <w:p>
            <w:pPr>
              <w:jc w:val="right"/>
              <w:ind w:right="133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63,738</w:t>
            </w: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6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61,774</w:t>
            </w:r>
          </w:p>
        </w:tc>
      </w:tr>
    </w:tbl>
    <w:p>
      <w:pPr>
        <w:sectPr>
          <w:pgSz w:w="11900" w:h="16838" w:orient="portrait"/>
          <w:cols w:equalWidth="0" w:num="1">
            <w:col w:w="11300"/>
          </w:cols>
          <w:pgMar w:left="300" w:top="128" w:right="299" w:bottom="1440" w:gutter="0" w:footer="0" w:header="0"/>
        </w:sectPr>
      </w:pPr>
    </w:p>
    <w:bookmarkStart w:id="17" w:name="page18"/>
    <w:bookmarkEnd w:id="17"/>
    <w:p>
      <w:pPr>
        <w:spacing w:after="0"/>
        <w:rPr>
          <w:sz w:val="20"/>
          <w:szCs w:val="20"/>
          <w:color w:val="auto"/>
        </w:rPr>
      </w:pPr>
      <w:r>
        <w:rPr>
          <w:rFonts w:ascii="Arial" w:cs="Arial" w:eastAsia="Arial" w:hAnsi="Arial"/>
          <w:sz w:val="12"/>
          <w:szCs w:val="12"/>
          <w:b w:val="1"/>
          <w:bCs w:val="1"/>
          <w:color w:val="auto"/>
        </w:rPr>
        <w:t>American Airlines Reports First-Quarter 2026 Financial Results</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April 23, 2026</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Page 15</w:t>
      </w: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Total Debt and Net Debt</w:t>
      </w:r>
    </w:p>
    <w:p>
      <w:pPr>
        <w:spacing w:after="0" w:line="54" w:lineRule="exact"/>
        <w:rPr>
          <w:sz w:val="20"/>
          <w:szCs w:val="20"/>
          <w:color w:val="auto"/>
        </w:rPr>
      </w:pPr>
    </w:p>
    <w:p>
      <w:pPr>
        <w:spacing w:after="0" w:line="285" w:lineRule="auto"/>
        <w:rPr>
          <w:sz w:val="20"/>
          <w:szCs w:val="20"/>
          <w:color w:val="auto"/>
        </w:rPr>
      </w:pPr>
      <w:r>
        <w:rPr>
          <w:rFonts w:ascii="Arial" w:cs="Arial" w:eastAsia="Arial" w:hAnsi="Arial"/>
          <w:sz w:val="11"/>
          <w:szCs w:val="11"/>
          <w:color w:val="auto"/>
        </w:rPr>
        <w:t>The Company's total debt and net debt are presented below, which are non-GAAP measures that management believes are useful for assessing the Company's debt profile. Total debt is defined as debt, finance and operating lease liabilities and pension obligations, and net debt is defined as total debt, net of unrestricted cash and short-term investments.</w:t>
      </w:r>
    </w:p>
    <w:p>
      <w:pPr>
        <w:sectPr>
          <w:pgSz w:w="11900" w:h="16838" w:orient="portrait"/>
          <w:cols w:equalWidth="0" w:num="1">
            <w:col w:w="11300"/>
          </w:cols>
          <w:pgMar w:left="300" w:top="128" w:right="299" w:bottom="1440" w:gutter="0" w:footer="0" w:header="0"/>
        </w:sectPr>
      </w:pPr>
    </w:p>
    <w:p>
      <w:pPr>
        <w:spacing w:after="0" w:line="96"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Total Debt and Net Debt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178040" cy="914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18415</wp:posOffset>
            </wp:positionV>
            <wp:extent cx="587502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75020" cy="571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11"/>
          <w:szCs w:val="11"/>
          <w:color w:val="auto"/>
        </w:rPr>
        <w:t>Debt and finance leases</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914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Pension obligations</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1"/>
          <w:szCs w:val="11"/>
          <w:color w:val="auto"/>
        </w:rPr>
        <w:t>Total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914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Less: cash and short-term investments</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1"/>
          <w:szCs w:val="11"/>
          <w:color w:val="auto"/>
        </w:rPr>
        <w:t>Net debt</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3"/>
        </w:trPr>
        <w:tc>
          <w:tcPr>
            <w:tcW w:w="3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color w:val="auto"/>
              </w:rPr>
              <w:t>March 31, 2026</w:t>
            </w:r>
          </w:p>
        </w:tc>
      </w:tr>
      <w:tr>
        <w:trPr>
          <w:trHeight w:val="132"/>
        </w:trPr>
        <w:tc>
          <w:tcPr>
            <w:tcW w:w="340" w:type="dxa"/>
            <w:vAlign w:val="bottom"/>
          </w:tcPr>
          <w:p>
            <w:pPr>
              <w:spacing w:after="0"/>
              <w:rPr>
                <w:sz w:val="11"/>
                <w:szCs w:val="11"/>
                <w:color w:val="auto"/>
              </w:rPr>
            </w:pPr>
          </w:p>
        </w:tc>
        <w:tc>
          <w:tcPr>
            <w:tcW w:w="1620" w:type="dxa"/>
            <w:vAlign w:val="bottom"/>
          </w:tcPr>
          <w:p>
            <w:pPr>
              <w:jc w:val="right"/>
              <w:ind w:right="706"/>
              <w:spacing w:after="0"/>
              <w:rPr>
                <w:sz w:val="20"/>
                <w:szCs w:val="20"/>
                <w:color w:val="auto"/>
              </w:rPr>
            </w:pPr>
            <w:r>
              <w:rPr>
                <w:rFonts w:ascii="Arial" w:cs="Arial" w:eastAsia="Arial" w:hAnsi="Arial"/>
                <w:sz w:val="11"/>
                <w:szCs w:val="11"/>
                <w:color w:val="auto"/>
              </w:rPr>
              <w:t>(in millions)</w:t>
            </w:r>
          </w:p>
        </w:tc>
      </w:tr>
      <w:tr>
        <w:trPr>
          <w:trHeight w:val="144"/>
        </w:trPr>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620" w:type="dxa"/>
            <w:vAlign w:val="bottom"/>
          </w:tcPr>
          <w:p>
            <w:pPr>
              <w:jc w:val="right"/>
              <w:ind w:right="6"/>
              <w:spacing w:after="0"/>
              <w:rPr>
                <w:sz w:val="20"/>
                <w:szCs w:val="20"/>
                <w:color w:val="auto"/>
              </w:rPr>
            </w:pPr>
            <w:r>
              <w:rPr>
                <w:rFonts w:ascii="Arial" w:cs="Arial" w:eastAsia="Arial" w:hAnsi="Arial"/>
                <w:sz w:val="11"/>
                <w:szCs w:val="11"/>
                <w:color w:val="auto"/>
              </w:rPr>
              <w:t>27,717</w:t>
            </w:r>
          </w:p>
        </w:tc>
      </w:tr>
      <w:tr>
        <w:trPr>
          <w:trHeight w:val="144"/>
        </w:trPr>
        <w:tc>
          <w:tcPr>
            <w:tcW w:w="340" w:type="dxa"/>
            <w:vAlign w:val="bottom"/>
          </w:tcPr>
          <w:p>
            <w:pPr>
              <w:spacing w:after="0"/>
              <w:rPr>
                <w:sz w:val="12"/>
                <w:szCs w:val="12"/>
                <w:color w:val="auto"/>
              </w:rPr>
            </w:pPr>
          </w:p>
        </w:tc>
        <w:tc>
          <w:tcPr>
            <w:tcW w:w="1620" w:type="dxa"/>
            <w:vAlign w:val="bottom"/>
          </w:tcPr>
          <w:p>
            <w:pPr>
              <w:jc w:val="right"/>
              <w:ind w:right="6"/>
              <w:spacing w:after="0"/>
              <w:rPr>
                <w:sz w:val="20"/>
                <w:szCs w:val="20"/>
                <w:color w:val="auto"/>
              </w:rPr>
            </w:pPr>
            <w:r>
              <w:rPr>
                <w:rFonts w:ascii="Arial" w:cs="Arial" w:eastAsia="Arial" w:hAnsi="Arial"/>
                <w:sz w:val="11"/>
                <w:szCs w:val="11"/>
                <w:color w:val="auto"/>
              </w:rPr>
              <w:t>6,815</w:t>
            </w:r>
          </w:p>
        </w:tc>
      </w:tr>
      <w:tr>
        <w:trPr>
          <w:trHeight w:val="145"/>
        </w:trPr>
        <w:tc>
          <w:tcPr>
            <w:tcW w:w="3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200</w:t>
            </w:r>
          </w:p>
        </w:tc>
      </w:tr>
      <w:tr>
        <w:trPr>
          <w:trHeight w:val="132"/>
        </w:trPr>
        <w:tc>
          <w:tcPr>
            <w:tcW w:w="340" w:type="dxa"/>
            <w:vAlign w:val="bottom"/>
          </w:tcPr>
          <w:p>
            <w:pPr>
              <w:spacing w:after="0"/>
              <w:rPr>
                <w:sz w:val="11"/>
                <w:szCs w:val="11"/>
                <w:color w:val="auto"/>
              </w:rPr>
            </w:pPr>
          </w:p>
        </w:tc>
        <w:tc>
          <w:tcPr>
            <w:tcW w:w="1620" w:type="dxa"/>
            <w:vAlign w:val="bottom"/>
          </w:tcPr>
          <w:p>
            <w:pPr>
              <w:jc w:val="right"/>
              <w:ind w:right="6"/>
              <w:spacing w:after="0"/>
              <w:rPr>
                <w:sz w:val="20"/>
                <w:szCs w:val="20"/>
                <w:color w:val="auto"/>
              </w:rPr>
            </w:pPr>
            <w:r>
              <w:rPr>
                <w:rFonts w:ascii="Arial" w:cs="Arial" w:eastAsia="Arial" w:hAnsi="Arial"/>
                <w:sz w:val="11"/>
                <w:szCs w:val="11"/>
                <w:color w:val="auto"/>
              </w:rPr>
              <w:t>34,732</w:t>
            </w:r>
          </w:p>
        </w:tc>
      </w:tr>
      <w:tr>
        <w:trPr>
          <w:trHeight w:val="145"/>
        </w:trPr>
        <w:tc>
          <w:tcPr>
            <w:tcW w:w="3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7,294</w:t>
            </w:r>
          </w:p>
        </w:tc>
      </w:tr>
      <w:tr>
        <w:trPr>
          <w:trHeight w:val="132"/>
        </w:trPr>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620" w:type="dxa"/>
            <w:vAlign w:val="bottom"/>
          </w:tcPr>
          <w:p>
            <w:pPr>
              <w:jc w:val="right"/>
              <w:ind w:right="6"/>
              <w:spacing w:after="0"/>
              <w:rPr>
                <w:sz w:val="20"/>
                <w:szCs w:val="20"/>
                <w:color w:val="auto"/>
              </w:rPr>
            </w:pPr>
            <w:r>
              <w:rPr>
                <w:rFonts w:ascii="Arial" w:cs="Arial" w:eastAsia="Arial" w:hAnsi="Arial"/>
                <w:sz w:val="11"/>
                <w:szCs w:val="11"/>
                <w:color w:val="auto"/>
              </w:rPr>
              <w:t>27,438</w:t>
            </w:r>
          </w:p>
        </w:tc>
      </w:tr>
    </w:tbl>
    <w:p>
      <w:pPr>
        <w:sectPr>
          <w:pgSz w:w="11900" w:h="16838" w:orient="portrait"/>
          <w:cols w:equalWidth="0" w:num="2">
            <w:col w:w="8620" w:space="720"/>
            <w:col w:w="1960"/>
          </w:cols>
          <w:pgMar w:left="300" w:top="128" w:right="299" w:bottom="1440" w:gutter="0" w:footer="0" w:header="0"/>
          <w:type w:val="continuous"/>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213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21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682"/>
    </w:lvl>
  </w:abstractNum>
  <w:abstractNum w:abstractNumId="1">
    <w:nsid w:val="7545E146"/>
    <w:multiLevelType w:val="hybridMultilevel"/>
    <w:lvl w:ilvl="0">
      <w:lvlJc w:val="left"/>
      <w:lvlText w:val="(%1)"/>
      <w:numFmt w:val="decimal"/>
      <w:start w:val="682"/>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4"/>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2026-04-23T06:04:25Z</dcterms:created>
  <dcterms:modified xsi:type="dcterms:W3CDTF">2026-04-23T06:04:25Z</dcterms:modified>
</cp:coreProperties>
</file>