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38100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55"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 the Quarterly Period Ended March 31, 2014</w:t>
      </w:r>
    </w:p>
    <w:p>
      <w:pPr>
        <w:spacing w:after="0" w:line="269"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06" w:lineRule="exact"/>
        <w:rPr>
          <w:sz w:val="24"/>
          <w:szCs w:val="24"/>
          <w:color w:val="auto"/>
        </w:rPr>
      </w:pPr>
    </w:p>
    <w:p>
      <w:pPr>
        <w:ind w:left="358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3915410</wp:posOffset>
            </wp:positionH>
            <wp:positionV relativeFrom="paragraph">
              <wp:posOffset>34290</wp:posOffset>
            </wp:positionV>
            <wp:extent cx="1080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172085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American Airlines Group Inc.</w:t>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98425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0"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4700" w:type="dxa"/>
            <w:vAlign w:val="bottom"/>
          </w:tcPr>
          <w:p>
            <w:pPr>
              <w:jc w:val="center"/>
              <w:ind w:right="739"/>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right"/>
              <w:ind w:right="959"/>
              <w:spacing w:after="0"/>
              <w:rPr>
                <w:sz w:val="20"/>
                <w:szCs w:val="20"/>
                <w:color w:val="auto"/>
              </w:rPr>
            </w:pPr>
            <w:r>
              <w:rPr>
                <w:rFonts w:ascii="Arial" w:cs="Arial" w:eastAsia="Arial" w:hAnsi="Arial"/>
                <w:sz w:val="18"/>
                <w:szCs w:val="18"/>
                <w:b w:val="1"/>
                <w:bCs w:val="1"/>
                <w:color w:val="auto"/>
              </w:rPr>
              <w:t>75-1825172</w:t>
            </w:r>
          </w:p>
        </w:tc>
      </w:tr>
      <w:tr>
        <w:trPr>
          <w:trHeight w:val="218"/>
        </w:trPr>
        <w:tc>
          <w:tcPr>
            <w:tcW w:w="4700" w:type="dxa"/>
            <w:vAlign w:val="bottom"/>
          </w:tcPr>
          <w:p>
            <w:pPr>
              <w:jc w:val="center"/>
              <w:ind w:right="73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780" w:type="dxa"/>
            <w:vAlign w:val="bottom"/>
          </w:tcPr>
          <w:p>
            <w:pPr>
              <w:jc w:val="center"/>
              <w:ind w:left="759"/>
              <w:spacing w:after="0"/>
              <w:rPr>
                <w:sz w:val="20"/>
                <w:szCs w:val="20"/>
                <w:color w:val="auto"/>
              </w:rPr>
            </w:pPr>
            <w:r>
              <w:rPr>
                <w:rFonts w:ascii="Arial" w:cs="Arial" w:eastAsia="Arial" w:hAnsi="Arial"/>
                <w:sz w:val="14"/>
                <w:szCs w:val="14"/>
                <w:color w:val="auto"/>
                <w:w w:val="97"/>
              </w:rPr>
              <w:t>(I.R.S. Employer Identification No.)</w:t>
            </w:r>
          </w:p>
        </w:tc>
      </w:tr>
      <w:tr>
        <w:trPr>
          <w:trHeight w:val="431"/>
        </w:trPr>
        <w:tc>
          <w:tcPr>
            <w:tcW w:w="4700" w:type="dxa"/>
            <w:vAlign w:val="bottom"/>
          </w:tcPr>
          <w:p>
            <w:pPr>
              <w:jc w:val="center"/>
              <w:ind w:right="739"/>
              <w:spacing w:after="0"/>
              <w:rPr>
                <w:sz w:val="20"/>
                <w:szCs w:val="20"/>
                <w:color w:val="auto"/>
              </w:rPr>
            </w:pPr>
            <w:r>
              <w:rPr>
                <w:rFonts w:ascii="Arial" w:cs="Arial" w:eastAsia="Arial" w:hAnsi="Arial"/>
                <w:sz w:val="18"/>
                <w:szCs w:val="18"/>
                <w:b w:val="1"/>
                <w:bCs w:val="1"/>
                <w:color w:val="auto"/>
                <w:w w:val="92"/>
              </w:rPr>
              <w:t>4333 Amon Carter Blvd., Fort Worth, Texas 76155</w:t>
            </w:r>
          </w:p>
        </w:tc>
        <w:tc>
          <w:tcPr>
            <w:tcW w:w="3780" w:type="dxa"/>
            <w:vAlign w:val="bottom"/>
          </w:tcPr>
          <w:p>
            <w:pPr>
              <w:jc w:val="right"/>
              <w:ind w:right="839"/>
              <w:spacing w:after="0"/>
              <w:rPr>
                <w:sz w:val="20"/>
                <w:szCs w:val="20"/>
                <w:color w:val="auto"/>
              </w:rPr>
            </w:pPr>
            <w:r>
              <w:rPr>
                <w:rFonts w:ascii="Arial" w:cs="Arial" w:eastAsia="Arial" w:hAnsi="Arial"/>
                <w:sz w:val="18"/>
                <w:szCs w:val="18"/>
                <w:b w:val="1"/>
                <w:bCs w:val="1"/>
                <w:color w:val="auto"/>
              </w:rPr>
              <w:t>(817) 963-1234</w:t>
            </w:r>
          </w:p>
        </w:tc>
      </w:tr>
      <w:tr>
        <w:trPr>
          <w:trHeight w:val="285"/>
        </w:trPr>
        <w:tc>
          <w:tcPr>
            <w:tcW w:w="4700" w:type="dxa"/>
            <w:vAlign w:val="bottom"/>
          </w:tcPr>
          <w:p>
            <w:pPr>
              <w:jc w:val="center"/>
              <w:ind w:right="759"/>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3780" w:type="dxa"/>
            <w:vAlign w:val="bottom"/>
          </w:tcPr>
          <w:p>
            <w:pPr>
              <w:jc w:val="center"/>
              <w:ind w:left="759"/>
              <w:spacing w:after="0"/>
              <w:rPr>
                <w:sz w:val="20"/>
                <w:szCs w:val="20"/>
                <w:color w:val="auto"/>
              </w:rPr>
            </w:pPr>
            <w:r>
              <w:rPr>
                <w:rFonts w:ascii="Arial" w:cs="Arial" w:eastAsia="Arial" w:hAnsi="Arial"/>
                <w:sz w:val="14"/>
                <w:szCs w:val="14"/>
                <w:color w:val="auto"/>
                <w:w w:val="92"/>
              </w:rPr>
              <w:t>Registrant's telephone number, including area code</w:t>
            </w:r>
          </w:p>
        </w:tc>
      </w:tr>
    </w:tbl>
    <w:p>
      <w:pPr>
        <w:spacing w:after="0" w:line="2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172085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American Airlines, Inc.</w:t>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98425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0"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4700" w:type="dxa"/>
            <w:vAlign w:val="bottom"/>
          </w:tcPr>
          <w:p>
            <w:pPr>
              <w:jc w:val="center"/>
              <w:ind w:right="739"/>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right"/>
              <w:ind w:right="959"/>
              <w:spacing w:after="0"/>
              <w:rPr>
                <w:sz w:val="20"/>
                <w:szCs w:val="20"/>
                <w:color w:val="auto"/>
              </w:rPr>
            </w:pPr>
            <w:r>
              <w:rPr>
                <w:rFonts w:ascii="Arial" w:cs="Arial" w:eastAsia="Arial" w:hAnsi="Arial"/>
                <w:sz w:val="18"/>
                <w:szCs w:val="18"/>
                <w:b w:val="1"/>
                <w:bCs w:val="1"/>
                <w:color w:val="auto"/>
              </w:rPr>
              <w:t>13-1502798</w:t>
            </w:r>
          </w:p>
        </w:tc>
      </w:tr>
      <w:tr>
        <w:trPr>
          <w:trHeight w:val="218"/>
        </w:trPr>
        <w:tc>
          <w:tcPr>
            <w:tcW w:w="4700" w:type="dxa"/>
            <w:vAlign w:val="bottom"/>
          </w:tcPr>
          <w:p>
            <w:pPr>
              <w:jc w:val="center"/>
              <w:ind w:right="73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780" w:type="dxa"/>
            <w:vAlign w:val="bottom"/>
          </w:tcPr>
          <w:p>
            <w:pPr>
              <w:jc w:val="center"/>
              <w:ind w:left="759"/>
              <w:spacing w:after="0"/>
              <w:rPr>
                <w:sz w:val="20"/>
                <w:szCs w:val="20"/>
                <w:color w:val="auto"/>
              </w:rPr>
            </w:pPr>
            <w:r>
              <w:rPr>
                <w:rFonts w:ascii="Arial" w:cs="Arial" w:eastAsia="Arial" w:hAnsi="Arial"/>
                <w:sz w:val="14"/>
                <w:szCs w:val="14"/>
                <w:color w:val="auto"/>
                <w:w w:val="97"/>
              </w:rPr>
              <w:t>(I.R.S. Employer Identification No.)</w:t>
            </w:r>
          </w:p>
        </w:tc>
      </w:tr>
      <w:tr>
        <w:trPr>
          <w:trHeight w:val="431"/>
        </w:trPr>
        <w:tc>
          <w:tcPr>
            <w:tcW w:w="4700" w:type="dxa"/>
            <w:vAlign w:val="bottom"/>
          </w:tcPr>
          <w:p>
            <w:pPr>
              <w:jc w:val="center"/>
              <w:ind w:right="739"/>
              <w:spacing w:after="0"/>
              <w:rPr>
                <w:sz w:val="20"/>
                <w:szCs w:val="20"/>
                <w:color w:val="auto"/>
              </w:rPr>
            </w:pPr>
            <w:r>
              <w:rPr>
                <w:rFonts w:ascii="Arial" w:cs="Arial" w:eastAsia="Arial" w:hAnsi="Arial"/>
                <w:sz w:val="18"/>
                <w:szCs w:val="18"/>
                <w:b w:val="1"/>
                <w:bCs w:val="1"/>
                <w:color w:val="auto"/>
                <w:w w:val="92"/>
              </w:rPr>
              <w:t>4333 Amon Carter Blvd., Fort Worth, Texas 76155</w:t>
            </w:r>
          </w:p>
        </w:tc>
        <w:tc>
          <w:tcPr>
            <w:tcW w:w="3780" w:type="dxa"/>
            <w:vAlign w:val="bottom"/>
          </w:tcPr>
          <w:p>
            <w:pPr>
              <w:jc w:val="right"/>
              <w:ind w:right="839"/>
              <w:spacing w:after="0"/>
              <w:rPr>
                <w:sz w:val="20"/>
                <w:szCs w:val="20"/>
                <w:color w:val="auto"/>
              </w:rPr>
            </w:pPr>
            <w:r>
              <w:rPr>
                <w:rFonts w:ascii="Arial" w:cs="Arial" w:eastAsia="Arial" w:hAnsi="Arial"/>
                <w:sz w:val="18"/>
                <w:szCs w:val="18"/>
                <w:b w:val="1"/>
                <w:bCs w:val="1"/>
                <w:color w:val="auto"/>
              </w:rPr>
              <w:t>(817) 963-1234</w:t>
            </w:r>
          </w:p>
        </w:tc>
      </w:tr>
      <w:tr>
        <w:trPr>
          <w:trHeight w:val="285"/>
        </w:trPr>
        <w:tc>
          <w:tcPr>
            <w:tcW w:w="4700" w:type="dxa"/>
            <w:vAlign w:val="bottom"/>
          </w:tcPr>
          <w:p>
            <w:pPr>
              <w:jc w:val="center"/>
              <w:ind w:right="759"/>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3780" w:type="dxa"/>
            <w:vAlign w:val="bottom"/>
          </w:tcPr>
          <w:p>
            <w:pPr>
              <w:jc w:val="center"/>
              <w:ind w:left="759"/>
              <w:spacing w:after="0"/>
              <w:rPr>
                <w:sz w:val="20"/>
                <w:szCs w:val="20"/>
                <w:color w:val="auto"/>
              </w:rPr>
            </w:pPr>
            <w:r>
              <w:rPr>
                <w:rFonts w:ascii="Arial" w:cs="Arial" w:eastAsia="Arial" w:hAnsi="Arial"/>
                <w:sz w:val="14"/>
                <w:szCs w:val="14"/>
                <w:color w:val="auto"/>
                <w:w w:val="92"/>
              </w:rPr>
              <w:t>Registrant's telephone number, including area code</w:t>
            </w:r>
          </w:p>
        </w:tc>
      </w:tr>
    </w:tbl>
    <w:p>
      <w:pPr>
        <w:spacing w:after="0" w:line="83" w:lineRule="exact"/>
        <w:rPr>
          <w:sz w:val="24"/>
          <w:szCs w:val="24"/>
          <w:color w:val="auto"/>
        </w:rPr>
      </w:pPr>
    </w:p>
    <w:p>
      <w:pPr>
        <w:ind w:right="140"/>
        <w:spacing w:after="0" w:line="29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tabs>
          <w:tab w:leader="none" w:pos="214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9" w:lineRule="exact"/>
        <w:rPr>
          <w:sz w:val="24"/>
          <w:szCs w:val="24"/>
          <w:color w:val="auto"/>
        </w:rPr>
      </w:pPr>
    </w:p>
    <w:p>
      <w:pPr>
        <w:spacing w:after="0" w:line="184" w:lineRule="exact"/>
        <w:tabs>
          <w:tab w:leader="none" w:pos="1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53" w:lineRule="exact"/>
        <w:rPr>
          <w:sz w:val="24"/>
          <w:szCs w:val="24"/>
          <w:color w:val="auto"/>
        </w:rPr>
      </w:pPr>
    </w:p>
    <w:p>
      <w:pPr>
        <w:jc w:val="both"/>
        <w:spacing w:after="0" w:line="25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4" w:lineRule="exact"/>
        <w:tabs>
          <w:tab w:leader="none" w:pos="214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9" w:lineRule="exact"/>
        <w:rPr>
          <w:sz w:val="24"/>
          <w:szCs w:val="24"/>
          <w:color w:val="auto"/>
        </w:rPr>
      </w:pPr>
    </w:p>
    <w:p>
      <w:pPr>
        <w:spacing w:after="0" w:line="184" w:lineRule="exact"/>
        <w:tabs>
          <w:tab w:leader="none" w:pos="1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53" w:lineRule="exact"/>
        <w:rPr>
          <w:sz w:val="24"/>
          <w:szCs w:val="24"/>
          <w:color w:val="auto"/>
        </w:rPr>
      </w:pPr>
    </w:p>
    <w:p>
      <w:pPr>
        <w:ind w:right="620"/>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ind w:right="1900"/>
        <w:spacing w:after="0" w:line="222" w:lineRule="exact"/>
        <w:rPr>
          <w:sz w:val="20"/>
          <w:szCs w:val="20"/>
          <w:color w:val="auto"/>
        </w:rPr>
      </w:pPr>
      <w:r>
        <w:rPr>
          <w:rFonts w:ascii="Arial" w:cs="Arial" w:eastAsia="Arial" w:hAnsi="Arial"/>
          <w:sz w:val="16"/>
          <w:szCs w:val="16"/>
          <w:color w:val="auto"/>
        </w:rPr>
        <w:t xml:space="preserve">American Airlines Group Inc. </w:t>
      </w: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American Airlines, Inc. </w:t>
      </w: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9" w:lineRule="exact"/>
        <w:rPr>
          <w:sz w:val="24"/>
          <w:szCs w:val="24"/>
          <w:color w:val="auto"/>
        </w:rPr>
      </w:pPr>
    </w:p>
    <w:p>
      <w:pPr>
        <w:spacing w:after="0" w:line="184" w:lineRule="exact"/>
        <w:tabs>
          <w:tab w:leader="none" w:pos="214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9" w:lineRule="exact"/>
        <w:rPr>
          <w:sz w:val="24"/>
          <w:szCs w:val="24"/>
          <w:color w:val="auto"/>
        </w:rPr>
      </w:pPr>
    </w:p>
    <w:p>
      <w:pPr>
        <w:spacing w:after="0" w:line="184" w:lineRule="exact"/>
        <w:tabs>
          <w:tab w:leader="none" w:pos="1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72" w:lineRule="exact"/>
        <w:rPr>
          <w:sz w:val="24"/>
          <w:szCs w:val="24"/>
          <w:color w:val="auto"/>
        </w:rPr>
      </w:pPr>
    </w:p>
    <w:p>
      <w:pPr>
        <w:ind w:right="440"/>
        <w:spacing w:after="0" w:line="275" w:lineRule="auto"/>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62" w:lineRule="exact"/>
        <w:rPr>
          <w:sz w:val="24"/>
          <w:szCs w:val="24"/>
          <w:color w:val="auto"/>
        </w:rPr>
      </w:pPr>
    </w:p>
    <w:p>
      <w:pPr>
        <w:spacing w:after="0" w:line="184" w:lineRule="exact"/>
        <w:tabs>
          <w:tab w:leader="none" w:pos="214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3" w:lineRule="exact"/>
        <w:rPr>
          <w:sz w:val="24"/>
          <w:szCs w:val="24"/>
          <w:color w:val="auto"/>
        </w:rPr>
      </w:pPr>
    </w:p>
    <w:p>
      <w:pPr>
        <w:spacing w:after="0" w:line="184" w:lineRule="exact"/>
        <w:tabs>
          <w:tab w:leader="none" w:pos="1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59" w:lineRule="exact"/>
        <w:rPr>
          <w:sz w:val="24"/>
          <w:szCs w:val="24"/>
          <w:color w:val="auto"/>
        </w:rPr>
      </w:pPr>
    </w:p>
    <w:p>
      <w:pPr>
        <w:spacing w:after="0"/>
        <w:rPr>
          <w:sz w:val="20"/>
          <w:szCs w:val="20"/>
          <w:color w:val="auto"/>
        </w:rPr>
      </w:pPr>
      <w:r>
        <w:rPr>
          <w:rFonts w:ascii="Arial" w:cs="Arial" w:eastAsia="Arial" w:hAnsi="Arial"/>
          <w:sz w:val="16"/>
          <w:szCs w:val="16"/>
          <w:color w:val="auto"/>
        </w:rPr>
        <w:t>As of April 16, 2014, there were 720,196,221 shares of American Airlines Group Inc. common stock outstanding.</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As of April 16, 2014, there were 1,000 shares of American Airlines, Inc. common stock outstanding, all of which were held by American Airlines Group Inc.</w:t>
      </w:r>
    </w:p>
    <w:p>
      <w:pPr>
        <w:sectPr>
          <w:pgSz w:w="11900" w:h="16838" w:orient="portrait"/>
          <w:cols w:equalWidth="0" w:num="1">
            <w:col w:w="11380"/>
          </w:cols>
          <w:pgMar w:left="240" w:top="1440" w:right="279" w:bottom="145" w:gutter="0" w:footer="0" w:header="0"/>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American Airlines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Airlines,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Period Ended 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373" w:lineRule="exact"/>
        <w:rPr>
          <w:sz w:val="20"/>
          <w:szCs w:val="20"/>
          <w:color w:val="auto"/>
        </w:rPr>
      </w:pPr>
    </w:p>
    <w:p>
      <w:pPr>
        <w:ind w:left="10900"/>
        <w:spacing w:after="0"/>
        <w:rPr>
          <w:sz w:val="20"/>
          <w:szCs w:val="20"/>
          <w:color w:val="auto"/>
        </w:rPr>
      </w:pPr>
      <w:r>
        <w:rPr>
          <w:rFonts w:ascii="Arial" w:cs="Arial" w:eastAsia="Arial" w:hAnsi="Arial"/>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ind w:left="40"/>
              <w:spacing w:after="0"/>
              <w:rPr>
                <w:sz w:val="20"/>
                <w:szCs w:val="20"/>
                <w:color w:val="auto"/>
              </w:rPr>
            </w:pPr>
            <w:r>
              <w:rPr>
                <w:rFonts w:ascii="Arial" w:cs="Arial" w:eastAsia="Arial" w:hAnsi="Arial"/>
                <w:sz w:val="18"/>
                <w:szCs w:val="18"/>
                <w:color w:val="auto"/>
              </w:rPr>
              <w:t>Item 1A.</w:t>
            </w:r>
          </w:p>
        </w:tc>
        <w:tc>
          <w:tcPr>
            <w:tcW w:w="9900" w:type="dxa"/>
            <w:vAlign w:val="bottom"/>
          </w:tcPr>
          <w:p>
            <w:pPr>
              <w:ind w:left="200"/>
              <w:spacing w:after="0"/>
              <w:rPr>
                <w:sz w:val="20"/>
                <w:szCs w:val="20"/>
                <w:color w:val="auto"/>
              </w:rPr>
            </w:pPr>
            <w:r>
              <w:rPr>
                <w:rFonts w:ascii="Arial" w:cs="Arial" w:eastAsia="Arial" w:hAnsi="Arial"/>
                <w:sz w:val="18"/>
                <w:szCs w:val="18"/>
                <w:color w:val="auto"/>
              </w:rPr>
              <w:t>Condensed Consolidated Financial Statements of American Airlines Group Inc.</w:t>
            </w:r>
          </w:p>
        </w:tc>
        <w:tc>
          <w:tcPr>
            <w:tcW w:w="180" w:type="dxa"/>
            <w:vAlign w:val="bottom"/>
            <w:gridSpan w:val="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460" w:type="dxa"/>
            <w:vAlign w:val="bottom"/>
          </w:tcPr>
          <w:p>
            <w:pPr>
              <w:spacing w:after="0"/>
              <w:rPr>
                <w:sz w:val="17"/>
                <w:szCs w:val="17"/>
                <w:color w:val="auto"/>
              </w:rPr>
            </w:pPr>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3"/>
        </w:trPr>
        <w:tc>
          <w:tcPr>
            <w:tcW w:w="880" w:type="dxa"/>
            <w:vAlign w:val="bottom"/>
            <w:shd w:val="clear" w:color="auto" w:fill="CCEEFF"/>
          </w:tcPr>
          <w:p>
            <w:pPr>
              <w:spacing w:after="0"/>
              <w:rPr>
                <w:sz w:val="17"/>
                <w:szCs w:val="17"/>
                <w:color w:val="auto"/>
              </w:rPr>
            </w:pPr>
          </w:p>
        </w:tc>
        <w:tc>
          <w:tcPr>
            <w:tcW w:w="9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Condensed Consolidated Statements of Operations</w:t>
            </w:r>
          </w:p>
        </w:tc>
        <w:tc>
          <w:tcPr>
            <w:tcW w:w="180" w:type="dxa"/>
            <w:vAlign w:val="bottom"/>
            <w:gridSpan w:val="2"/>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460" w:type="dxa"/>
            <w:vAlign w:val="bottom"/>
            <w:shd w:val="clear" w:color="auto" w:fill="CCEEFF"/>
          </w:tcPr>
          <w:p>
            <w:pPr>
              <w:spacing w:after="0"/>
              <w:rPr>
                <w:sz w:val="17"/>
                <w:szCs w:val="17"/>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99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r>
      <w:tr>
        <w:trPr>
          <w:trHeight w:val="203"/>
        </w:trPr>
        <w:tc>
          <w:tcPr>
            <w:tcW w:w="880" w:type="dxa"/>
            <w:vAlign w:val="bottom"/>
          </w:tcPr>
          <w:p>
            <w:pPr>
              <w:spacing w:after="0"/>
              <w:rPr>
                <w:sz w:val="17"/>
                <w:szCs w:val="17"/>
                <w:color w:val="auto"/>
              </w:rPr>
            </w:pP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Condensed Consolidated Statements of Comprehensive Income (Loss)</w:t>
            </w:r>
          </w:p>
        </w:tc>
        <w:tc>
          <w:tcPr>
            <w:tcW w:w="180" w:type="dxa"/>
            <w:vAlign w:val="bottom"/>
            <w:gridSpan w:val="2"/>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460" w:type="dxa"/>
            <w:vAlign w:val="bottom"/>
          </w:tcPr>
          <w:p>
            <w:pPr>
              <w:spacing w:after="0"/>
              <w:rPr>
                <w:sz w:val="17"/>
                <w:szCs w:val="17"/>
                <w:color w:val="auto"/>
              </w:rPr>
            </w:pPr>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3"/>
        </w:trPr>
        <w:tc>
          <w:tcPr>
            <w:tcW w:w="880" w:type="dxa"/>
            <w:vAlign w:val="bottom"/>
            <w:shd w:val="clear" w:color="auto" w:fill="CCEEFF"/>
          </w:tcPr>
          <w:p>
            <w:pPr>
              <w:spacing w:after="0"/>
              <w:rPr>
                <w:sz w:val="17"/>
                <w:szCs w:val="17"/>
                <w:color w:val="auto"/>
              </w:rPr>
            </w:pPr>
          </w:p>
        </w:tc>
        <w:tc>
          <w:tcPr>
            <w:tcW w:w="9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Condensed Consolidated Balance Sheets</w:t>
            </w:r>
          </w:p>
        </w:tc>
        <w:tc>
          <w:tcPr>
            <w:tcW w:w="180" w:type="dxa"/>
            <w:vAlign w:val="bottom"/>
            <w:gridSpan w:val="2"/>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460" w:type="dxa"/>
            <w:vAlign w:val="bottom"/>
            <w:shd w:val="clear" w:color="auto" w:fill="CCEEFF"/>
          </w:tcPr>
          <w:p>
            <w:pPr>
              <w:spacing w:after="0"/>
              <w:rPr>
                <w:sz w:val="17"/>
                <w:szCs w:val="17"/>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99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r>
      <w:tr>
        <w:trPr>
          <w:trHeight w:val="203"/>
        </w:trPr>
        <w:tc>
          <w:tcPr>
            <w:tcW w:w="880" w:type="dxa"/>
            <w:vAlign w:val="bottom"/>
          </w:tcPr>
          <w:p>
            <w:pPr>
              <w:spacing w:after="0"/>
              <w:rPr>
                <w:sz w:val="17"/>
                <w:szCs w:val="17"/>
                <w:color w:val="auto"/>
              </w:rPr>
            </w:pP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Condensed Consolidated Statements of Cash Flows</w:t>
            </w:r>
          </w:p>
        </w:tc>
        <w:tc>
          <w:tcPr>
            <w:tcW w:w="180" w:type="dxa"/>
            <w:vAlign w:val="bottom"/>
            <w:gridSpan w:val="2"/>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460" w:type="dxa"/>
            <w:vAlign w:val="bottom"/>
          </w:tcPr>
          <w:p>
            <w:pPr>
              <w:spacing w:after="0"/>
              <w:rPr>
                <w:sz w:val="17"/>
                <w:szCs w:val="17"/>
                <w:color w:val="auto"/>
              </w:rPr>
            </w:pPr>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Notes to the Condensed Consolidated Financial Statements</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c>
          <w:tcPr>
            <w:tcW w:w="46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1B.</w:t>
            </w: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Condensed Consolidated Financial Statements of American Airlines, Inc.</w:t>
            </w:r>
          </w:p>
        </w:tc>
        <w:tc>
          <w:tcPr>
            <w:tcW w:w="640" w:type="dxa"/>
            <w:vAlign w:val="bottom"/>
            <w:gridSpan w:val="3"/>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Condensed Consolidated Statements of Operations</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c>
          <w:tcPr>
            <w:tcW w:w="46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spacing w:after="0"/>
              <w:rPr>
                <w:sz w:val="17"/>
                <w:szCs w:val="17"/>
                <w:color w:val="auto"/>
              </w:rPr>
            </w:pP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Condensed Consolidated Statements of Comprehensive Income (Loss)</w:t>
            </w:r>
          </w:p>
        </w:tc>
        <w:tc>
          <w:tcPr>
            <w:tcW w:w="640" w:type="dxa"/>
            <w:vAlign w:val="bottom"/>
            <w:gridSpan w:val="3"/>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Condensed Consolidated Balance Sheets</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c>
          <w:tcPr>
            <w:tcW w:w="46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spacing w:after="0"/>
              <w:rPr>
                <w:sz w:val="17"/>
                <w:szCs w:val="17"/>
                <w:color w:val="auto"/>
              </w:rPr>
            </w:pP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Condensed Consolidated Statements of Cash Flows</w:t>
            </w:r>
          </w:p>
        </w:tc>
        <w:tc>
          <w:tcPr>
            <w:tcW w:w="640" w:type="dxa"/>
            <w:vAlign w:val="bottom"/>
            <w:gridSpan w:val="3"/>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Notes to the Condensed Consolidated Financial Statements</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c>
          <w:tcPr>
            <w:tcW w:w="46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40" w:type="dxa"/>
            <w:vAlign w:val="bottom"/>
            <w:gridSpan w:val="3"/>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9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c>
          <w:tcPr>
            <w:tcW w:w="46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Controls and Procedures</w:t>
            </w:r>
          </w:p>
        </w:tc>
        <w:tc>
          <w:tcPr>
            <w:tcW w:w="640" w:type="dxa"/>
            <w:vAlign w:val="bottom"/>
            <w:gridSpan w:val="3"/>
          </w:tcPr>
          <w:p>
            <w:pPr>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8"/>
                <w:szCs w:val="18"/>
                <w:color w:val="auto"/>
              </w:rPr>
              <w:t>PART II: OTHER INFORMATION</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Legal Proceedings</w:t>
            </w:r>
          </w:p>
        </w:tc>
        <w:tc>
          <w:tcPr>
            <w:tcW w:w="640" w:type="dxa"/>
            <w:vAlign w:val="bottom"/>
            <w:gridSpan w:val="3"/>
          </w:tcPr>
          <w:p>
            <w:pPr>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9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80</w:t>
              </w:r>
            </w:hyperlink>
          </w:p>
        </w:tc>
        <w:tc>
          <w:tcPr>
            <w:tcW w:w="46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Exhibits</w:t>
            </w:r>
          </w:p>
        </w:tc>
        <w:tc>
          <w:tcPr>
            <w:tcW w:w="640" w:type="dxa"/>
            <w:vAlign w:val="bottom"/>
            <w:gridSpan w:val="3"/>
          </w:tcPr>
          <w:p>
            <w:pPr>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98</w:t>
              </w:r>
            </w:hyperlink>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107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SIGNATURES</w:t>
            </w:r>
          </w:p>
        </w:tc>
        <w:tc>
          <w:tcPr>
            <w:tcW w:w="640" w:type="dxa"/>
            <w:vAlign w:val="bottom"/>
            <w:gridSpan w:val="3"/>
            <w:shd w:val="clear" w:color="auto" w:fill="CCEEFF"/>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99</w:t>
              </w:r>
            </w:hyperlink>
          </w:p>
        </w:tc>
      </w:tr>
      <w:tr>
        <w:trPr>
          <w:trHeight w:val="459"/>
        </w:trPr>
        <w:tc>
          <w:tcPr>
            <w:tcW w:w="880" w:type="dxa"/>
            <w:vAlign w:val="bottom"/>
            <w:tcBorders>
              <w:top w:val="single" w:sz="8" w:color="CCEEFF"/>
            </w:tcBorders>
          </w:tcPr>
          <w:p>
            <w:pPr>
              <w:spacing w:after="0"/>
              <w:rPr>
                <w:sz w:val="24"/>
                <w:szCs w:val="24"/>
                <w:color w:val="auto"/>
              </w:rPr>
            </w:pPr>
          </w:p>
        </w:tc>
        <w:tc>
          <w:tcPr>
            <w:tcW w:w="9900" w:type="dxa"/>
            <w:vAlign w:val="bottom"/>
            <w:tcBorders>
              <w:top w:val="single" w:sz="8" w:color="CCEEFF"/>
            </w:tcBorders>
          </w:tcPr>
          <w:p>
            <w:pPr>
              <w:ind w:left="4780"/>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3" w:name="page4"/>
    <w:bookmarkEnd w:id="3"/>
    <w:p>
      <w:pPr>
        <w:jc w:val="both"/>
        <w:ind w:firstLine="648"/>
        <w:spacing w:after="0" w:line="271" w:lineRule="auto"/>
        <w:rPr>
          <w:sz w:val="20"/>
          <w:szCs w:val="20"/>
          <w:color w:val="auto"/>
        </w:rPr>
      </w:pPr>
      <w:r>
        <w:rPr>
          <w:rFonts w:ascii="Arial" w:cs="Arial" w:eastAsia="Arial" w:hAnsi="Arial"/>
          <w:sz w:val="17"/>
          <w:szCs w:val="17"/>
          <w:color w:val="auto"/>
        </w:rPr>
        <w:t>This combined Quarterly Report on Form 10-Q is filed by American Airlines Group Inc. (formerly named AMR Corporation) (AAG) and its wholly-owned subsidiary American Airlines, Inc. (American). References in this Quarterly Report on Form 10-Q to "we," "us," "our" and the "Company" refer to AAG and its consolidated subsidiaries. As more fully described below, on December 9, 2013, a subsidiary of AMR Corporation merged with and into US Airways Group, Inc. (US Airways Group), which survived as a wholly-owned subsidiary of AAG (the Merger). Accordingly, unless otherwise indicated, information in this Quarterly Report on Form 10-Q regarding the Company's condensed consolidated results of operations includes the results of American, US Airways Group and US Airways, Inc. (US Airways) for the quarter ended March 31, 2014. "AMR" refers to the Company during the period of time prior to its emergence from Chapter 11 and its acquisition of US Airways Group. References in this Quarterly Report on Form 10-Q to "mainline" refer to the operations of American and US Airways, as applicable, and exclude regional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7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Certain of the statements contained in this report should be considered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benefits of the business combination transaction involving AAG and US Airways Group, including future financial and operating results, our plans, objectives, expectations and intentions, and other statements that are not historical facts, such as, without limitation, statements that discuss the possible future effects of current known trends or uncertainties, or which indicate that the future effects of known trends or uncertainties cannot be predicted, guaranteed or assured.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II, Item 1A. Risk Factors and the following: significant operating losses in the future; downturns in economic conditions that adversely affect our business; the impact of continued periods of high volatility in fuel costs, increased fuel prices and significant disruptions in the supply of aircraft fuel; competitive practices in the industry, including the impact of low cost carriers, airline alliances and industry consolidation; the challenges and costs of integrating operations and realizing anticipated synergies and other benefits of the merger transaction with US Airways Group; our substantial indebtedness and other obligations and the effect they could have on our business and liquidity; an inability to obtain sufficient financing or other capital to operate successfully and in accordance with our current business plan; increased costs of financing, a reduction in the availability of financing and fluctuations in interest rates; the effect our high level of fixed obligations may have on our ability to fund general corporate requirements, obtain additional financing and respond to competitive developments and adverse economic and industry conditions; our significant pension and other post-employment benefit funding obligations; the impact of any failure to comply with the covenants contained in financing arrangements; provisions in credit card processing and other commercial agreements that may materially reduce our liquidity; the limitations of our historical consolidated financial information, which is not directly comparable to our financial information for prior or future periods; the impact of union disputes, employee strikes and other labor-related disruptions; any inability to maintain labor costs at competitive levels; interruptions or disruptions in service at one or more of our hub airports; any inability to obtain and maintain adequate facilities, infrastructure and slots to operate our flight schedule and expand or change our route network; our reliance on third-party regional operators or third-party service providers that have the ability to affect our revenue and the public’s perception about our services; any inability to effectively manage the costs, rights and functionality of third-party distribution channels on which we rely; extensive government regulation, which may result in increases in our costs, disruptions to our operations, limits on our operating flexibility, reductions in the demand for air travel, and competitive disadvantages; the impact of the heavy taxation to which the airline industry is subject; changes to our business model that may not successfully increase revenues and may cause operational difficulties or decreased demand; the loss of key personnel or inability to attract and retain additional qualified personnel; the impact of conflicts overseas, terrorist attacks and ongoing security concerns; the global scope of our business and any associated economic and political instability or adverse effects of events, circumstances or government actions beyond our control, including the impact of foreign currency exchange rate fluctuations and limitations on the repatriation of cash held in foreign countries; the impact of environmental regulation; our reliance on technology and automated systems and the impact of any failure of these technologies or systems; challenges in integrating our computer, communications and other technology systems; costs of ongoing data security compliance requirements and the impact of any significant data security breach; losses and adverse publicity stemming from any accident involving any of our aircraft or the aircraft of our regional or codeshare operators; delays in scheduled aircraft deliveries, or other loss of anticipated fleet capacity, and failure of new aircraft to perform as expected; our dependence on a limited number of suppliers for aircraft, aircraft engines and parts; the impact of changing economic and other conditions beyond our control, including global events that affect travel behavior such as an outbreak of a contagious disease, and volatility and fluctuations in our results of operations due to seasonality; the effect of a higher than normal number of pilot retirements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30" w:right="239" w:bottom="1440" w:gutter="0" w:footer="0" w:header="0"/>
        </w:sectPr>
      </w:pPr>
    </w:p>
    <w:bookmarkStart w:id="4" w:name="page5"/>
    <w:bookmarkEnd w:id="4"/>
    <w:p>
      <w:pPr>
        <w:jc w:val="both"/>
        <w:spacing w:after="0" w:line="286" w:lineRule="auto"/>
        <w:rPr>
          <w:sz w:val="20"/>
          <w:szCs w:val="20"/>
          <w:color w:val="auto"/>
        </w:rPr>
      </w:pPr>
      <w:r>
        <w:rPr>
          <w:rFonts w:ascii="Arial" w:cs="Arial" w:eastAsia="Arial" w:hAnsi="Arial"/>
          <w:sz w:val="16"/>
          <w:szCs w:val="16"/>
          <w:color w:val="auto"/>
        </w:rPr>
        <w:t>and a potential shortage of pilots; the impact of possible future increases in insurance costs or reductions in available insurance coverage; the effect of several lawsuits that were filed in connection with the merger transaction with US Airways Group and remain pending; an inability to use net operating losses (NOLs) carried over from prior taxable years (NOL Carryforwards); any impairment in the amount of goodwill we recorded as a result of the application of the acquisition method of accounting and an inability to realize the full value of AAG’s and American’s respective intangible or long-lived assets and any material impairment charges that would be recorded as a result; price volatility of our common stock; delay or prevention of stockholders’ ability to change the composition of our board of directors and the effect this may have on takeover attempts that some of our stockholders might consider beneficial; the effect of provisions of our Restated Certificate of Incorporation (the Certificate of Incorporation) and Amended and Restated Bylaws (the Bylaws) that limit foreign owners’ ability to vote and own our equity interests, including our common stock and convertible notes; the effect of limitations in our Certificate of Incorporation on acquisitions and dispositions of our common stock designed to protect our NOL Carryforwards and certain other tax attributes, which may limit the liquidity of our common stock; other economic, business, competitive, and/or regulatory factors affecting our business, including those set forth in our filings with the Securities and Exchange Commission (the SEC), especially in Part II, Item 1A. Risk Factors and Part I, Item 2. Management’s Discussion and Analysis of Financial Condition and Results of Operations of this and other Quarterly Reports on Form 10-Q, Annual Reports on Form 10-K, Current Reports on Form 8-K and other SEC filings; and other risks and uncertainties listed from time to time in our reports to and filings with the SEC.</w:t>
      </w:r>
    </w:p>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Quarterly Report on Form 10-Q or as of the dates indicated in the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30" w:right="2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t>PART I: FINANCIAL INFORMATION</w:t>
      </w:r>
    </w:p>
    <w:p>
      <w:pPr>
        <w:spacing w:after="0" w:line="31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combined Quarterly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364" w:right="319" w:bottom="1440" w:gutter="0" w:footer="0" w:header="0"/>
        </w:sectPr>
      </w:pPr>
    </w:p>
    <w:bookmarkStart w:id="6" w:name="page7"/>
    <w:bookmarkEnd w:id="6"/>
    <w:p>
      <w:pPr>
        <w:ind w:left="1340"/>
        <w:spacing w:after="0"/>
        <w:tabs>
          <w:tab w:leader="none" w:pos="31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7"/>
          <w:szCs w:val="17"/>
          <w:b w:val="1"/>
          <w:bCs w:val="1"/>
          <w:color w:val="auto"/>
        </w:rPr>
        <w:t>AMERICAN AIRLINES GROUP INC. CONDENSED CONSOLIDATED FINANCIAL</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7"/>
          <w:szCs w:val="17"/>
          <w:b w:val="1"/>
          <w:bCs w:val="1"/>
          <w:color w:val="auto"/>
        </w:rPr>
        <w:t>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shares and per share amounts)(Unaudited)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4"/>
          </w:tcPr>
          <w:p>
            <w:pPr>
              <w:jc w:val="right"/>
              <w:ind w:right="390"/>
              <w:spacing w:after="0"/>
              <w:rPr>
                <w:sz w:val="20"/>
                <w:szCs w:val="20"/>
                <w:color w:val="auto"/>
              </w:rPr>
            </w:pPr>
            <w:r>
              <w:rPr>
                <w:rFonts w:ascii="Arial" w:cs="Arial" w:eastAsia="Arial" w:hAnsi="Arial"/>
                <w:sz w:val="18"/>
                <w:szCs w:val="18"/>
                <w:color w:val="auto"/>
                <w:w w:val="97"/>
              </w:rPr>
              <w:t>Three Months Ended March 31,</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Mainline passenger</w:t>
            </w:r>
          </w:p>
        </w:tc>
        <w:tc>
          <w:tcPr>
            <w:tcW w:w="2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7,258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Regional passenger</w:t>
            </w:r>
          </w:p>
        </w:tc>
        <w:tc>
          <w:tcPr>
            <w:tcW w:w="2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Cargo</w:t>
            </w:r>
          </w:p>
        </w:tc>
        <w:tc>
          <w:tcPr>
            <w:tcW w:w="2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7"/>
        </w:trPr>
        <w:tc>
          <w:tcPr>
            <w:tcW w:w="5460" w:type="dxa"/>
            <w:vAlign w:val="bottom"/>
          </w:tcPr>
          <w:p>
            <w:pPr>
              <w:ind w:left="500"/>
              <w:spacing w:after="0"/>
              <w:rPr>
                <w:sz w:val="20"/>
                <w:szCs w:val="20"/>
                <w:color w:val="auto"/>
              </w:rPr>
            </w:pPr>
            <w:r>
              <w:rPr>
                <w:rFonts w:ascii="Arial" w:cs="Arial" w:eastAsia="Arial" w:hAnsi="Arial"/>
                <w:sz w:val="18"/>
                <w:szCs w:val="18"/>
                <w:color w:val="auto"/>
              </w:rPr>
              <w:t>Total operating revenues</w:t>
            </w:r>
          </w:p>
        </w:tc>
        <w:tc>
          <w:tcPr>
            <w:tcW w:w="26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9,995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Aircraft fuel and related taxes</w:t>
            </w:r>
          </w:p>
        </w:tc>
        <w:tc>
          <w:tcPr>
            <w:tcW w:w="2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Salaries, wages and benefits</w:t>
            </w:r>
          </w:p>
        </w:tc>
        <w:tc>
          <w:tcPr>
            <w:tcW w:w="2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Regional expenses</w:t>
            </w:r>
          </w:p>
        </w:tc>
        <w:tc>
          <w:tcPr>
            <w:tcW w:w="2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Maintenance, materials and repairs</w:t>
            </w:r>
          </w:p>
        </w:tc>
        <w:tc>
          <w:tcPr>
            <w:tcW w:w="2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Other rent and landing fees</w:t>
            </w:r>
          </w:p>
        </w:tc>
        <w:tc>
          <w:tcPr>
            <w:tcW w:w="2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Aircraft rent</w:t>
            </w:r>
          </w:p>
        </w:tc>
        <w:tc>
          <w:tcPr>
            <w:tcW w:w="2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Selling expenses</w:t>
            </w:r>
          </w:p>
        </w:tc>
        <w:tc>
          <w:tcPr>
            <w:tcW w:w="2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Special items, net</w:t>
            </w:r>
          </w:p>
        </w:tc>
        <w:tc>
          <w:tcPr>
            <w:tcW w:w="2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7"/>
        </w:trPr>
        <w:tc>
          <w:tcPr>
            <w:tcW w:w="54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6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9,265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6,027</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Interest expense, net of capitalized interest</w:t>
            </w:r>
          </w:p>
        </w:tc>
        <w:tc>
          <w:tcPr>
            <w:tcW w:w="2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color w:val="auto"/>
              </w:rPr>
              <w:t>Total nonoperating expense, net</w:t>
            </w:r>
          </w:p>
        </w:tc>
        <w:tc>
          <w:tcPr>
            <w:tcW w:w="26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reorganization items, net</w:t>
            </w:r>
          </w:p>
        </w:tc>
        <w:tc>
          <w:tcPr>
            <w:tcW w:w="2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Reorganization items, net</w:t>
            </w:r>
          </w:p>
        </w:tc>
        <w:tc>
          <w:tcPr>
            <w:tcW w:w="2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share</w:t>
            </w:r>
          </w:p>
        </w:tc>
        <w:tc>
          <w:tcPr>
            <w:tcW w:w="2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Basic</w:t>
            </w:r>
          </w:p>
        </w:tc>
        <w:tc>
          <w:tcPr>
            <w:tcW w:w="2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67"/>
        </w:trPr>
        <w:tc>
          <w:tcPr>
            <w:tcW w:w="5460" w:type="dxa"/>
            <w:vAlign w:val="bottom"/>
            <w:tcBorders>
              <w:bottom w:val="single" w:sz="8" w:color="CCEEFF"/>
            </w:tcBorders>
          </w:tcPr>
          <w:p>
            <w:pPr>
              <w:spacing w:after="0"/>
              <w:rPr>
                <w:sz w:val="5"/>
                <w:szCs w:val="5"/>
                <w:color w:val="auto"/>
              </w:rPr>
            </w:pPr>
          </w:p>
        </w:tc>
        <w:tc>
          <w:tcPr>
            <w:tcW w:w="26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4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w:t>
            </w:r>
          </w:p>
        </w:tc>
        <w:tc>
          <w:tcPr>
            <w:tcW w:w="2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2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4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723,971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249,491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w:t>
            </w:r>
          </w:p>
        </w:tc>
        <w:tc>
          <w:tcPr>
            <w:tcW w:w="2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60" w:type="dxa"/>
            <w:vAlign w:val="bottom"/>
            <w:vMerge w:val="continue"/>
          </w:tcPr>
          <w:p>
            <w:pPr>
              <w:spacing w:after="0"/>
              <w:rPr>
                <w:sz w:val="19"/>
                <w:szCs w:val="19"/>
                <w:color w:val="auto"/>
              </w:rPr>
            </w:pPr>
          </w:p>
        </w:tc>
        <w:tc>
          <w:tcPr>
            <w:tcW w:w="2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741,335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249,491</w:t>
            </w:r>
          </w:p>
        </w:tc>
        <w:tc>
          <w:tcPr>
            <w:tcW w:w="0" w:type="dxa"/>
            <w:vAlign w:val="bottom"/>
          </w:tcPr>
          <w:p>
            <w:pPr>
              <w:spacing w:after="0"/>
              <w:rPr>
                <w:sz w:val="1"/>
                <w:szCs w:val="1"/>
                <w:color w:val="auto"/>
              </w:rPr>
            </w:pPr>
          </w:p>
        </w:tc>
      </w:tr>
      <w:tr>
        <w:trPr>
          <w:trHeight w:val="27"/>
        </w:trPr>
        <w:tc>
          <w:tcPr>
            <w:tcW w:w="5460" w:type="dxa"/>
            <w:vAlign w:val="bottom"/>
            <w:vMerge w:val="restart"/>
          </w:tcPr>
          <w:p>
            <w:pPr>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2660" w:type="dxa"/>
            <w:vAlign w:val="bottom"/>
            <w:vMerge w:val="restart"/>
          </w:tcPr>
          <w:p>
            <w:pPr>
              <w:jc w:val="right"/>
              <w:ind w:right="2270"/>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60" w:type="dxa"/>
            <w:vAlign w:val="bottom"/>
            <w:vMerge w:val="continue"/>
          </w:tcPr>
          <w:p>
            <w:pPr>
              <w:spacing w:after="0" w:line="20" w:lineRule="exact"/>
              <w:rPr>
                <w:sz w:val="1"/>
                <w:szCs w:val="1"/>
                <w:color w:val="auto"/>
              </w:rPr>
            </w:pPr>
          </w:p>
        </w:tc>
        <w:tc>
          <w:tcPr>
            <w:tcW w:w="266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26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54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1"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Table of Contents</w:t>
              </w:r>
            </w:hyperlink>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AMERICAN AIRLINES GROUP INC.</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COMPREHENSIVE INCOME (LOSS)</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(In millions)(Unaudited)</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060" w:type="dxa"/>
            <w:vAlign w:val="bottom"/>
            <w:gridSpan w:val="5"/>
          </w:tcPr>
          <w:p>
            <w:pPr>
              <w:jc w:val="right"/>
              <w:ind w:right="27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loss before tax:</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Defined benefit pension plans and retiree medical:</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Amortization of actuarial gain and prior service cost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Derivative financial instruments: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Change in fair value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Reclassification into earnings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Unrealized gain (loss) on investments:</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change in value</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loss before tax</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Non-cash tax provision</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continue"/>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8360" w:type="dxa"/>
            <w:vAlign w:val="bottom"/>
            <w:gridSpan w:val="2"/>
          </w:tcPr>
          <w:p>
            <w:pPr>
              <w:ind w:left="5660"/>
              <w:spacing w:after="0"/>
              <w:rPr>
                <w:sz w:val="20"/>
                <w:szCs w:val="20"/>
                <w:color w:val="auto"/>
              </w:rPr>
            </w:pPr>
            <w:r>
              <w:rPr>
                <w:rFonts w:ascii="Arial" w:cs="Arial" w:eastAsia="Arial" w:hAnsi="Arial"/>
                <w:sz w:val="18"/>
                <w:szCs w:val="18"/>
                <w:color w:val="auto"/>
              </w:rPr>
              <w:t>7</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shares and per share amounts)(Unaudited)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140"/>
              <w:spacing w:after="0"/>
              <w:rPr>
                <w:sz w:val="20"/>
                <w:szCs w:val="20"/>
                <w:color w:val="auto"/>
              </w:rPr>
            </w:pPr>
            <w:r>
              <w:rPr>
                <w:rFonts w:ascii="Arial" w:cs="Arial" w:eastAsia="Arial" w:hAnsi="Arial"/>
                <w:sz w:val="15"/>
                <w:szCs w:val="15"/>
                <w:color w:val="auto"/>
              </w:rPr>
              <w:t>March 31, 2014</w:t>
            </w:r>
          </w:p>
        </w:tc>
        <w:tc>
          <w:tcPr>
            <w:tcW w:w="160" w:type="dxa"/>
            <w:vAlign w:val="bottom"/>
          </w:tcPr>
          <w:p>
            <w:pPr>
              <w:spacing w:after="0"/>
              <w:rPr>
                <w:sz w:val="17"/>
                <w:szCs w:val="17"/>
                <w:color w:val="auto"/>
              </w:rPr>
            </w:pPr>
          </w:p>
        </w:tc>
        <w:tc>
          <w:tcPr>
            <w:tcW w:w="1520" w:type="dxa"/>
            <w:vAlign w:val="bottom"/>
          </w:tcPr>
          <w:p>
            <w:pPr>
              <w:jc w:val="right"/>
              <w:ind w:right="163"/>
              <w:spacing w:after="0"/>
              <w:rPr>
                <w:sz w:val="20"/>
                <w:szCs w:val="20"/>
                <w:color w:val="auto"/>
              </w:rPr>
            </w:pPr>
            <w:r>
              <w:rPr>
                <w:rFonts w:ascii="Arial" w:cs="Arial" w:eastAsia="Arial" w:hAnsi="Arial"/>
                <w:sz w:val="15"/>
                <w:szCs w:val="15"/>
                <w:color w:val="auto"/>
                <w:w w:val="95"/>
              </w:rPr>
              <w:t>December 31, 2013</w:t>
            </w:r>
          </w:p>
        </w:tc>
        <w:tc>
          <w:tcPr>
            <w:tcW w:w="0" w:type="dxa"/>
            <w:vAlign w:val="bottom"/>
          </w:tcPr>
          <w:p>
            <w:pPr>
              <w:spacing w:after="0"/>
              <w:rPr>
                <w:sz w:val="1"/>
                <w:szCs w:val="1"/>
                <w:color w:val="auto"/>
              </w:rPr>
            </w:pPr>
          </w:p>
        </w:tc>
      </w:tr>
      <w:tr>
        <w:trPr>
          <w:trHeight w:val="195"/>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ASSETS</w:t>
            </w: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7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Current assets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Cash</w:t>
            </w:r>
          </w:p>
        </w:tc>
        <w:tc>
          <w:tcPr>
            <w:tcW w:w="240" w:type="dxa"/>
            <w:vAlign w:val="bottom"/>
            <w:vMerge w:val="restart"/>
          </w:tcPr>
          <w:p>
            <w:pPr>
              <w:jc w:val="right"/>
              <w:ind w:right="63"/>
              <w:spacing w:after="0"/>
              <w:rPr>
                <w:sz w:val="20"/>
                <w:szCs w:val="20"/>
                <w:color w:val="auto"/>
              </w:rPr>
            </w:pPr>
            <w:r>
              <w:rPr>
                <w:rFonts w:ascii="Arial" w:cs="Arial" w:eastAsia="Arial" w:hAnsi="Arial"/>
                <w:sz w:val="15"/>
                <w:szCs w:val="15"/>
                <w:color w:val="auto"/>
                <w:w w:val="95"/>
              </w:rPr>
              <w:t>$</w:t>
            </w: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1,259</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1,140</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Short-term investments</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8,405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8,111</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Restricted cash and short-term investments</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947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1,035</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Accounts receivable, net</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2,008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1,560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Aircraft fuel, spare parts and supplies, net</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1,052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1,012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Prepaid expenses and other</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1,522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1,465</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500"/>
              <w:spacing w:after="0"/>
              <w:rPr>
                <w:sz w:val="20"/>
                <w:szCs w:val="20"/>
                <w:color w:val="auto"/>
              </w:rPr>
            </w:pPr>
            <w:r>
              <w:rPr>
                <w:rFonts w:ascii="Arial" w:cs="Arial" w:eastAsia="Arial" w:hAnsi="Arial"/>
                <w:sz w:val="15"/>
                <w:szCs w:val="15"/>
                <w:color w:val="auto"/>
              </w:rPr>
              <w:t>Total current assets</w:t>
            </w:r>
          </w:p>
        </w:tc>
        <w:tc>
          <w:tcPr>
            <w:tcW w:w="240" w:type="dxa"/>
            <w:vAlign w:val="bottom"/>
          </w:tcPr>
          <w:p>
            <w:pPr>
              <w:spacing w:after="0"/>
              <w:rPr>
                <w:sz w:val="16"/>
                <w:szCs w:val="16"/>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15,193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14,323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Operating property and equipment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Flight equipment</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24,687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23,730</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Ground property and equipment</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5,663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5,585</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Equipment purchase deposits</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1,045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1,077</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property and equipment, at cost</w:t>
            </w:r>
          </w:p>
        </w:tc>
        <w:tc>
          <w:tcPr>
            <w:tcW w:w="2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31,395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30,392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Less accumulated depreciation and amortization</w:t>
            </w:r>
          </w:p>
        </w:tc>
        <w:tc>
          <w:tcPr>
            <w:tcW w:w="240" w:type="dxa"/>
            <w:vAlign w:val="bottom"/>
          </w:tcPr>
          <w:p>
            <w:pPr>
              <w:spacing w:after="0"/>
              <w:rPr>
                <w:sz w:val="18"/>
                <w:szCs w:val="18"/>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(11,451)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(11,133)</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property and equipment, net</w:t>
            </w:r>
          </w:p>
        </w:tc>
        <w:tc>
          <w:tcPr>
            <w:tcW w:w="2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19,944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19,259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Other assets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Goodwill</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4,089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4,086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Intangibles, net of accumulated amortization of $399 and $373, respectively</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2,319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2,311</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 assets</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2,192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2,299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500"/>
              <w:spacing w:after="0"/>
              <w:rPr>
                <w:sz w:val="20"/>
                <w:szCs w:val="20"/>
                <w:color w:val="auto"/>
              </w:rPr>
            </w:pPr>
            <w:r>
              <w:rPr>
                <w:rFonts w:ascii="Arial" w:cs="Arial" w:eastAsia="Arial" w:hAnsi="Arial"/>
                <w:sz w:val="15"/>
                <w:szCs w:val="15"/>
                <w:color w:val="auto"/>
              </w:rPr>
              <w:t>Total other assets</w:t>
            </w:r>
          </w:p>
        </w:tc>
        <w:tc>
          <w:tcPr>
            <w:tcW w:w="240" w:type="dxa"/>
            <w:vAlign w:val="bottom"/>
          </w:tcPr>
          <w:p>
            <w:pPr>
              <w:spacing w:after="0"/>
              <w:rPr>
                <w:sz w:val="16"/>
                <w:szCs w:val="16"/>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8,600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8,696</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5"/>
                <w:szCs w:val="15"/>
                <w:b w:val="1"/>
                <w:bCs w:val="1"/>
                <w:color w:val="auto"/>
              </w:rPr>
              <w:t>Total assets</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43,737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42,278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LIABILITIES AND STOCKHOLDERS' EQUITY (DEFICIT)</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7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Current maturities of long-term debt and capital leases</w:t>
            </w:r>
          </w:p>
        </w:tc>
        <w:tc>
          <w:tcPr>
            <w:tcW w:w="240" w:type="dxa"/>
            <w:vAlign w:val="bottom"/>
            <w:vMerge w:val="restart"/>
          </w:tcPr>
          <w:p>
            <w:pPr>
              <w:jc w:val="right"/>
              <w:ind w:right="63"/>
              <w:spacing w:after="0"/>
              <w:rPr>
                <w:sz w:val="20"/>
                <w:szCs w:val="20"/>
                <w:color w:val="auto"/>
              </w:rPr>
            </w:pPr>
            <w:r>
              <w:rPr>
                <w:rFonts w:ascii="Arial" w:cs="Arial" w:eastAsia="Arial" w:hAnsi="Arial"/>
                <w:sz w:val="15"/>
                <w:szCs w:val="15"/>
                <w:color w:val="auto"/>
                <w:w w:val="95"/>
              </w:rPr>
              <w:t>$</w:t>
            </w: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1,441</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1,446</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Accounts payable</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1,646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1,368</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Accrued salaries and wages</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908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1,143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Air traffic liability</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5,686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4,380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Frequent flyer liability</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2,951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3,005</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 accrued liabilities</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2,447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2,464</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500"/>
              <w:spacing w:after="0"/>
              <w:rPr>
                <w:sz w:val="20"/>
                <w:szCs w:val="20"/>
                <w:color w:val="auto"/>
              </w:rPr>
            </w:pPr>
            <w:r>
              <w:rPr>
                <w:rFonts w:ascii="Arial" w:cs="Arial" w:eastAsia="Arial" w:hAnsi="Arial"/>
                <w:sz w:val="15"/>
                <w:szCs w:val="15"/>
                <w:color w:val="auto"/>
              </w:rPr>
              <w:t>Total current liabilities</w:t>
            </w:r>
          </w:p>
        </w:tc>
        <w:tc>
          <w:tcPr>
            <w:tcW w:w="240" w:type="dxa"/>
            <w:vAlign w:val="bottom"/>
          </w:tcPr>
          <w:p>
            <w:pPr>
              <w:spacing w:after="0"/>
              <w:rPr>
                <w:sz w:val="16"/>
                <w:szCs w:val="16"/>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15,079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13,806</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Noncurrent liabilities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Long-term debt and capital leases, net of current maturities</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15,244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15,353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Pension and postretirement benefits</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5,766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5,828</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Deferred gains and credits, net</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990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935</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Mandatorily convertible preferred stock and other bankruptcy settlement obligations</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2,322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5,928</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Other liabilities</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3,241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3,159</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noncurrent liabilities</w:t>
            </w:r>
          </w:p>
        </w:tc>
        <w:tc>
          <w:tcPr>
            <w:tcW w:w="2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27,563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31,203</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500"/>
              <w:spacing w:after="0"/>
              <w:rPr>
                <w:sz w:val="20"/>
                <w:szCs w:val="20"/>
                <w:color w:val="auto"/>
              </w:rPr>
            </w:pPr>
            <w:r>
              <w:rPr>
                <w:rFonts w:ascii="Arial" w:cs="Arial" w:eastAsia="Arial" w:hAnsi="Arial"/>
                <w:sz w:val="15"/>
                <w:szCs w:val="15"/>
                <w:color w:val="auto"/>
              </w:rPr>
              <w:t>Commitments and contingencies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Stockholders' equity (deficit)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7900" w:type="dxa"/>
            <w:vAlign w:val="bottom"/>
          </w:tcPr>
          <w:p>
            <w:pPr>
              <w:ind w:left="180"/>
              <w:spacing w:after="0"/>
              <w:rPr>
                <w:sz w:val="20"/>
                <w:szCs w:val="20"/>
                <w:color w:val="auto"/>
              </w:rPr>
            </w:pPr>
            <w:r>
              <w:rPr>
                <w:rFonts w:ascii="Arial" w:cs="Arial" w:eastAsia="Arial" w:hAnsi="Arial"/>
                <w:sz w:val="15"/>
                <w:szCs w:val="15"/>
                <w:color w:val="auto"/>
                <w:w w:val="94"/>
              </w:rPr>
              <w:t>Common stock, $0.01 par value; 1,750,000,000 shares authorized, 649,953,273 shares outstanding as of March 31, 2014;</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900" w:type="dxa"/>
            <w:vAlign w:val="bottom"/>
          </w:tcPr>
          <w:p>
            <w:pPr>
              <w:ind w:left="180"/>
              <w:spacing w:after="0"/>
              <w:rPr>
                <w:sz w:val="20"/>
                <w:szCs w:val="20"/>
                <w:color w:val="auto"/>
              </w:rPr>
            </w:pPr>
            <w:r>
              <w:rPr>
                <w:rFonts w:ascii="Arial" w:cs="Arial" w:eastAsia="Arial" w:hAnsi="Arial"/>
                <w:sz w:val="15"/>
                <w:szCs w:val="15"/>
                <w:color w:val="auto"/>
              </w:rPr>
              <w:t>526,805,522 shares outstanding as of December 31, 2013.</w:t>
            </w:r>
          </w:p>
        </w:tc>
        <w:tc>
          <w:tcPr>
            <w:tcW w:w="240" w:type="dxa"/>
            <w:vAlign w:val="bottom"/>
          </w:tcPr>
          <w:p>
            <w:pPr>
              <w:spacing w:after="0"/>
              <w:rPr>
                <w:sz w:val="17"/>
                <w:szCs w:val="17"/>
                <w:color w:val="auto"/>
              </w:rPr>
            </w:pPr>
          </w:p>
        </w:tc>
        <w:tc>
          <w:tcPr>
            <w:tcW w:w="1480" w:type="dxa"/>
            <w:vAlign w:val="bottom"/>
          </w:tcPr>
          <w:p>
            <w:pPr>
              <w:jc w:val="right"/>
              <w:ind w:right="43"/>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23"/>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Additional paid-in capital</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14,040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10,592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80"/>
              <w:spacing w:after="0"/>
              <w:rPr>
                <w:sz w:val="20"/>
                <w:szCs w:val="20"/>
                <w:color w:val="auto"/>
              </w:rPr>
            </w:pPr>
            <w:r>
              <w:rPr>
                <w:rFonts w:ascii="Arial" w:cs="Arial" w:eastAsia="Arial" w:hAnsi="Arial"/>
                <w:sz w:val="15"/>
                <w:szCs w:val="15"/>
                <w:color w:val="auto"/>
              </w:rPr>
              <w:t>Accumulated other comprehensive loss</w:t>
            </w:r>
          </w:p>
        </w:tc>
        <w:tc>
          <w:tcPr>
            <w:tcW w:w="240" w:type="dxa"/>
            <w:vAlign w:val="bottom"/>
          </w:tcPr>
          <w:p>
            <w:pPr>
              <w:spacing w:after="0"/>
              <w:rPr>
                <w:sz w:val="18"/>
                <w:szCs w:val="18"/>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(2,135)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(2,032)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Accumulated deficit</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(10,816)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(11,296)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500"/>
              <w:spacing w:after="0"/>
              <w:rPr>
                <w:sz w:val="20"/>
                <w:szCs w:val="20"/>
                <w:color w:val="auto"/>
              </w:rPr>
            </w:pPr>
            <w:r>
              <w:rPr>
                <w:rFonts w:ascii="Arial" w:cs="Arial" w:eastAsia="Arial" w:hAnsi="Arial"/>
                <w:sz w:val="15"/>
                <w:szCs w:val="15"/>
                <w:color w:val="auto"/>
              </w:rPr>
              <w:t>Total stockholders' equity (deficit)</w:t>
            </w:r>
          </w:p>
        </w:tc>
        <w:tc>
          <w:tcPr>
            <w:tcW w:w="240" w:type="dxa"/>
            <w:vAlign w:val="bottom"/>
          </w:tcPr>
          <w:p>
            <w:pPr>
              <w:spacing w:after="0"/>
              <w:rPr>
                <w:sz w:val="16"/>
                <w:szCs w:val="16"/>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1,095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(2,731)</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43,737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42,278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ind w:right="198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CASH FLOWS </w:t>
      </w:r>
      <w:r>
        <w:rPr>
          <w:rFonts w:ascii="Arial" w:cs="Arial" w:eastAsia="Arial" w:hAnsi="Arial"/>
          <w:sz w:val="18"/>
          <w:szCs w:val="18"/>
          <w:color w:val="auto"/>
        </w:rPr>
        <w:t>(In millions)(Unaudited)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Net cash provided by operating activities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20923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220" w:type="dxa"/>
            <w:vAlign w:val="bottom"/>
          </w:tcPr>
          <w:p>
            <w:pPr>
              <w:jc w:val="right"/>
              <w:ind w:right="535"/>
              <w:spacing w:after="0"/>
              <w:rPr>
                <w:sz w:val="20"/>
                <w:szCs w:val="20"/>
                <w:color w:val="auto"/>
              </w:rPr>
            </w:pPr>
            <w:r>
              <w:rPr>
                <w:rFonts w:ascii="Arial" w:cs="Arial" w:eastAsia="Arial" w:hAnsi="Arial"/>
                <w:sz w:val="17"/>
                <w:szCs w:val="17"/>
                <w:color w:val="auto"/>
              </w:rPr>
              <w:t>2014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5"/>
              <w:spacing w:after="0"/>
              <w:rPr>
                <w:sz w:val="20"/>
                <w:szCs w:val="20"/>
                <w:color w:val="auto"/>
              </w:rPr>
            </w:pPr>
            <w:r>
              <w:rPr>
                <w:rFonts w:ascii="Arial" w:cs="Arial" w:eastAsia="Arial" w:hAnsi="Arial"/>
                <w:sz w:val="17"/>
                <w:szCs w:val="17"/>
                <w:color w:val="auto"/>
              </w:rPr>
              <w:t>2013</w:t>
            </w:r>
          </w:p>
        </w:tc>
      </w:tr>
      <w:tr>
        <w:trPr>
          <w:trHeight w:val="31"/>
        </w:trPr>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9"/>
        </w:trPr>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1,256</w:t>
            </w:r>
          </w:p>
        </w:tc>
        <w:tc>
          <w:tcPr>
            <w:tcW w:w="10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700</w:t>
            </w:r>
          </w:p>
        </w:tc>
      </w:tr>
    </w:tbl>
    <w:p>
      <w:pPr>
        <w:spacing w:after="0" w:line="300" w:lineRule="exact"/>
        <w:rPr>
          <w:sz w:val="20"/>
          <w:szCs w:val="20"/>
          <w:color w:val="auto"/>
        </w:rPr>
      </w:pPr>
    </w:p>
    <w:p>
      <w:pPr>
        <w:sectPr>
          <w:pgSz w:w="11900" w:h="16838" w:orient="portrait"/>
          <w:cols w:equalWidth="0" w:num="2">
            <w:col w:w="7400" w:space="720"/>
            <w:col w:w="330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Capital expenditures and aircraft purchase deposits</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(885)</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Increase in short-term investments</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(226)</w:t>
            </w:r>
          </w:p>
        </w:tc>
      </w:tr>
      <w:tr>
        <w:trPr>
          <w:trHeight w:val="31"/>
        </w:trPr>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Decrease (increase) in restricted cash and short-term investments</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Net proceeds from slot transaction</w:t>
            </w: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property and equipment</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r>
      <w:tr>
        <w:trPr>
          <w:trHeight w:val="219"/>
        </w:trPr>
        <w:tc>
          <w:tcPr>
            <w:tcW w:w="8120" w:type="dxa"/>
            <w:vAlign w:val="bottom"/>
          </w:tcPr>
          <w:p>
            <w:pPr>
              <w:ind w:left="500"/>
              <w:spacing w:after="0"/>
              <w:rPr>
                <w:sz w:val="20"/>
                <w:szCs w:val="20"/>
                <w:color w:val="auto"/>
              </w:rPr>
            </w:pPr>
            <w:r>
              <w:rPr>
                <w:rFonts w:ascii="Arial" w:cs="Arial" w:eastAsia="Arial" w:hAnsi="Arial"/>
                <w:sz w:val="17"/>
                <w:szCs w:val="17"/>
                <w:color w:val="auto"/>
              </w:rPr>
              <w:t>Net cash used in investing activities</w:t>
            </w:r>
          </w:p>
        </w:tc>
        <w:tc>
          <w:tcPr>
            <w:tcW w:w="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(943)</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(1,088)</w:t>
            </w:r>
          </w:p>
        </w:tc>
      </w:tr>
      <w:tr>
        <w:trPr>
          <w:trHeight w:val="31"/>
        </w:trPr>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financing activities:</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Payments on long-term debt and capital leases</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(394)</w:t>
            </w:r>
          </w:p>
        </w:tc>
      </w:tr>
      <w:tr>
        <w:trPr>
          <w:trHeight w:val="31"/>
        </w:trPr>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161</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Payments of employee withholding taxes on net share issuances</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Exercise of stock options</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Deferred financing costs</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
        </w:trPr>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Sale-leaseback transactions</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764</w:t>
            </w:r>
          </w:p>
        </w:tc>
      </w:tr>
      <w:tr>
        <w:trPr>
          <w:trHeight w:val="219"/>
        </w:trPr>
        <w:tc>
          <w:tcPr>
            <w:tcW w:w="8120" w:type="dxa"/>
            <w:vAlign w:val="bottom"/>
          </w:tcPr>
          <w:p>
            <w:pPr>
              <w:ind w:left="500"/>
              <w:spacing w:after="0"/>
              <w:rPr>
                <w:sz w:val="20"/>
                <w:szCs w:val="20"/>
                <w:color w:val="auto"/>
              </w:rPr>
            </w:pPr>
            <w:r>
              <w:rPr>
                <w:rFonts w:ascii="Arial" w:cs="Arial" w:eastAsia="Arial" w:hAnsi="Arial"/>
                <w:sz w:val="17"/>
                <w:szCs w:val="17"/>
                <w:color w:val="auto"/>
              </w:rPr>
              <w:t>Net cash provided by (used in) financing activities</w:t>
            </w:r>
          </w:p>
        </w:tc>
        <w:tc>
          <w:tcPr>
            <w:tcW w:w="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514</w:t>
            </w:r>
          </w:p>
        </w:tc>
      </w:tr>
      <w:tr>
        <w:trPr>
          <w:trHeight w:val="31"/>
        </w:trPr>
        <w:tc>
          <w:tcPr>
            <w:tcW w:w="8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increase in cash</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126</w:t>
            </w:r>
          </w:p>
        </w:tc>
      </w:tr>
      <w:tr>
        <w:trPr>
          <w:trHeight w:val="239"/>
        </w:trPr>
        <w:tc>
          <w:tcPr>
            <w:tcW w:w="8120" w:type="dxa"/>
            <w:vAlign w:val="bottom"/>
          </w:tcPr>
          <w:p>
            <w:pPr>
              <w:ind w:left="40"/>
              <w:spacing w:after="0"/>
              <w:rPr>
                <w:sz w:val="20"/>
                <w:szCs w:val="20"/>
                <w:color w:val="auto"/>
              </w:rPr>
            </w:pPr>
            <w:r>
              <w:rPr>
                <w:rFonts w:ascii="Arial" w:cs="Arial" w:eastAsia="Arial" w:hAnsi="Arial"/>
                <w:sz w:val="17"/>
                <w:szCs w:val="17"/>
                <w:color w:val="auto"/>
              </w:rPr>
              <w:t>Cash at beginning of period</w:t>
            </w: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1,140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480</w:t>
            </w:r>
          </w:p>
        </w:tc>
      </w:tr>
      <w:tr>
        <w:trPr>
          <w:trHeight w:val="31"/>
        </w:trPr>
        <w:tc>
          <w:tcPr>
            <w:tcW w:w="8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at end of period</w:t>
            </w:r>
          </w:p>
        </w:tc>
        <w:tc>
          <w:tcPr>
            <w:tcW w:w="5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18"/>
        </w:trPr>
        <w:tc>
          <w:tcPr>
            <w:tcW w:w="8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Non-cash investing and financing activities:</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Settlement of bankruptcy settlement obligation</w:t>
            </w:r>
          </w:p>
        </w:tc>
        <w:tc>
          <w:tcPr>
            <w:tcW w:w="5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3,557</w:t>
            </w:r>
          </w:p>
        </w:tc>
        <w:tc>
          <w:tcPr>
            <w:tcW w:w="100" w:type="dxa"/>
            <w:vAlign w:val="bottom"/>
          </w:tcPr>
          <w:p>
            <w:pPr>
              <w:spacing w:after="0"/>
              <w:rPr>
                <w:sz w:val="20"/>
                <w:szCs w:val="20"/>
                <w:color w:val="auto"/>
              </w:rPr>
            </w:pPr>
          </w:p>
        </w:tc>
        <w:tc>
          <w:tcPr>
            <w:tcW w:w="5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Supplemental information:</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Interest paid, net of amounts capitalized</w:t>
            </w: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204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125</w:t>
            </w:r>
          </w:p>
        </w:tc>
      </w:tr>
      <w:tr>
        <w:trPr>
          <w:trHeight w:val="31"/>
        </w:trPr>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9"/>
        </w:trPr>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tax paid</w:t>
            </w: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r>
      <w:tr>
        <w:trPr>
          <w:trHeight w:val="31"/>
        </w:trPr>
        <w:tc>
          <w:tcPr>
            <w:tcW w:w="8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AMERICAN AIRLINES GROUP INC.</w:t>
      </w:r>
    </w:p>
    <w:p>
      <w:pPr>
        <w:spacing w:after="0" w:line="63" w:lineRule="exact"/>
        <w:rPr>
          <w:sz w:val="20"/>
          <w:szCs w:val="20"/>
          <w:color w:val="auto"/>
        </w:rPr>
      </w:pPr>
    </w:p>
    <w:p>
      <w:pPr>
        <w:ind w:left="80" w:right="5440"/>
        <w:spacing w:after="0" w:line="344"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-38735</wp:posOffset>
            </wp:positionV>
            <wp:extent cx="71862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295" cy="17145"/>
                    </a:xfrm>
                    <a:prstGeom prst="rect">
                      <a:avLst/>
                    </a:prstGeom>
                    <a:noFill/>
                  </pic:spPr>
                </pic:pic>
              </a:graphicData>
            </a:graphic>
          </wp:anchor>
        </w:drawing>
      </w:r>
    </w:p>
    <w:p>
      <w:pPr>
        <w:spacing w:after="0" w:line="89" w:lineRule="exact"/>
        <w:rPr>
          <w:sz w:val="20"/>
          <w:szCs w:val="20"/>
          <w:color w:val="auto"/>
        </w:rPr>
      </w:pPr>
    </w:p>
    <w:p>
      <w:pPr>
        <w:ind w:left="660" w:right="9240" w:hanging="652"/>
        <w:spacing w:after="0" w:line="495" w:lineRule="auto"/>
        <w:tabs>
          <w:tab w:leader="none" w:pos="192"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i w:val="1"/>
          <w:iCs w:val="1"/>
          <w:u w:val="single" w:color="auto"/>
          <w:color w:val="auto"/>
        </w:rPr>
        <w:t>Basis of Presentation</w:t>
      </w:r>
    </w:p>
    <w:p>
      <w:pPr>
        <w:spacing w:after="0" w:line="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9, 2013 (the Effective Date), AMR Merger Sub, Inc. (Merger Sub) merged with and into US Airways Group, Inc. (US Airways Group) (the Merger), with US Airways Group surviving as a wholly-owned subsidiary of American Airlines Group Inc., a Delaware corporation (formerly known as AMR Corporation and referred to herein as AAG and, together with its consolidated subsidiaries, the Company), following the Merger. "AMR" refers to the Company during the period of time prior to its emergence from Chapter 11 and the Effective Date of the Merger.</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AAG should be read in conjunction with the consolidated financial statements contained in AAG's Annual Report on Form 10-K for the year ended December 31, 2013. The accompanying unaudited condensed consolidated financial statements include the accounts of the Company and its wholly-owned subsidiaries. Principal subsidiaries include American and, effective December 9, 2013, US Airways Group. Because the Merger did not occur until December 2013, the unaudited condensed consolidated financial statements presented do not include the accounts of US Airways Group for the three months ended March 31, 2013. Certain prior period amounts have been reclassified to conform to the current year financial statement presentation as described below. All significant intercompany transactions have been eliminated.</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frequent traveler programs, pensions and retiree medical and other benefits and the deferred tax asset valuation allowance.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Chapter 11 Matters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U.S. Generally Accepted Accounting Principles (GAAP), the Debtors (as defined in Note 2 below) applied ASC 852 "Reorganizations" (ASC 852) in preparing the condensed consolidated financial statements for periods subsequent to the Chapter 11 Cases (as defined in Note 2 below). ASC 852 requires that the financial statements distinguish transactions and events that are directly associated with the reorganization from the ongoing operations of the business. Accordingly, certain revenues, expenses (including professional fees), realized gains and losses and provisions for losses that are realized or incurred in the Chapter 11 Cases for the 2013 period are recorded in Reorganization items, net on the accompanying unaudited condensed consolidated statement of operations.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period amounts have been reclassified between various financial statement line items to conform to the current year financial statement presentation. These reclassifications do not impact the historic net loss and are comprised principally of the following items:</w:t>
      </w:r>
    </w:p>
    <w:p>
      <w:pPr>
        <w:spacing w:after="0" w:line="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Reclassifications between various operating income line items to conform the presentation of Cargo and Other revenues.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Reclassifications between various operating expense line items to conform the presentation of Regional expenses.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Reclassifications between Other nonoperating income (expense), net and Operating expenses to conform the presentation of foreign currency gains and losses.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42"/>
        </w:trPr>
        <w:tc>
          <w:tcPr>
            <w:tcW w:w="8360" w:type="dxa"/>
            <w:vAlign w:val="bottom"/>
            <w:gridSpan w:val="3"/>
          </w:tcPr>
          <w:p>
            <w:pPr>
              <w:ind w:left="180"/>
              <w:spacing w:after="0"/>
              <w:rPr>
                <w:sz w:val="20"/>
                <w:szCs w:val="20"/>
                <w:color w:val="auto"/>
              </w:rPr>
            </w:pPr>
            <w:r>
              <w:rPr>
                <w:rFonts w:ascii="Arial" w:cs="Arial" w:eastAsia="Arial" w:hAnsi="Arial"/>
                <w:sz w:val="18"/>
                <w:szCs w:val="18"/>
                <w:color w:val="auto"/>
                <w:w w:val="95"/>
              </w:rPr>
              <w:t>The following table summarizes the historical and revised financial statement amounts for AAG (in millions):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4"/>
          </w:tcPr>
          <w:p>
            <w:pPr>
              <w:jc w:val="right"/>
              <w:ind w:right="270"/>
              <w:spacing w:after="0"/>
              <w:rPr>
                <w:sz w:val="20"/>
                <w:szCs w:val="20"/>
                <w:color w:val="auto"/>
              </w:rPr>
            </w:pPr>
            <w:r>
              <w:rPr>
                <w:rFonts w:ascii="Arial" w:cs="Arial" w:eastAsia="Arial" w:hAnsi="Arial"/>
                <w:sz w:val="18"/>
                <w:szCs w:val="18"/>
                <w:color w:val="auto"/>
              </w:rPr>
              <w:t>Three Months Ended March 31,</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color w:val="auto"/>
              </w:rPr>
              <w:t>2013</w:t>
            </w:r>
          </w:p>
        </w:tc>
        <w:tc>
          <w:tcPr>
            <w:tcW w:w="122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As Reclassified</w:t>
            </w:r>
          </w:p>
        </w:tc>
        <w:tc>
          <w:tcPr>
            <w:tcW w:w="26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Historical</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Mainline passenger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4,614</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Regional passenger</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Cargo</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r>
      <w:tr>
        <w:trPr>
          <w:trHeight w:val="237"/>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Total operating revenues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6,098</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Aircraft fuel and related taxes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2,200</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Salaries, wages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Regional expenses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Other rent and landing fees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346</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276</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Special items, net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r>
      <w:tr>
        <w:trPr>
          <w:trHeight w:val="237"/>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6,046</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Interest expense, net of capitalized interest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Total nonoperating expense,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Emergence From Chapter 11 and Merger with US Airways Group</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29, 2011 (the Petition Date), AMR, its principal subsidiary, American Airlines, Inc. (American), and certain of the Company's other direct and indirect domestic subsidiaries (collectively, the Debtors), filed voluntary petitions for relief (the Chapter 11 Cases) under Chapter 11 of the United States Bankruptcy Code (the Bankruptcy Code) in the United States Bankruptcy Court for the Southern District of New York (the Bankruptcy Court). On October 21, 2013, the Bankruptcy Court entered an order (the Confirmation Order) approving and confirming the Debtors' fourth amended joint plan of reorganization (as amended, the Plan).</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the Effective Date, the Debtors consummated their reorganization pursuant to the Plan, principally through the transactions contemplated by that certain Agreement and Plan of Merger (as amended, the Merger Agreement), dated as of February 13, 2013, by and among the Company, AMR Merger Sub and US Airways Group, pursuant to which Merger Sub merged with and into US Airways Group (the Merger), with US Airways Group surviving as a wholly-owned subsidiary of the Company following the Merger. Pursuant to the Merger Agreement, each share of common stock, par value $0.01 per share, of US Airways Group was converted into the right to receive one share of American Airlines Group common stock (AAG Common Stock), par value $0.01 per share.</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the Petition Date through the Effective Date, pursuant to automatic stay provisions under the Bankruptcy Code and orders granted by the Bankruptcy Court, all actions to enforce or otherwise effect repayment of liabilities preceding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8"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the extent the parties to such litigation have obtained relief from the permanent injunction.</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Plan of Reorganization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Plan implements the Merger and incorporates a compromise and settlement of certain intercreditor and intercompany claim issues.</w:t>
      </w:r>
    </w:p>
    <w:p>
      <w:pPr>
        <w:spacing w:after="0" w:line="1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Plan, all shares of AMR common stock outstanding prior to the Effective Date were canceled. AAG's Certificate of Incorporation, which was approved in connection with the Plan, authorizes the issuance of 1.75 billion new shares of AAG Common Stock, par value $0.01 per share, and 200 million shares of AAG Series A Preferred Stock, par value $0.01 per share. Of the authorized AAG Series A Preferred Stock, approximately 168 million were designated "Series A Convertible Preferred Stock," with a stated value $25.00 per share, and issued in accordance with the Plan. AAG Common Stock is listed on the NASDAQ Global Select Market under the symbol "AAL" and began trading on December 9, 2013. AAG Series A Preferred Stock was listed on the NASDAQ Global Select Market under the symbol "AALCP" from December 9, 2013 until its final mandatory conversion on April 8, 2014. In addition, pursuant to the Plan and the Merger Agreement, up to 40 million shares of AAG Common Stock were authorized for issuance under the 2013 Incentive Award Plan (the 2013 IAP).</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Plan contains the following provisions relating to the treatment of pre-petition claims against the Debtors and other holders of allowed interests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AMR:</w:t>
      </w:r>
    </w:p>
    <w:p>
      <w:pPr>
        <w:spacing w:after="0" w:line="15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secured claims against the Debtors have been reinstated;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allowed administrative claims, priority claims and convenience claims have been or will be paid in full in cash;</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holders of allowed pre-petition unsecured claims, holders of allowed interests and certain employees of AMR received or will receive 72% of AAG Common Stock (on a fully converted basis) authorized to be issued pursuant to the Plan and in connection with the Merger under the following provisions:</w:t>
      </w:r>
    </w:p>
    <w:p>
      <w:pPr>
        <w:spacing w:after="0" w:line="127" w:lineRule="exact"/>
        <w:rPr>
          <w:rFonts w:ascii="Arial" w:cs="Arial" w:eastAsia="Arial" w:hAnsi="Arial"/>
          <w:sz w:val="18"/>
          <w:szCs w:val="18"/>
          <w:color w:val="auto"/>
        </w:rPr>
      </w:pPr>
    </w:p>
    <w:p>
      <w:pPr>
        <w:ind w:left="1460" w:hanging="723"/>
        <w:spacing w:after="0" w:line="279" w:lineRule="auto"/>
        <w:tabs>
          <w:tab w:leader="none" w:pos="1055"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creditors holding general unsecured claims against American that are guaranteed by AAG and general unsecured claims against AAG that are guaranteed by American (Double-Dip Unsecured Claims) were treated the same under the Plan. Holders of Double-Dip Unsecured Claims received, at the Effective Date, their recovery in shares of AAG Series A Preferred Stock with a stated amount equal to the allowed amount of their claims, including post-petition interest at the non-default rate;</w:t>
      </w:r>
    </w:p>
    <w:p>
      <w:pPr>
        <w:spacing w:after="0" w:line="117" w:lineRule="exact"/>
        <w:rPr>
          <w:rFonts w:ascii="Arial" w:cs="Arial" w:eastAsia="Arial" w:hAnsi="Arial"/>
          <w:sz w:val="17"/>
          <w:szCs w:val="17"/>
          <w:color w:val="auto"/>
        </w:rPr>
      </w:pPr>
    </w:p>
    <w:p>
      <w:pPr>
        <w:ind w:left="1460" w:hanging="723"/>
        <w:spacing w:after="0" w:line="293" w:lineRule="auto"/>
        <w:tabs>
          <w:tab w:leader="none" w:pos="1055"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creditors holding Single-Dip Unsecured Claims were treated the same regardless of whether the claim was asserted against the AAG Debtors, the American Debtors, or other Debtors. As used herein, "Single-Dip Unsecured Claims" means the general unsecured claims against the Debtors that are not guaranteed by any other Debtor, other than the claims of the Debtors' labor unions representing mainline workers. Holders of Single-Dip Unsecured Claims received, at the Effective Date, a portion of their recovery in shares of AAG Series A Preferred Stock and a right, subject to the trading price of the Company's common stock during the 120-day period after the Effective Date, to receive their remaining recovery in shares of AAG Common Stock 120 days after the Effective Date;</w:t>
      </w:r>
    </w:p>
    <w:p>
      <w:pPr>
        <w:spacing w:after="0" w:line="110" w:lineRule="exact"/>
        <w:rPr>
          <w:rFonts w:ascii="Arial" w:cs="Arial" w:eastAsia="Arial" w:hAnsi="Arial"/>
          <w:sz w:val="16"/>
          <w:szCs w:val="16"/>
          <w:color w:val="auto"/>
        </w:rPr>
      </w:pPr>
    </w:p>
    <w:p>
      <w:pPr>
        <w:ind w:left="1460" w:hanging="723"/>
        <w:spacing w:after="0" w:line="255" w:lineRule="auto"/>
        <w:tabs>
          <w:tab w:leader="none" w:pos="1055" w:val="left"/>
        </w:tabs>
        <w:numPr>
          <w:ilvl w:val="1"/>
          <w:numId w:val="5"/>
        </w:numPr>
        <w:rPr>
          <w:rFonts w:ascii="Arial" w:cs="Arial" w:eastAsia="Arial" w:hAnsi="Arial"/>
          <w:sz w:val="18"/>
          <w:szCs w:val="18"/>
          <w:color w:val="auto"/>
        </w:rPr>
      </w:pPr>
      <w:r>
        <w:rPr>
          <w:rFonts w:ascii="Arial" w:cs="Arial" w:eastAsia="Arial" w:hAnsi="Arial"/>
          <w:sz w:val="18"/>
          <w:szCs w:val="18"/>
          <w:color w:val="auto"/>
        </w:rPr>
        <w:t>holders of certain labor-related deemed claims and certain non-management, non-union employees as specified in the Plan received, at the Effective Date, the right to receive an allocation of shares of AAG Common Stock representing 23.6% of the total number of shares of AAG Common Stock ultimately distributed to holders of pre-petition general unsecured creditors against the Debtors. On the Effective Date, pursuant to the Plan, an initial allocation of approximately 39 million shares of AAG Common Stock was made related to these labor and employee groups, of which approximately 27 million shares were distributed on the Effective Date and approximately 13 million shares of which were withheld in connection with the Company making a cash payment of approximately $300 million for certain required withholding taxes;</w:t>
      </w:r>
    </w:p>
    <w:p>
      <w:pPr>
        <w:spacing w:after="0" w:line="135" w:lineRule="exact"/>
        <w:rPr>
          <w:rFonts w:ascii="Arial" w:cs="Arial" w:eastAsia="Arial" w:hAnsi="Arial"/>
          <w:sz w:val="18"/>
          <w:szCs w:val="18"/>
          <w:color w:val="auto"/>
        </w:rPr>
      </w:pPr>
    </w:p>
    <w:p>
      <w:pPr>
        <w:ind w:left="1460" w:hanging="723"/>
        <w:spacing w:after="0" w:line="276" w:lineRule="auto"/>
        <w:tabs>
          <w:tab w:leader="none" w:pos="1055" w:val="left"/>
        </w:tabs>
        <w:numPr>
          <w:ilvl w:val="1"/>
          <w:numId w:val="5"/>
        </w:numPr>
        <w:rPr>
          <w:rFonts w:ascii="Arial" w:cs="Arial" w:eastAsia="Arial" w:hAnsi="Arial"/>
          <w:sz w:val="17"/>
          <w:szCs w:val="17"/>
          <w:color w:val="auto"/>
        </w:rPr>
      </w:pPr>
      <w:r>
        <w:rPr>
          <w:rFonts w:ascii="Arial" w:cs="Arial" w:eastAsia="Arial" w:hAnsi="Arial"/>
          <w:sz w:val="17"/>
          <w:szCs w:val="17"/>
          <w:color w:val="auto"/>
        </w:rPr>
        <w:t>holders of allowed interests in AMR (primarily holders of AMR common stock existing immediately prior to the Effective Date) received, at the Effective Date, a distribution of approximately 26 million shares of AAG Common Stock representing 3.5% of the total number of shares of AAG Common Stock contemplated for issuance pursuant to the Plan and will receive additional shares of AAG Common Stock if, among other considerations, the trading price of the Company's common stock at various points during the 120-day period after the Effective Date provides for a full recovery to claimholders and other allowed priority interests; and</w:t>
      </w:r>
    </w:p>
    <w:p>
      <w:pPr>
        <w:spacing w:after="0" w:line="118" w:lineRule="exact"/>
        <w:rPr>
          <w:rFonts w:ascii="Arial" w:cs="Arial" w:eastAsia="Arial" w:hAnsi="Arial"/>
          <w:sz w:val="17"/>
          <w:szCs w:val="17"/>
          <w:color w:val="auto"/>
        </w:rPr>
      </w:pPr>
    </w:p>
    <w:p>
      <w:pPr>
        <w:ind w:left="1460" w:right="20" w:hanging="723"/>
        <w:spacing w:after="0" w:line="277" w:lineRule="auto"/>
        <w:tabs>
          <w:tab w:leader="none" w:pos="1055" w:val="left"/>
        </w:tabs>
        <w:numPr>
          <w:ilvl w:val="1"/>
          <w:numId w:val="5"/>
        </w:numPr>
        <w:rPr>
          <w:rFonts w:ascii="Arial" w:cs="Arial" w:eastAsia="Arial" w:hAnsi="Arial"/>
          <w:sz w:val="18"/>
          <w:szCs w:val="18"/>
          <w:color w:val="auto"/>
        </w:rPr>
      </w:pPr>
      <w:r>
        <w:rPr>
          <w:rFonts w:ascii="Arial" w:cs="Arial" w:eastAsia="Arial" w:hAnsi="Arial"/>
          <w:sz w:val="18"/>
          <w:szCs w:val="18"/>
          <w:color w:val="auto"/>
        </w:rPr>
        <w:t>holders of disputed claims at the Effective Date, to the extent such disputed claims become allowed Single-Dip Unsecured Claims after the Effective Date, are eligible to receive shares of AAG Common Stock held in reserve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left="1060"/>
        <w:spacing w:after="0" w:line="306" w:lineRule="auto"/>
        <w:rPr>
          <w:sz w:val="20"/>
          <w:szCs w:val="20"/>
          <w:color w:val="auto"/>
        </w:rPr>
      </w:pPr>
      <w:r>
        <w:rPr>
          <w:rFonts w:ascii="Arial" w:cs="Arial" w:eastAsia="Arial" w:hAnsi="Arial"/>
          <w:sz w:val="18"/>
          <w:szCs w:val="18"/>
          <w:color w:val="auto"/>
        </w:rPr>
        <w:t>(Disputed Claims Reserve), beginning 120 days after the Effective Date. Disputed claimholders that subsequently become Single-Dip unsecured claimholders will receive, subject to the availability of sufficient shares in the Disputed Claims Reserve, the number of shares of AAG Common Stock that the disputed claimholder would have received had such claimholder been a Single-Dip unsecured claimholder as of the Effective Date.</w:t>
      </w:r>
    </w:p>
    <w:p>
      <w:pPr>
        <w:spacing w:after="0" w:line="1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Plan contemplated the distribution of up to 756 million shares of common stock, however this amount will be reduced by approximately 20 million shares because certain tax withholdings for employees were paid in cash as permitted under the Plan. In accordance with the Plan, the Company issued the remaining shares of AAG Common Stock over the 120-day distribution period, subject to a disputed claims reserve. In addition, pursuant to the Plan, approximately 197 million common shares were distributed to holders of outstanding shares of US Airways Group common stock.</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rulings of the Bankruptcy Court, the Plan has established a disputed claims reserve to hold shares of AAG Series A Preferred Stock and AAG Common Stock reserved for issuance to disputed claimholders that ultimately become allowed Single-Dip general unsecured claimholders after emergence. The shares provided for under the Plan are determined based upon a disputed claims reserve amount of approximately $755 million, representing the maximum amount of additional allowable Single-Dip claims under the Plan's provisions. Approximately 16 million shares of AAG Series A Preferred Stock are reserved for distribution to holders of disputed Single-Dip general unsecured claims whose claims ultimately become allowed. Approximately 18 million of additional new shares of AAG Common Stock were distributed into the reserve on April 10, 2014. As disputed claims are resolved, the claimants will receive distributions of shares from the reserve on the same basis as if such distributions had been made on or about the Effective Date. To the extent that any of the reserved shares remain undistributed upon resolution of the remaining disputed claims, such shares will not be returned to the Company but rather will be distributed by priority first, if necessary, to satisfy unsecured claims or labor-related obligations, and then to former AMR shareholders as of the Effective Date.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AAG is not required to distribute additional shares above the limits contemplated by the Plan described above.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from the Effective Date through March 31, 2014, the Company made the following cash disbursements under the Plan:</w:t>
      </w:r>
    </w:p>
    <w:p>
      <w:pPr>
        <w:spacing w:after="0" w:line="171" w:lineRule="exact"/>
        <w:rPr>
          <w:sz w:val="20"/>
          <w:szCs w:val="20"/>
          <w:color w:val="auto"/>
        </w:rPr>
      </w:pPr>
    </w:p>
    <w:p>
      <w:pPr>
        <w:ind w:left="660" w:right="2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$385 million in cash to the Pension plans in connection with missed contributions to the pension plans during Chapter 11 and interest and penalty interest thereon;</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$107 million in cash to holders in partial or full satisfaction of their claims, including to holders of administrative claims, and state and local priority tax claims;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$196 million in cure payments to holders of secured debt;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$380 million for payroll taxes associated with equity distributions to employees.</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Several parties have filed appeals seeking reconsideration of the Confirmation Order. Refer to Note 14 for more information.</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noted above, the reconciliation process with respect to the remaining claims will take considerable time post-emergence. The Company's estimates of the amounts of disputed claims that will ultimately become allowed Single-Dip General Unsecured Claims are included in Mandatorily convertible preferred stock and other bankruptcy settlement obligations on the Company's condensed consolidated balance sheet as of March 31, 2014. As these claims are resolved, or where better information becomes available and is evaluated, AAG will make adjustments to the liabilities recorded on the Company's condensed consolidated financial statements as appropriate. Any such adjustments could be material to the Company's financial position or results of operations in any given period.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Availability and Utilization of Net Operating Losses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Upon emergence from bankruptcy, the Debtors experienced an "ownership change" as defined in Section 382 of the Internal Revenue Code which could potentially limit the ability to utilize certain tax attributes including the Debtors’ substantial net operating losses (NOLs). The general limitation rules for a debtor in a bankruptcy case are liberalized where the ownership change occurs upon emergence from bankruptcy. While the Debtors anticipate taking advantage of certain special rules for federal income tax purposes that would permit approximately $9.0 billion of the federal NOL Carryforwards to be utilized without regard to the annual limitation generally imposed by Section 382, there can be no assurance that these special rules will apply.</w:t>
      </w:r>
    </w:p>
    <w:p>
      <w:pPr>
        <w:spacing w:after="0" w:line="1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Moreover, an ownership change subsequent to the Debtors’ emergence from bankruptcy may further limit or effectively eliminate the ability to utilize the Debtors’ NOL Carryforwards and other tax attributes. To reduce the risk of a potential adverse effect on the Debtors’ ability to utilize the NOL Carryforwards, AAG's Certificate of Incorporation contains transfer restrictions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applicable to certain substantial shareholders. Although the purpose of these transfer restrictions is to prevent an ownership change from occurring, there can be no assurance that an ownership change will not occur even with these transfer restrictions. A copy of AAG's Certificate of Incorporation was attached as Exhibit 3.1 to a Current Report on Form 8-K filed by the Company with the Securities and Exchange Commission on December 9, 2013.</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Reorganization Items, Net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in the Chapter 11 Cases. The following table summarizes the components included in reorganization items, net on the condensed consolidated statements of operations for the three months ended March 31, 2013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Aircraft and facility financing renegotiations and rejections </w:t>
            </w:r>
            <w:r>
              <w:rPr>
                <w:rFonts w:ascii="Arial" w:cs="Arial" w:eastAsia="Arial" w:hAnsi="Arial"/>
                <w:sz w:val="25"/>
                <w:szCs w:val="25"/>
                <w:color w:val="auto"/>
                <w:vertAlign w:val="superscript"/>
              </w:rPr>
              <w:t>(1), (2)</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7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9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Total reorganization items, net</w:t>
            </w: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r>
      <w:tr>
        <w:trPr>
          <w:trHeight w:val="20"/>
        </w:trPr>
        <w:tc>
          <w:tcPr>
            <w:tcW w:w="9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hanging="332"/>
        <w:spacing w:after="0" w:line="248" w:lineRule="auto"/>
        <w:tabs>
          <w:tab w:leader="none" w:pos="34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and the Debtors believed that it was probable the motion would be approved, and there was sufficient information to estimate the claim.</w:t>
      </w:r>
    </w:p>
    <w:p>
      <w:pPr>
        <w:spacing w:after="0" w:line="1" w:lineRule="exact"/>
        <w:rPr>
          <w:rFonts w:ascii="Arial" w:cs="Arial" w:eastAsia="Arial" w:hAnsi="Arial"/>
          <w:sz w:val="24"/>
          <w:szCs w:val="24"/>
          <w:color w:val="auto"/>
          <w:vertAlign w:val="superscript"/>
        </w:rPr>
      </w:pPr>
    </w:p>
    <w:p>
      <w:pPr>
        <w:jc w:val="both"/>
        <w:ind w:left="340" w:hanging="332"/>
        <w:spacing w:after="0" w:line="221"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Pursuant to the Plan, the Debtors agreed to allow certain post-petition unsecured claims on obligations. As a result, during the three months ended March 31, 2013, the Company recorded reorganization charges to adjust estimated allowed claim amounts previously recorded on rejected special facility revenue bonds of $127 million, which are included in the table above.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Mandatorily Convertible Preferred Stock and Other Bankruptcy Settlement Obligations</w:t>
      </w:r>
    </w:p>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components of Mandatorily convertible preferred stock and other bankruptcy settlement obligations on the condensed consolidated balance sheets are as follows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March 31, 2014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ind w:right="290"/>
              <w:spacing w:after="0"/>
              <w:rPr>
                <w:sz w:val="20"/>
                <w:szCs w:val="20"/>
                <w:color w:val="auto"/>
              </w:rPr>
            </w:pPr>
            <w:r>
              <w:rPr>
                <w:rFonts w:ascii="Arial" w:cs="Arial" w:eastAsia="Arial" w:hAnsi="Arial"/>
                <w:sz w:val="18"/>
                <w:szCs w:val="18"/>
                <w:color w:val="auto"/>
                <w:w w:val="92"/>
              </w:rPr>
              <w:t>December 31, 2013</w:t>
            </w:r>
          </w:p>
        </w:tc>
      </w:tr>
      <w:tr>
        <w:trPr>
          <w:trHeight w:val="27"/>
        </w:trPr>
        <w:tc>
          <w:tcPr>
            <w:tcW w:w="72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AAG Series A Preferred Stock</w:t>
            </w:r>
          </w:p>
        </w:tc>
        <w:tc>
          <w:tcPr>
            <w:tcW w:w="1540" w:type="dxa"/>
            <w:vAlign w:val="bottom"/>
          </w:tcPr>
          <w:p>
            <w:pPr>
              <w:jc w:val="right"/>
              <w:ind w:right="133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3,833</w:t>
            </w:r>
          </w:p>
        </w:tc>
      </w:tr>
      <w:tr>
        <w:trPr>
          <w:trHeight w:val="27"/>
        </w:trPr>
        <w:tc>
          <w:tcPr>
            <w:tcW w:w="7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Single-Dip equity obligations</w:t>
            </w:r>
          </w:p>
        </w:tc>
        <w:tc>
          <w:tcPr>
            <w:tcW w:w="1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Labor-related deemed claim</w:t>
            </w:r>
          </w:p>
        </w:tc>
        <w:tc>
          <w:tcPr>
            <w:tcW w:w="15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849</w:t>
            </w:r>
          </w:p>
        </w:tc>
      </w:tr>
      <w:tr>
        <w:trPr>
          <w:trHeight w:val="27"/>
        </w:trPr>
        <w:tc>
          <w:tcPr>
            <w:tcW w:w="72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2,322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5,928</w:t>
            </w:r>
          </w:p>
        </w:tc>
      </w:tr>
      <w:tr>
        <w:trPr>
          <w:trHeight w:val="20"/>
        </w:trPr>
        <w:tc>
          <w:tcPr>
            <w:tcW w:w="7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AAG Series A Preferred Stock, while outstanding, voted and participated in accordance with the terms of the underlying Certificate of Designation. One quarter of the shares of AAG Series A Preferred Stock initially issued was mandatorily convertible on each of the 30th, 60th, 90th and 120th days after the Effective Date, subject to additional voluntary conversions. The initial stated value of each share of AAG Series A Preferred Stock is $25.00 and accrues dividends at 6.25% per annum, calculated daily, while outstanding. Additionally, AAG Series A Preferred Stock converts to AAG Common Stock based upon the volume weighted average price of the shares of AAG Common Stock on the five trading days immediately preceding the conversion date, at a 3.5% fixed discount, subject to a conversion price floor of $10.875 per share and a conversion price cap of $33.8080 per share, below or above which the conversion rate remains fixed. AAG Series A Preferred Stock outstanding at March 31, 2014 is included within the "Mandatorily convertible preferred stock and other bankruptcy settlement obligations" line on the Company's condensed consolidated balance sheets. During the three months ended March 31, 2014, 140 million shares of AAG Series A Preferred Stock were converted into 118 million shares of AAG Common Stock in accordance with the Plan. The AAG Series A Preferred Stock obligation was reduced by approximately $3.5 billion, offset in part by an increase in the number of shares of AAG Common Stock issued and expected to be issued to settle the obligation resulting from an increase in the price of AAG's Common Stock exceeding the conversion price cap. As of April 8, 2014, all shares of AAG Series A Preferred Stock had been converted into an aggregate of 141 million shares of AAG Common Stock.</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Single-Dip equity obligations, while outstanding, do not vote or participate in accordance with the terms of the Plan. These equity contract obligations, representing the amount of total Single-Dip unsecured creditor obligations not satisfied through the issuance of AAG Series A Preferred Stock at the Effective Date, represent an unconditional obligation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to transfer a variable number of shares based predominantly on a fixed monetary amount known at inception, and, as such, are not treated as equity, but rather as liabilities until the 120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emergence. At the 120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emergence, the Company will issue a variable amount of AAG Common Stock necessary to satisfy the obligation amount at emergence, plus accrued dividends of 12% per annum, calculated daily, through the 120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emergence, based on the volume weighted average price of the shares of AAG Common Stock, at a 3.5% discount, as specified in the Plan and subject to there being a sufficient number of shares remaining for issuance to unsecured creditors under the Plan.</w:t>
      </w:r>
    </w:p>
    <w:p>
      <w:pPr>
        <w:spacing w:after="0" w:line="15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exchange for employees' contributions to the successful reorganization of the Company, including agreeing to reductions in pay and benefits, the Company agreed in the Plan to provide each employee group a deemed claim which was used to provide a distribution of a portion of the equity of the reorganized entity to those employees. Each employee group received a deemed claim amount based upon a fixed percentage of the distributions to be made to general unsecured claimholders. The fair value based on the expected number of shares to be distributed to satisfy this deemed claim, as adjusted, was approximately 1.5 billion. From the Effective Date through March 31, 2014, the Company has made distributions of $680 million in AAG Common Stock and paid approximately $380 million in cash to cover payroll taxes related to the equity distributions. As of March 31, 2014, the remaining liability to certain AMR labor groups and employees of $474 million is based upon the estimated fair value of the shares expected to be issued in satisfaction of such obligation, measured as if the obligation were settled using the trading price of AAG Common Stock at March 31, 2014. Increases in the trading price of AAG Common Stock after March 31, 2014 could cause a decrease in the fair value measurement of the remaining obligation, and vice-versa. The Company will record this obligation at fair value primarily through the 120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after emergence, at which time the obligation will be materially settled.</w:t>
      </w:r>
    </w:p>
    <w:p>
      <w:pPr>
        <w:spacing w:after="0" w:line="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March 31, 2014, the Company reduced the Mandatorily convertible preferred stock and other bankruptcy settlement obligations by approximately $41 million, which is included in Special items, net on the condensed consolidated statements of operations, to reflect the estimated fair value of the shares expected to be issued in satisfaction of the outstanding Mandatorily convertible preferred stock and other bankruptcy settlement obligations, measured as if the obligations were settled using the trading price of AAG Common Stock at March 31, 2014.</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8, 2014 the Company satisfied all of the AAG Series A Preferred Stock obligations, the Single-Dip equity obligations and the majority of the labor related deemed claim. After the April 8, 2014 distribution date, the Company had an obligation recorded related to the accrued Disputed Claims Reserve of approximately $335 million, which includes an amount expected to be issued to labor assuming the fully accrued Disputed Claims Reserve is allowed by the court and distributed. Allowed claims will receive 30.7553 shares, subject to reduction for expenses of the Disputed Claims Reserve, including tax liabilities, for each $1,000 of allowed claims. Accordingly, increases in the trading price of AAG Common Stock after March 31, 2014 could cause an increase in the value of the Disputed Claims Reserve, and vice-versa.</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Slot Divestiture</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a stipulation for the Merger to be approved by the Department of Justice (DOJ), the Company was required to divest certain slots at Ronald Reagan Washington National Airport (DCA). As of December 31, 2013, the DCA slots to be divested were recorded as assets held for sale and included in Prepaid expenses and other on the consolidated balance sheet. During the three months ended March 31, 2014, the Company divested the required DCA slots and received $307 million in cash as well as 24 slots at John F. Kennedy Airport. The Company recognized a gain of $309 million related to the divestiture, which has been included in Special items, net in the condensed consolidated statement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Special Items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items, net on the condensed consolidated statements of operations is as follows (in millions):</w:t>
      </w:r>
    </w:p>
    <w:p>
      <w:pPr>
        <w:spacing w:after="0" w:line="333" w:lineRule="exact"/>
        <w:rPr>
          <w:sz w:val="20"/>
          <w:szCs w:val="20"/>
          <w:color w:val="auto"/>
        </w:rPr>
      </w:pPr>
    </w:p>
    <w:p>
      <w:pPr>
        <w:jc w:val="center"/>
        <w:ind w:left="4080"/>
        <w:spacing w:after="0"/>
        <w:rPr>
          <w:sz w:val="20"/>
          <w:szCs w:val="20"/>
          <w:color w:val="auto"/>
        </w:rPr>
      </w:pPr>
      <w:r>
        <w:rPr>
          <w:rFonts w:ascii="Arial" w:cs="Arial" w:eastAsia="Arial" w:hAnsi="Arial"/>
          <w:sz w:val="18"/>
          <w:szCs w:val="18"/>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1655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57" w:lineRule="exact"/>
        <w:rPr>
          <w:sz w:val="20"/>
          <w:szCs w:val="20"/>
          <w:color w:val="auto"/>
        </w:rPr>
      </w:pPr>
    </w:p>
    <w:p>
      <w:pPr>
        <w:ind w:left="6900"/>
        <w:spacing w:after="0"/>
        <w:tabs>
          <w:tab w:leader="none" w:pos="822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73722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7225" cy="18034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6440" w:val="left"/>
          <w:tab w:leader="none" w:pos="7260" w:val="left"/>
          <w:tab w:leader="none" w:pos="7820" w:val="left"/>
          <w:tab w:leader="none" w:pos="8780" w:val="left"/>
        </w:tabs>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5"/>
          <w:szCs w:val="25"/>
          <w:color w:val="auto"/>
          <w:vertAlign w:val="superscript"/>
        </w:rPr>
        <w:t>(a)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(137)</w:t>
        <w:tab/>
        <w:t>$</w:t>
      </w:r>
      <w:r>
        <w:rPr>
          <w:sz w:val="20"/>
          <w:szCs w:val="20"/>
          <w:color w:val="auto"/>
        </w:rPr>
        <w:tab/>
      </w:r>
      <w:r>
        <w:rPr>
          <w:rFonts w:ascii="Arial" w:cs="Arial" w:eastAsia="Arial" w:hAnsi="Arial"/>
          <w:sz w:val="16"/>
          <w:szCs w:val="16"/>
          <w:color w:val="auto"/>
        </w:rPr>
        <w:t>71</w:t>
      </w:r>
    </w:p>
    <w:p>
      <w:pPr>
        <w:spacing w:after="0" w:line="20" w:lineRule="exact"/>
        <w:rPr>
          <w:sz w:val="20"/>
          <w:szCs w:val="20"/>
          <w:color w:val="auto"/>
        </w:rPr>
      </w:pPr>
    </w:p>
    <w:p>
      <w:pPr>
        <w:ind w:left="520" w:hanging="512"/>
        <w:spacing w:after="0" w:line="250" w:lineRule="auto"/>
        <w:tabs>
          <w:tab w:leader="none" w:pos="196"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The 2014 first quarter mainline operating special items totaled a net credit of $137 million, which principally included a $309 million gain on the sale of slots at DCA and a net $32 million credit for bankruptcy related items primarily reflecting fair value adjustments for bankruptcy settlement obligations. These special credits were offset in part by $142 million of cash merger integration expenses including amounts related to the pilot memorandum of understanding, information technology, professional fees, severance, re-branding of aircraft and airport facilities, relocation and training as well as $60 million of non-cash compensation expense for merger equity awards.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2013 first quarter mainline operating special items included $28 million in merger related expenses and a $43 million charge for workers' compensation claims.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additional amounts are also included in the condensed consolidated statements of operations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p>
        </w:tc>
        <w:tc>
          <w:tcPr>
            <w:tcW w:w="2580" w:type="dxa"/>
            <w:vAlign w:val="bottom"/>
            <w:gridSpan w:val="5"/>
          </w:tcPr>
          <w:p>
            <w:pPr>
              <w:jc w:val="right"/>
              <w:ind w:right="30"/>
              <w:spacing w:after="0"/>
              <w:rPr>
                <w:sz w:val="20"/>
                <w:szCs w:val="20"/>
                <w:color w:val="auto"/>
              </w:rPr>
            </w:pPr>
            <w:r>
              <w:rPr>
                <w:rFonts w:ascii="Arial" w:cs="Arial" w:eastAsia="Arial" w:hAnsi="Arial"/>
                <w:sz w:val="18"/>
                <w:szCs w:val="18"/>
                <w:color w:val="auto"/>
                <w:w w:val="96"/>
              </w:rPr>
              <w:t>Three Months Ended March 31,</w:t>
            </w:r>
          </w:p>
        </w:tc>
      </w:tr>
      <w:tr>
        <w:trPr>
          <w:trHeight w:val="27"/>
        </w:trPr>
        <w:tc>
          <w:tcPr>
            <w:tcW w:w="6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27"/>
        </w:trPr>
        <w:tc>
          <w:tcPr>
            <w:tcW w:w="64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Regional operating special items, net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64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25"/>
                <w:szCs w:val="25"/>
                <w:color w:val="auto"/>
                <w:vertAlign w:val="superscript"/>
              </w:rPr>
              <w:t>(b)</w:t>
            </w:r>
          </w:p>
        </w:tc>
        <w:tc>
          <w:tcPr>
            <w:tcW w:w="9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0"/>
        </w:trPr>
        <w:tc>
          <w:tcPr>
            <w:tcW w:w="6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Reorganization items, net </w:t>
            </w:r>
            <w:r>
              <w:rPr>
                <w:rFonts w:ascii="Arial" w:cs="Arial" w:eastAsia="Arial" w:hAnsi="Arial"/>
                <w:sz w:val="25"/>
                <w:szCs w:val="25"/>
                <w:color w:val="auto"/>
                <w:vertAlign w:val="superscript"/>
              </w:rPr>
              <w:t>(c)</w:t>
            </w:r>
          </w:p>
        </w:tc>
        <w:tc>
          <w:tcPr>
            <w:tcW w:w="9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320"/>
        </w:trPr>
        <w:tc>
          <w:tcPr>
            <w:tcW w:w="6460" w:type="dxa"/>
            <w:vAlign w:val="bottom"/>
          </w:tcPr>
          <w:p>
            <w:pPr>
              <w:ind w:left="4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5"/>
                <w:szCs w:val="25"/>
                <w:color w:val="auto"/>
                <w:vertAlign w:val="superscript"/>
              </w:rPr>
              <w:t>(d)</w:t>
            </w:r>
          </w:p>
        </w:tc>
        <w:tc>
          <w:tcPr>
            <w:tcW w:w="9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bl>
    <w:p>
      <w:pPr>
        <w:ind w:left="540" w:right="20" w:hanging="532"/>
        <w:spacing w:after="0" w:line="211" w:lineRule="auto"/>
        <w:tabs>
          <w:tab w:leader="none" w:pos="216"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2014 first quarter nonoperating special items of $47 million were principally due to non-cash interest accretion of $31 million on the bankruptcy settlement obligations.</w:t>
      </w:r>
    </w:p>
    <w:p>
      <w:pPr>
        <w:spacing w:after="0" w:line="4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2013 first quarter nonoperating special items consisted of interest charges to recognize post-petition interest expense on unsecured obligations pursuant to the Plan.</w:t>
      </w:r>
    </w:p>
    <w:p>
      <w:pPr>
        <w:spacing w:after="0" w:line="8" w:lineRule="exact"/>
        <w:rPr>
          <w:sz w:val="20"/>
          <w:szCs w:val="20"/>
          <w:color w:val="auto"/>
        </w:rPr>
      </w:pPr>
    </w:p>
    <w:p>
      <w:pPr>
        <w:ind w:left="520" w:hanging="512"/>
        <w:spacing w:after="0" w:line="227" w:lineRule="auto"/>
        <w:tabs>
          <w:tab w:leader="none" w:pos="196"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In the 2013 first quarter, the Company recognized reorganization expenses as a result of the filing of the Chapter 11 Cases. These amounts consisted primarily of estimated allowed claim amounts and professional fees.</w:t>
      </w:r>
    </w:p>
    <w:p>
      <w:pPr>
        <w:ind w:left="220" w:hanging="212"/>
        <w:spacing w:after="0" w:line="234" w:lineRule="auto"/>
        <w:tabs>
          <w:tab w:leader="none" w:pos="22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The 2014 first quarter included a special $8 million non-cash deferred income tax provision related to certain indefinite-lived intangible assets.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(Loss) Per Share</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the Plan and the Merger Agreement, holders of AMR common stock formerly traded under the symbol “AAMRQ” received shares of AAG Common Stock principally over the 120-day distribution period following the Effective Date. In accordance with GAAP, the first quarter 2013 weighted average shares and loss per share calculation have been adjusted to retrospectively reflect these distributions which were made at the rate of approximately 0.7441 shares of AAG Common Stock per share of AAMRQ. Former holders of AAMRQ shares as of the Effective Date may in the future receive additional distributions of AAG Common Stock dependent upon the ultimate distribution of shares of AAG Common Stock to holders of disputed claims. Thus, the shares and related earnings per share (EPS) calculation prior to the Effective Date may change in the future to reflect additional retrospective adjustments for future AAG Common Stock distributions to former holders of AAMRQ shares.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March 31, 2014, approximately 147 million shares remain to be distributed pursuant to the Plan upon the conversion of AAG Series A Preferred Stock and to satisfy other bankruptcy settlement obligations related to allowed unsecured claims, including disputed claims, labor-related deemed claims and former holders of AAMRQ shares. However, the Company remitted cash for employee withholding taxes in lieu of distributing approximately 4 million shares for the final mandatory distribution to employees on April 8, 2014. Although undistributed shares are not yet issued and outstanding, all conditions of distribution except the passage of time have been met and such shares are considered issued and outstanding for purposes of the Company's basic and diluted EPS calculation.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computation of basic and diluted earnings (loss) per share (in millions, except share and per share amounts in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thousands):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64"/>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4"/>
          </w:tcPr>
          <w:p>
            <w:pPr>
              <w:jc w:val="right"/>
              <w:ind w:right="390"/>
              <w:spacing w:after="0"/>
              <w:rPr>
                <w:sz w:val="20"/>
                <w:szCs w:val="20"/>
                <w:color w:val="auto"/>
              </w:rPr>
            </w:pPr>
            <w:r>
              <w:rPr>
                <w:rFonts w:ascii="Arial" w:cs="Arial" w:eastAsia="Arial" w:hAnsi="Arial"/>
                <w:sz w:val="18"/>
                <w:szCs w:val="18"/>
                <w:color w:val="auto"/>
                <w:w w:val="98"/>
              </w:rPr>
              <w:t>Three Months Ended March 31,</w:t>
            </w:r>
          </w:p>
        </w:tc>
      </w:tr>
      <w:tr>
        <w:trPr>
          <w:trHeight w:val="27"/>
        </w:trPr>
        <w:tc>
          <w:tcPr>
            <w:tcW w:w="8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2013</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(in thousands)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723,971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249,491</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Basic EPS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67"/>
        </w:trPr>
        <w:tc>
          <w:tcPr>
            <w:tcW w:w="8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78"/>
        </w:trPr>
        <w:tc>
          <w:tcPr>
            <w:tcW w:w="8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Diluted EPS: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Change in fair value of conversion feature on 7.25% convertible senior notes </w:t>
            </w:r>
            <w:r>
              <w:rPr>
                <w:rFonts w:ascii="Arial" w:cs="Arial" w:eastAsia="Arial" w:hAnsi="Arial"/>
                <w:sz w:val="25"/>
                <w:szCs w:val="25"/>
                <w:color w:val="auto"/>
                <w:vertAlign w:val="superscript"/>
              </w:rPr>
              <w:t>(a)</w:t>
            </w: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for purposes of computing diluted EPS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Share computation for diluted EPS (in thousands):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723,971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249,491</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Dilutive effect of stock awards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Assumed conversion of 7.25% convertible senior notes </w:t>
            </w:r>
            <w:r>
              <w:rPr>
                <w:rFonts w:ascii="Arial" w:cs="Arial" w:eastAsia="Arial" w:hAnsi="Arial"/>
                <w:sz w:val="25"/>
                <w:szCs w:val="25"/>
                <w:color w:val="auto"/>
                <w:vertAlign w:val="superscript"/>
              </w:rPr>
              <w:t>(a)</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Weighted average common shares outstanding - as adjusted</w:t>
            </w:r>
          </w:p>
        </w:tc>
        <w:tc>
          <w:tcPr>
            <w:tcW w:w="3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741,335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249,491</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 EPS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following were excluded from the computation of diluted EPS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Stock options, SARs and RSUs because inclusion would be antidilutive</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20,010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Convertible notes because inclusion would be antidilutive</w:t>
            </w:r>
          </w:p>
        </w:tc>
        <w:tc>
          <w:tcPr>
            <w:tcW w:w="3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34,581</w:t>
            </w:r>
          </w:p>
        </w:tc>
      </w:tr>
      <w:tr>
        <w:trPr>
          <w:trHeight w:val="27"/>
        </w:trPr>
        <w:tc>
          <w:tcPr>
            <w:tcW w:w="8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jc w:val="both"/>
        <w:ind w:left="540" w:hanging="526"/>
        <w:spacing w:after="0" w:line="297" w:lineRule="auto"/>
        <w:rPr>
          <w:sz w:val="20"/>
          <w:szCs w:val="20"/>
          <w:color w:val="auto"/>
        </w:rPr>
      </w:pPr>
      <w:r>
        <w:rPr>
          <w:rFonts w:ascii="Arial" w:cs="Arial" w:eastAsia="Arial" w:hAnsi="Arial"/>
          <w:sz w:val="16"/>
          <w:szCs w:val="16"/>
          <w:color w:val="auto"/>
        </w:rPr>
        <w:t>(a)In March 2014, the Company notified the holders of US Airways Group's 7.25% convertible senior notes that it has elected to settle all future conversions solely in cash instead of shares of AAG Common Stock in accordance with the related indenture. Thus, the diluted shares include the weighted average impact of the 7.25% convertible senior notes only for the period from January 1, 2014 to March 12, 2014. In addition, under GAAP, the Company must adjust the numerator for purposes of calculating diluted earnings per share by the change in fair value of the conversion feature from March 12, 2014 to March 31, 2014, which increased GAAP net income for purposes of computing diluted earnings per share by $5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7. Debt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color w:val="auto"/>
              </w:rPr>
              <w:t>March 31,</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ind w:right="57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w w:val="89"/>
              </w:rPr>
              <w:t>December 31, 2013</w:t>
            </w:r>
          </w:p>
        </w:tc>
      </w:tr>
      <w:tr>
        <w:trPr>
          <w:trHeight w:val="33"/>
        </w:trPr>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4"/>
        </w:trPr>
        <w:tc>
          <w:tcPr>
            <w:tcW w:w="8120" w:type="dxa"/>
            <w:vAlign w:val="bottom"/>
            <w:gridSpan w:val="4"/>
            <w:shd w:val="clear" w:color="auto" w:fill="CCEEFF"/>
          </w:tcPr>
          <w:p>
            <w:pPr>
              <w:ind w:left="40"/>
              <w:spacing w:after="0"/>
              <w:rPr>
                <w:sz w:val="20"/>
                <w:szCs w:val="20"/>
                <w:color w:val="auto"/>
              </w:rPr>
            </w:pPr>
            <w:r>
              <w:rPr>
                <w:rFonts w:ascii="Arial" w:cs="Arial" w:eastAsia="Arial" w:hAnsi="Arial"/>
                <w:sz w:val="16"/>
                <w:szCs w:val="16"/>
                <w:i w:val="1"/>
                <w:iCs w:val="1"/>
                <w:color w:val="auto"/>
              </w:rPr>
              <w:t>Secured</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60"/>
        </w:trPr>
        <w:tc>
          <w:tcPr>
            <w:tcW w:w="2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6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189"/>
        </w:trPr>
        <w:tc>
          <w:tcPr>
            <w:tcW w:w="280" w:type="dxa"/>
            <w:vAlign w:val="bottom"/>
          </w:tcPr>
          <w:p>
            <w:pPr>
              <w:spacing w:after="0"/>
              <w:rPr>
                <w:sz w:val="16"/>
                <w:szCs w:val="16"/>
                <w:color w:val="auto"/>
              </w:rPr>
            </w:pPr>
          </w:p>
        </w:tc>
        <w:tc>
          <w:tcPr>
            <w:tcW w:w="7840" w:type="dxa"/>
            <w:vAlign w:val="bottom"/>
            <w:gridSpan w:val="3"/>
          </w:tcPr>
          <w:p>
            <w:pPr>
              <w:spacing w:after="0"/>
              <w:rPr>
                <w:sz w:val="20"/>
                <w:szCs w:val="20"/>
                <w:color w:val="auto"/>
              </w:rPr>
            </w:pPr>
            <w:r>
              <w:rPr>
                <w:rFonts w:ascii="Arial" w:cs="Arial" w:eastAsia="Arial" w:hAnsi="Arial"/>
                <w:sz w:val="16"/>
                <w:szCs w:val="16"/>
                <w:color w:val="auto"/>
              </w:rPr>
              <w:t>American</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6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w w:val="94"/>
              </w:rPr>
              <w:t>Secured indebtedness, fixed and variable interest rates ranging from 1.43% to 8.10%, maturing from 2014 to 2023</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2,140</w:t>
            </w:r>
          </w:p>
        </w:tc>
      </w:tr>
      <w:tr>
        <w:trPr>
          <w:trHeight w:val="220"/>
        </w:trPr>
        <w:tc>
          <w:tcPr>
            <w:tcW w:w="280" w:type="dxa"/>
            <w:vAlign w:val="bottom"/>
          </w:tcPr>
          <w:p>
            <w:pPr>
              <w:spacing w:after="0"/>
              <w:rPr>
                <w:sz w:val="19"/>
                <w:szCs w:val="19"/>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w w:val="93"/>
              </w:rPr>
              <w:t>Aircraft enhanced equipment trust certificates (EETCs), fixed interest rates ranging from 4.00% to 7.00%, maturing</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6"/>
        </w:trPr>
        <w:tc>
          <w:tcPr>
            <w:tcW w:w="280" w:type="dxa"/>
            <w:vAlign w:val="bottom"/>
          </w:tcPr>
          <w:p>
            <w:pPr>
              <w:spacing w:after="0"/>
              <w:rPr>
                <w:sz w:val="17"/>
                <w:szCs w:val="17"/>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from 2017 to 2025</w:t>
            </w:r>
          </w:p>
        </w:tc>
        <w:tc>
          <w:tcPr>
            <w:tcW w:w="28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3,415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3,516</w:t>
            </w:r>
          </w:p>
        </w:tc>
      </w:tr>
      <w:tr>
        <w:trPr>
          <w:trHeight w:val="33"/>
        </w:trPr>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w w:val="97"/>
              </w:rPr>
              <w:t>Special facility revenue bonds, fixed interest rates ranging from 7.125% to 8.50%, maturing from 2016 to 2031</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1,313</w:t>
            </w:r>
          </w:p>
        </w:tc>
      </w:tr>
      <w:tr>
        <w:trPr>
          <w:trHeight w:val="237"/>
        </w:trPr>
        <w:tc>
          <w:tcPr>
            <w:tcW w:w="280" w:type="dxa"/>
            <w:vAlign w:val="bottom"/>
          </w:tcPr>
          <w:p>
            <w:pPr>
              <w:spacing w:after="0"/>
              <w:rPr>
                <w:sz w:val="20"/>
                <w:szCs w:val="20"/>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7.50% senior secured notes, interest only payments until due in 2016</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33"/>
        </w:trPr>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Senior secured credit facility, variable interest rate of 3.75%, installments through 2019</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1,891</w:t>
            </w:r>
          </w:p>
        </w:tc>
      </w:tr>
      <w:tr>
        <w:trPr>
          <w:trHeight w:val="237"/>
        </w:trPr>
        <w:tc>
          <w:tcPr>
            <w:tcW w:w="280" w:type="dxa"/>
            <w:vAlign w:val="bottom"/>
          </w:tcPr>
          <w:p>
            <w:pPr>
              <w:spacing w:after="0"/>
              <w:rPr>
                <w:sz w:val="20"/>
                <w:szCs w:val="20"/>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AAdvantage Miles advance purchase, effective rate of 8.30%, installments through 2017</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611</w:t>
            </w:r>
          </w:p>
        </w:tc>
      </w:tr>
      <w:tr>
        <w:trPr>
          <w:trHeight w:val="33"/>
        </w:trPr>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Other secured obligations, fixed interest rates ranging from 5.20% to 12.20%, maturing from 2014 to 2035</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w:t>
            </w:r>
          </w:p>
        </w:tc>
      </w:tr>
      <w:tr>
        <w:trPr>
          <w:trHeight w:val="217"/>
        </w:trPr>
        <w:tc>
          <w:tcPr>
            <w:tcW w:w="280" w:type="dxa"/>
            <w:vAlign w:val="bottom"/>
          </w:tcPr>
          <w:p>
            <w:pPr>
              <w:spacing w:after="0"/>
              <w:rPr>
                <w:sz w:val="18"/>
                <w:szCs w:val="18"/>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Total American secured debt</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10,580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10,851</w:t>
            </w:r>
          </w:p>
        </w:tc>
      </w:tr>
      <w:tr>
        <w:trPr>
          <w:trHeight w:val="33"/>
        </w:trPr>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69"/>
        </w:trPr>
        <w:tc>
          <w:tcPr>
            <w:tcW w:w="28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color w:val="auto"/>
              </w:rPr>
              <w:t>US Airways Group</w:t>
            </w: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75"/>
        </w:trPr>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66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40" w:type="dxa"/>
            <w:vAlign w:val="bottom"/>
            <w:tcBorders>
              <w:top w:val="single" w:sz="8" w:color="CCEEFF"/>
            </w:tcBorders>
            <w:shd w:val="clear" w:color="auto" w:fill="CCEEFF"/>
          </w:tcPr>
          <w:p>
            <w:pPr>
              <w:spacing w:after="0"/>
              <w:rPr>
                <w:sz w:val="6"/>
                <w:szCs w:val="6"/>
                <w:color w:val="auto"/>
              </w:rPr>
            </w:pPr>
          </w:p>
        </w:tc>
      </w:tr>
      <w:tr>
        <w:trPr>
          <w:trHeight w:val="237"/>
        </w:trPr>
        <w:tc>
          <w:tcPr>
            <w:tcW w:w="280" w:type="dxa"/>
            <w:vAlign w:val="bottom"/>
          </w:tcPr>
          <w:p>
            <w:pPr>
              <w:spacing w:after="0"/>
              <w:rPr>
                <w:sz w:val="20"/>
                <w:szCs w:val="20"/>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2013 Citicorp Credit Facility tranche B-1, variable interest rate of 3.50%, installments through 2019</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33"/>
        </w:trPr>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2013 Citicorp Credit Facility tranche B-2, variable interest rate of 3.00%, installments through 2016</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r>
      <w:tr>
        <w:trPr>
          <w:trHeight w:val="220"/>
        </w:trPr>
        <w:tc>
          <w:tcPr>
            <w:tcW w:w="280" w:type="dxa"/>
            <w:vAlign w:val="bottom"/>
          </w:tcPr>
          <w:p>
            <w:pPr>
              <w:spacing w:after="0"/>
              <w:rPr>
                <w:sz w:val="19"/>
                <w:szCs w:val="19"/>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w w:val="92"/>
              </w:rPr>
              <w:t>Aircraft enhanced equipment trust certificates (EETCs), fixed interest rates ranging from 3.95% to 11.00%, maturing</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6"/>
        </w:trPr>
        <w:tc>
          <w:tcPr>
            <w:tcW w:w="280" w:type="dxa"/>
            <w:vAlign w:val="bottom"/>
          </w:tcPr>
          <w:p>
            <w:pPr>
              <w:spacing w:after="0"/>
              <w:rPr>
                <w:sz w:val="17"/>
                <w:szCs w:val="17"/>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from 2014 to 2025</w:t>
            </w:r>
          </w:p>
        </w:tc>
        <w:tc>
          <w:tcPr>
            <w:tcW w:w="28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2,703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2,515</w:t>
            </w:r>
          </w:p>
        </w:tc>
      </w:tr>
      <w:tr>
        <w:trPr>
          <w:trHeight w:val="33"/>
        </w:trPr>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280" w:type="dxa"/>
            <w:vAlign w:val="bottom"/>
            <w:shd w:val="clear" w:color="auto" w:fill="CCEEFF"/>
          </w:tcPr>
          <w:p>
            <w:pPr>
              <w:spacing w:after="0"/>
              <w:rPr>
                <w:sz w:val="19"/>
                <w:szCs w:val="19"/>
                <w:color w:val="auto"/>
              </w:rPr>
            </w:pPr>
          </w:p>
        </w:tc>
        <w:tc>
          <w:tcPr>
            <w:tcW w:w="78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3"/>
              </w:rPr>
              <w:t>Equipment loans and other notes payable, fixed and variable interest rates ranging from 1.55% to 8.48%, maturing</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9"/>
        </w:trPr>
        <w:tc>
          <w:tcPr>
            <w:tcW w:w="280" w:type="dxa"/>
            <w:vAlign w:val="bottom"/>
            <w:tcBorders>
              <w:bottom w:val="single" w:sz="8" w:color="CCEEFF"/>
            </w:tcBorders>
            <w:shd w:val="clear" w:color="auto" w:fill="CCEEFF"/>
          </w:tcPr>
          <w:p>
            <w:pPr>
              <w:spacing w:after="0"/>
              <w:rPr>
                <w:sz w:val="19"/>
                <w:szCs w:val="19"/>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from 2015 to 2029</w:t>
            </w:r>
          </w:p>
        </w:tc>
        <w:tc>
          <w:tcPr>
            <w:tcW w:w="2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1,330</w:t>
            </w:r>
          </w:p>
        </w:tc>
      </w:tr>
      <w:tr>
        <w:trPr>
          <w:trHeight w:val="237"/>
        </w:trPr>
        <w:tc>
          <w:tcPr>
            <w:tcW w:w="280" w:type="dxa"/>
            <w:vAlign w:val="bottom"/>
          </w:tcPr>
          <w:p>
            <w:pPr>
              <w:spacing w:after="0"/>
              <w:rPr>
                <w:sz w:val="20"/>
                <w:szCs w:val="20"/>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Other secured obligations, fixed interest rates ranging from 5.20% to 8.00%, maturing from 2015 to 2028</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6"/>
                <w:szCs w:val="16"/>
                <w:color w:val="auto"/>
              </w:rPr>
              <w:t>Total US Airways Group secured debt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5,492</w:t>
            </w:r>
          </w:p>
        </w:tc>
      </w:tr>
      <w:tr>
        <w:trPr>
          <w:trHeight w:val="217"/>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6"/>
                <w:szCs w:val="16"/>
                <w:color w:val="auto"/>
              </w:rPr>
              <w:t>Total AAG secured debt</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16,226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16,343</w:t>
            </w:r>
          </w:p>
        </w:tc>
      </w:tr>
      <w:tr>
        <w:trPr>
          <w:trHeight w:val="33"/>
        </w:trPr>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4"/>
        </w:trPr>
        <w:tc>
          <w:tcPr>
            <w:tcW w:w="8120" w:type="dxa"/>
            <w:vAlign w:val="bottom"/>
            <w:gridSpan w:val="4"/>
            <w:shd w:val="clear" w:color="auto" w:fill="CCEEFF"/>
          </w:tcPr>
          <w:p>
            <w:pPr>
              <w:ind w:left="40"/>
              <w:spacing w:after="0"/>
              <w:rPr>
                <w:sz w:val="20"/>
                <w:szCs w:val="20"/>
                <w:color w:val="auto"/>
              </w:rPr>
            </w:pPr>
            <w:r>
              <w:rPr>
                <w:rFonts w:ascii="Arial" w:cs="Arial" w:eastAsia="Arial" w:hAnsi="Arial"/>
                <w:sz w:val="16"/>
                <w:szCs w:val="16"/>
                <w:i w:val="1"/>
                <w:iCs w:val="1"/>
                <w:color w:val="auto"/>
              </w:rPr>
              <w:t>Unsecured</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60"/>
        </w:trPr>
        <w:tc>
          <w:tcPr>
            <w:tcW w:w="2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6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189"/>
        </w:trPr>
        <w:tc>
          <w:tcPr>
            <w:tcW w:w="280" w:type="dxa"/>
            <w:vAlign w:val="bottom"/>
          </w:tcPr>
          <w:p>
            <w:pPr>
              <w:spacing w:after="0"/>
              <w:rPr>
                <w:sz w:val="16"/>
                <w:szCs w:val="16"/>
                <w:color w:val="auto"/>
              </w:rPr>
            </w:pPr>
          </w:p>
        </w:tc>
        <w:tc>
          <w:tcPr>
            <w:tcW w:w="7840" w:type="dxa"/>
            <w:vAlign w:val="bottom"/>
            <w:gridSpan w:val="3"/>
          </w:tcPr>
          <w:p>
            <w:pPr>
              <w:spacing w:after="0"/>
              <w:rPr>
                <w:sz w:val="20"/>
                <w:szCs w:val="20"/>
                <w:color w:val="auto"/>
              </w:rPr>
            </w:pPr>
            <w:r>
              <w:rPr>
                <w:rFonts w:ascii="Arial" w:cs="Arial" w:eastAsia="Arial" w:hAnsi="Arial"/>
                <w:sz w:val="16"/>
                <w:szCs w:val="16"/>
                <w:color w:val="auto"/>
              </w:rPr>
              <w:t>US Airways Group</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6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6.125% senior notes, interest only payments until due in 2018</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37"/>
        </w:trPr>
        <w:tc>
          <w:tcPr>
            <w:tcW w:w="280" w:type="dxa"/>
            <w:vAlign w:val="bottom"/>
          </w:tcPr>
          <w:p>
            <w:pPr>
              <w:spacing w:after="0"/>
              <w:rPr>
                <w:sz w:val="20"/>
                <w:szCs w:val="20"/>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7.25% convertible senior notes, interest only payments until due in 2014</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Industrial development bonds, fixed interest rate of 6.30%, interest only payments until due in 2023</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17"/>
        </w:trPr>
        <w:tc>
          <w:tcPr>
            <w:tcW w:w="280" w:type="dxa"/>
            <w:vAlign w:val="bottom"/>
          </w:tcPr>
          <w:p>
            <w:pPr>
              <w:spacing w:after="0"/>
              <w:rPr>
                <w:sz w:val="18"/>
                <w:szCs w:val="18"/>
                <w:color w:val="auto"/>
              </w:rPr>
            </w:pPr>
          </w:p>
        </w:tc>
        <w:tc>
          <w:tcPr>
            <w:tcW w:w="7840" w:type="dxa"/>
            <w:vAlign w:val="bottom"/>
            <w:gridSpan w:val="3"/>
          </w:tcPr>
          <w:p>
            <w:pPr>
              <w:ind w:left="440"/>
              <w:spacing w:after="0"/>
              <w:rPr>
                <w:sz w:val="20"/>
                <w:szCs w:val="20"/>
                <w:color w:val="auto"/>
              </w:rPr>
            </w:pPr>
            <w:r>
              <w:rPr>
                <w:rFonts w:ascii="Arial" w:cs="Arial" w:eastAsia="Arial" w:hAnsi="Arial"/>
                <w:sz w:val="16"/>
                <w:szCs w:val="16"/>
                <w:color w:val="auto"/>
              </w:rPr>
              <w:t>Total US Airways Group unsecured debt</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551</w:t>
            </w:r>
          </w:p>
        </w:tc>
      </w:tr>
      <w:tr>
        <w:trPr>
          <w:trHeight w:val="33"/>
        </w:trPr>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AAG unsecured debt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w:t>
            </w:r>
          </w:p>
        </w:tc>
      </w:tr>
      <w:tr>
        <w:trPr>
          <w:trHeight w:val="217"/>
        </w:trPr>
        <w:tc>
          <w:tcPr>
            <w:tcW w:w="8120" w:type="dxa"/>
            <w:vAlign w:val="bottom"/>
            <w:gridSpan w:val="4"/>
          </w:tcPr>
          <w:p>
            <w:pPr>
              <w:ind w:left="40"/>
              <w:spacing w:after="0"/>
              <w:rPr>
                <w:sz w:val="20"/>
                <w:szCs w:val="20"/>
                <w:color w:val="auto"/>
              </w:rPr>
            </w:pPr>
            <w:r>
              <w:rPr>
                <w:rFonts w:ascii="Arial" w:cs="Arial" w:eastAsia="Arial" w:hAnsi="Arial"/>
                <w:sz w:val="16"/>
                <w:szCs w:val="16"/>
                <w:color w:val="auto"/>
              </w:rPr>
              <w:t>Total long-term debt and capital lease obligations</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16,777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16,894</w:t>
            </w:r>
          </w:p>
        </w:tc>
      </w:tr>
      <w:tr>
        <w:trPr>
          <w:trHeight w:val="33"/>
        </w:trPr>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Less: total unamortized debt discount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r>
      <w:tr>
        <w:trPr>
          <w:trHeight w:val="237"/>
        </w:trPr>
        <w:tc>
          <w:tcPr>
            <w:tcW w:w="280" w:type="dxa"/>
            <w:vAlign w:val="bottom"/>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6"/>
                <w:szCs w:val="16"/>
                <w:color w:val="auto"/>
              </w:rPr>
              <w:t>Less: current maturities</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1,446</w:t>
            </w:r>
          </w:p>
        </w:tc>
      </w:tr>
      <w:tr>
        <w:trPr>
          <w:trHeight w:val="33"/>
        </w:trPr>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5"/>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Long-term debt and capital lease obligations, net of current maturities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15,353</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Senior Secured Notes (American)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2014, American prepaid $100 million of its 7.50% senior secured notes at a redemption price of 103% of principal amount plus accrued and unpaid interest.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3"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b w:val="1"/>
          <w:bCs w:val="1"/>
          <w:i w:val="1"/>
          <w:iCs w:val="1"/>
          <w:color w:val="auto"/>
        </w:rPr>
        <w:t>2013-1 EETCs (US Airways)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quarter of 2014, US Airways issued $224 million of equipment notes in two series under its 2013-1 EETCs completed in April 2013: Series A equipment notes in the amount of $170 million bearing interest at 3.95% per annum and Series B equipment notes in the amount of $54 million bearing interest at 5.375% per annum. The equipment notes are secured by liens on aircraft.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7.25% Convertible Notes (US Airways Group)</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March 2014, the Company notified the holders of US Airways Group's 7.25% convertible notes that it has elected to settle solely in cash instead of shares of AAG Common Stock all conversions during the period beginning on March 15, 2014 and ending on, and including, the second scheduled trading day immediately preceding the maturity date of May 15, 2014. As a result, as of March 31, 2014, the Company has reclassified from equity into other current liabilities the cash payment expected upon conversion of these notes less the carrying amount of debt in the amount of $157 million.</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March 2014, AAG, US Airways Group and US Airways entered into amended and restated guarantees of the payment obligations of US Airways under the equipment notes relating to each of its Series 2010-1, 2011-1, 2012-1, 2012-2 and 2013-1 Pass Through Certificates the result of which was to add AAG as a guarantor of such equipment notes on a joint and several basis with US Airways Group. Refer to Note 15 for further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the Merger, US Airways Group and its subsidiaries are included in the AAG consolidated federal and state income tax returns for the three months ended March 31, 2014. The Merger resulted in a statutory "ownership change" on December 9, 2013, as defined in Section 382 of the Internal Revenue Code of 1986, as amended (Section 382), which limits the Company's future ability to utilize NOLs generated before the ownership change and certain subsequently recognized "built-in" losses and deductions, if any, existing as of the date of the ownership change. The general limitation rules for a debtor in a bankruptcy case are liberalized where an ownership change occurs upon emergence from bankruptcy. The Company's ability to utilize any new NOLs arising after the ownership change is not affected.</w:t>
      </w:r>
    </w:p>
    <w:p>
      <w:pPr>
        <w:spacing w:after="0" w:line="1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December 31, 2013, the Company had approximately $10.6 billion of gross NOLs to reduce future federal taxable income, the majority of which are expected to be available for use in 2014, subject to the Section 382 limitation described above. The federal NOLs will expire beginning in 2022 if unused. These NOLs include an unrealized tax benefit of $762 million related to the implementation of share-based compensation accounting guidance that will be recorded in equity when realized. The Company also had approximately $4.7 billion of gross NOLs to reduce future state taxable income at December 31, 2013, which will expire in years 2014 through 2033 if unused. At December 31, 2013, the Company had an Alternative Minimum Tax (AMT) credit carryforward of approximately $370 million available for federal income tax purposes, which is available for an indefinite period. The Company's net deferred tax assets, which include the NOLs, are subject to a full valuation allowance. At December 31, 2013, the federal and state valuation allowances were $4.6 billion and $415 million, respectively. In accordance with GAAP, utilization of the NOLs after December 9, 2013 will result in a corresponding decrease in the valuation allowance and offset the Company's tax provision dollar for dollar.</w:t>
      </w:r>
    </w:p>
    <w:p>
      <w:pPr>
        <w:spacing w:after="0" w:line="12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March 31, 2014, the Company utilized NOLs to reduce its income tax obligation. However, the Company recorded a special $8 million non-cash deferred income tax provision related to certain indefinite-lived intangible assets and $5 million of state and international income tax expense related to certain states and countries where NOLs were limited or unavailable to be used.</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2013, the Company reported a loss before income taxes and recorded an income tax benefit of approximately $22 million as a result of the American Taxpayer Relief Act of 2012.</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profitable, the Company is ordinarily subject to AMT. However as a result of a special tax election made in 2009, the Company was able to utilize AMT NOLs to fully offset its AMT taxable income for the three months ended March 31,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7"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The Company's short-term investments classified as Level 2 primarily utilize broker quotes in a non-active market for valuation of these securities. The Company's fuel derivative contracts, which consist primarily of call options, collars (consisting of a purchased call option and a sold put option) and call spreads (consisting of a purchased call option and a sold call option), are valued using energy and commodity market data which is derived by combining raw inputs with quantitative models and processes to generate forward curves and volatilities. Jet fuel, crude oil, and ultra low sulfur diesel are the primary underlying commodities in the hedge portfolio. No changes in valuation techniques or inputs occurred during the three months ended March 31, 2014.</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and liabilities measured at fair value on a recurring basis are summarized below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60" w:type="dxa"/>
            <w:vAlign w:val="bottom"/>
            <w:gridSpan w:val="9"/>
          </w:tcPr>
          <w:p>
            <w:pPr>
              <w:jc w:val="right"/>
              <w:ind w:right="150"/>
              <w:spacing w:after="0"/>
              <w:rPr>
                <w:sz w:val="20"/>
                <w:szCs w:val="20"/>
                <w:color w:val="auto"/>
              </w:rPr>
            </w:pPr>
            <w:r>
              <w:rPr>
                <w:rFonts w:ascii="Arial" w:cs="Arial" w:eastAsia="Arial" w:hAnsi="Arial"/>
                <w:sz w:val="18"/>
                <w:szCs w:val="18"/>
                <w:color w:val="auto"/>
                <w:w w:val="89"/>
              </w:rPr>
              <w:t>Fair Value Measurements as of March 31, 2014</w:t>
            </w:r>
          </w:p>
        </w:tc>
        <w:tc>
          <w:tcPr>
            <w:tcW w:w="11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Description</w:t>
            </w:r>
          </w:p>
        </w:tc>
        <w:tc>
          <w:tcPr>
            <w:tcW w:w="3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Level 3</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5"/>
                <w:szCs w:val="25"/>
                <w:color w:val="auto"/>
                <w:vertAlign w:val="superscript"/>
              </w:rPr>
              <w:t>(1), (2)</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3,596</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Government agency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Repurchase agreements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Bank notes / Certificates of deposit / Time deposits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70"/>
        </w:trPr>
        <w:tc>
          <w:tcPr>
            <w:tcW w:w="5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Fuel derivative contracts, net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9,402</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17145</wp:posOffset>
            </wp:positionV>
            <wp:extent cx="3970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3" w:lineRule="exact"/>
        <w:rPr>
          <w:sz w:val="20"/>
          <w:szCs w:val="20"/>
          <w:color w:val="auto"/>
        </w:rPr>
      </w:pPr>
    </w:p>
    <w:p>
      <w:pPr>
        <w:ind w:left="540" w:hanging="532"/>
        <w:spacing w:after="0" w:line="216" w:lineRule="auto"/>
        <w:tabs>
          <w:tab w:leader="none" w:pos="216"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Unrealized gains or losses on short-term investments, restricted cash and short-term investments, and derivatives qualifying for hedge accounting are recorded in Accumulated other comprehensive income (loss) at each measurement date.</w:t>
      </w:r>
    </w:p>
    <w:p>
      <w:pPr>
        <w:spacing w:after="0" w:line="1" w:lineRule="exact"/>
        <w:rPr>
          <w:rFonts w:ascii="Arial" w:cs="Arial" w:eastAsia="Arial" w:hAnsi="Arial"/>
          <w:sz w:val="25"/>
          <w:szCs w:val="25"/>
          <w:color w:val="auto"/>
          <w:vertAlign w:val="superscript"/>
        </w:rPr>
      </w:pPr>
    </w:p>
    <w:p>
      <w:pPr>
        <w:ind w:left="540" w:right="20" w:hanging="532"/>
        <w:spacing w:after="0" w:line="209" w:lineRule="auto"/>
        <w:tabs>
          <w:tab w:leader="none" w:pos="216"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The Company's short-term investments mature in one year or less except $441 million of U.S. government agency investments and $2.1 billion of corporate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-555625</wp:posOffset>
            </wp:positionV>
            <wp:extent cx="3970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1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Level 1 to Level 2 transfers during the three months ended March 31, 2014. The Company's policy regarding the recording of transfers between levels is to reflect any such transfers at the end of the reporting period.</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Approximately $5.0 billion of the Company's short-term investments are classified as available-for-sale and stated at fair value. Unrealized gains and losses are reflected as a component of Accumulated other comprehensive income (loss). Approximately $3.4 billion of the Company's short-term investments are classified as held to maturity and recorded at cost, which approximates fair value.</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also party to certain interest rate swap agreements that are accounted for as cash flow hedges. Ineffectiveness for these instruments is required to be measured at each reporting period. The ineffectiveness and fair value associated with all of the Company's interest rate cash flow hedges for all periods presented was not material.</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Venezuela Cash and Short-term Investments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of March 31, 2014, approximately $750 million of the Company’s unrestricted cash balance was held in Venezuelan bolivars, valued at the weighted average applicable exchange rate of 6.32 bolivars to the dollar. This includes approximately $94 million valued at 4.3 bolivars, approximately $611 million valued at 6.3 bolivars, and approximately $45 million valued at 10.7 bolivars, with the rate depending on the date the Company submitted its repatriation request to the Venezuelan government. In the first quarter of 2014, the Venezuelan government announced that a newly-implemented system (SICAD I) will determine the exchange rate (which fluctuates as determined by weekly auctions and at March 31, 2014 was 10.7 bolivars to the dollar) for repatriation of cash proceeds from ticket sales after January 1, 2014, and introduced new procedures for approval of repatriation of local currency. The Company is continuing to work with Venezuelan authorities regarding the timing and exchange rate applicable to the repatriation of funds held in local currency, is monitoring this situation closely and continues to evaluate its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holdings of Venezuelan bolivars for potential impairment. See Part II, Item 1A. - Risk Factors "</w:t>
      </w:r>
      <w:r>
        <w:rPr>
          <w:rFonts w:ascii="Arial" w:cs="Arial" w:eastAsia="Arial" w:hAnsi="Arial"/>
          <w:sz w:val="18"/>
          <w:szCs w:val="18"/>
          <w:i w:val="1"/>
          <w:iCs w:val="1"/>
          <w:color w:val="auto"/>
        </w:rPr>
        <w:t>We operate a global business with international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are subject to economic and political instability and have been, and in the future may continue to be, adversely affected by numerous events, circumstances or government actions beyond our control" </w:t>
      </w:r>
      <w:r>
        <w:rPr>
          <w:rFonts w:ascii="Arial" w:cs="Arial" w:eastAsia="Arial" w:hAnsi="Arial"/>
          <w:sz w:val="18"/>
          <w:szCs w:val="18"/>
          <w:color w:val="auto"/>
        </w:rPr>
        <w:t>for additional discussion of these and other currency risks.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Debt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values of the Company’s long-term debt were estimated using quoted market prices or discounted cash flow analyses, based on the Company’s current estimated incremental borrowing rates for similar types of borrowing arrangements. If the Company’s long-term debt was measured at fair value, it would have been classified as Level 2 in the fair value hierarchy.</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Merger, US Airways Group's long-term debt was recorded at fair value as of December 9, 2013 using the acquisition method of accounting in accordance with ASC 805, "Business Combinations" and was determined by discounting the future contractual principal and interest payments using a market interest rate.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and estimated fair values of the Company’s long-term debt, including current maturities, were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ind w:left="540"/>
              <w:spacing w:after="0"/>
              <w:rPr>
                <w:sz w:val="20"/>
                <w:szCs w:val="20"/>
                <w:color w:val="auto"/>
              </w:rPr>
            </w:pPr>
            <w:r>
              <w:rPr>
                <w:rFonts w:ascii="Arial" w:cs="Arial" w:eastAsia="Arial" w:hAnsi="Arial"/>
                <w:sz w:val="18"/>
                <w:szCs w:val="18"/>
                <w:color w:val="auto"/>
              </w:rPr>
              <w:t>March 31, 2014</w:t>
            </w:r>
          </w:p>
        </w:tc>
        <w:tc>
          <w:tcPr>
            <w:tcW w:w="220" w:type="dxa"/>
            <w:vAlign w:val="bottom"/>
          </w:tcPr>
          <w:p>
            <w:pPr>
              <w:spacing w:after="0"/>
              <w:rPr>
                <w:sz w:val="20"/>
                <w:szCs w:val="20"/>
                <w:color w:val="auto"/>
              </w:rPr>
            </w:pPr>
          </w:p>
        </w:tc>
        <w:tc>
          <w:tcPr>
            <w:tcW w:w="2400" w:type="dxa"/>
            <w:vAlign w:val="bottom"/>
            <w:gridSpan w:val="4"/>
          </w:tcPr>
          <w:p>
            <w:pPr>
              <w:jc w:val="right"/>
              <w:ind w:right="490"/>
              <w:spacing w:after="0"/>
              <w:rPr>
                <w:sz w:val="20"/>
                <w:szCs w:val="20"/>
                <w:color w:val="auto"/>
              </w:rPr>
            </w:pPr>
            <w:r>
              <w:rPr>
                <w:rFonts w:ascii="Arial" w:cs="Arial" w:eastAsia="Arial" w:hAnsi="Arial"/>
                <w:sz w:val="18"/>
                <w:szCs w:val="18"/>
                <w:color w:val="auto"/>
              </w:rPr>
              <w:t>December 31, 2013</w:t>
            </w:r>
          </w:p>
        </w:tc>
      </w:tr>
      <w:tr>
        <w:trPr>
          <w:trHeight w:val="27"/>
        </w:trPr>
        <w:tc>
          <w:tcPr>
            <w:tcW w:w="6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6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Carrying</w:t>
            </w:r>
          </w:p>
        </w:tc>
        <w:tc>
          <w:tcPr>
            <w:tcW w:w="26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Fair</w:t>
            </w:r>
          </w:p>
        </w:tc>
        <w:tc>
          <w:tcPr>
            <w:tcW w:w="2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280" w:type="dxa"/>
            <w:vAlign w:val="bottom"/>
          </w:tcPr>
          <w:p>
            <w:pPr>
              <w:spacing w:after="0"/>
              <w:rPr>
                <w:sz w:val="19"/>
                <w:szCs w:val="19"/>
                <w:color w:val="auto"/>
              </w:rPr>
            </w:pPr>
          </w:p>
        </w:tc>
        <w:tc>
          <w:tcPr>
            <w:tcW w:w="980" w:type="dxa"/>
            <w:vAlign w:val="bottom"/>
          </w:tcPr>
          <w:p>
            <w:pPr>
              <w:jc w:val="center"/>
              <w:ind w:right="190"/>
              <w:spacing w:after="0"/>
              <w:rPr>
                <w:sz w:val="20"/>
                <w:szCs w:val="20"/>
                <w:color w:val="auto"/>
              </w:rPr>
            </w:pPr>
            <w:r>
              <w:rPr>
                <w:rFonts w:ascii="Arial" w:cs="Arial" w:eastAsia="Arial" w:hAnsi="Arial"/>
                <w:sz w:val="18"/>
                <w:szCs w:val="18"/>
                <w:color w:val="auto"/>
                <w:w w:val="96"/>
              </w:rPr>
              <w:t>Fair</w:t>
            </w:r>
          </w:p>
        </w:tc>
      </w:tr>
      <w:tr>
        <w:trPr>
          <w:trHeight w:val="230"/>
        </w:trPr>
        <w:tc>
          <w:tcPr>
            <w:tcW w:w="6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2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Value</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Value</w:t>
            </w:r>
          </w:p>
        </w:tc>
        <w:tc>
          <w:tcPr>
            <w:tcW w:w="280" w:type="dxa"/>
            <w:vAlign w:val="bottom"/>
          </w:tcPr>
          <w:p>
            <w:pPr>
              <w:spacing w:after="0"/>
              <w:rPr>
                <w:sz w:val="20"/>
                <w:szCs w:val="20"/>
                <w:color w:val="auto"/>
              </w:rPr>
            </w:pPr>
          </w:p>
        </w:tc>
        <w:tc>
          <w:tcPr>
            <w:tcW w:w="980" w:type="dxa"/>
            <w:vAlign w:val="bottom"/>
          </w:tcPr>
          <w:p>
            <w:pPr>
              <w:jc w:val="center"/>
              <w:ind w:right="190"/>
              <w:spacing w:after="0"/>
              <w:rPr>
                <w:sz w:val="20"/>
                <w:szCs w:val="20"/>
                <w:color w:val="auto"/>
              </w:rPr>
            </w:pPr>
            <w:r>
              <w:rPr>
                <w:rFonts w:ascii="Arial" w:cs="Arial" w:eastAsia="Arial" w:hAnsi="Arial"/>
                <w:sz w:val="18"/>
                <w:szCs w:val="18"/>
                <w:color w:val="auto"/>
                <w:w w:val="91"/>
              </w:rPr>
              <w:t>Value</w:t>
            </w:r>
          </w:p>
        </w:tc>
      </w:tr>
      <w:tr>
        <w:trPr>
          <w:trHeight w:val="27"/>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17,035</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Benefits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components of net periodic benefit cost for the three months ended March 31, 2014 and 2013 (in millions):</w:t>
      </w:r>
    </w:p>
    <w:p>
      <w:pPr>
        <w:sectPr>
          <w:pgSz w:w="11900" w:h="16838" w:orient="portrait"/>
          <w:cols w:equalWidth="0" w:num="1">
            <w:col w:w="11420"/>
          </w:cols>
          <w:pgMar w:left="240" w:top="125" w:right="239" w:bottom="1440" w:gutter="0" w:footer="0" w:header="0"/>
        </w:sectPr>
      </w:pPr>
    </w:p>
    <w:p>
      <w:pPr>
        <w:spacing w:after="0" w:line="183" w:lineRule="exact"/>
        <w:rPr>
          <w:sz w:val="20"/>
          <w:szCs w:val="20"/>
          <w:color w:val="auto"/>
        </w:rPr>
      </w:pPr>
    </w:p>
    <w:p>
      <w:pPr>
        <w:jc w:val="center"/>
        <w:ind w:left="4600"/>
        <w:spacing w:after="0"/>
        <w:rPr>
          <w:sz w:val="20"/>
          <w:szCs w:val="20"/>
          <w:color w:val="auto"/>
        </w:rPr>
      </w:pPr>
      <w:r>
        <w:rPr>
          <w:rFonts w:ascii="Arial" w:cs="Arial" w:eastAsia="Arial" w:hAnsi="Arial"/>
          <w:sz w:val="18"/>
          <w:szCs w:val="18"/>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31750</wp:posOffset>
            </wp:positionV>
            <wp:extent cx="2143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jc w:val="center"/>
        <w:ind w:left="4600"/>
        <w:spacing w:after="0"/>
        <w:rPr>
          <w:sz w:val="20"/>
          <w:szCs w:val="20"/>
          <w:color w:val="auto"/>
        </w:rPr>
      </w:pPr>
      <w:r>
        <w:rPr>
          <w:rFonts w:ascii="Arial" w:cs="Arial" w:eastAsia="Arial" w:hAnsi="Arial"/>
          <w:sz w:val="16"/>
          <w:szCs w:val="16"/>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46355</wp:posOffset>
            </wp:positionV>
            <wp:extent cx="2143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80" w:lineRule="exact"/>
        <w:rPr>
          <w:sz w:val="20"/>
          <w:szCs w:val="20"/>
          <w:color w:val="auto"/>
        </w:rPr>
      </w:pPr>
    </w:p>
    <w:p>
      <w:pPr>
        <w:ind w:left="5020"/>
        <w:spacing w:after="0"/>
        <w:tabs>
          <w:tab w:leader="none" w:pos="674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Retiree Medical and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46355</wp:posOffset>
            </wp:positionV>
            <wp:extent cx="2160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80"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31750</wp:posOffset>
            </wp:positionV>
            <wp:extent cx="21609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7" w:lineRule="exact"/>
        <w:rPr>
          <w:sz w:val="20"/>
          <w:szCs w:val="20"/>
          <w:color w:val="auto"/>
        </w:rPr>
      </w:pPr>
    </w:p>
    <w:p>
      <w:pPr>
        <w:ind w:left="220"/>
        <w:spacing w:after="0"/>
        <w:tabs>
          <w:tab w:leader="none" w:pos="194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p>
    <w:p>
      <w:pPr>
        <w:spacing w:after="0" w:line="30" w:lineRule="exact"/>
        <w:rPr>
          <w:sz w:val="20"/>
          <w:szCs w:val="20"/>
          <w:color w:val="auto"/>
        </w:rPr>
      </w:pPr>
    </w:p>
    <w:p>
      <w:pPr>
        <w:sectPr>
          <w:pgSz w:w="11900" w:h="16838" w:orient="portrait"/>
          <w:cols w:equalWidth="0" w:num="2">
            <w:col w:w="7580" w:space="720"/>
            <w:col w:w="31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3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Components of net periodic benefit cost:</w:t>
            </w:r>
          </w:p>
        </w:tc>
        <w:tc>
          <w:tcPr>
            <w:tcW w:w="6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61"/>
        </w:trPr>
        <w:tc>
          <w:tcPr>
            <w:tcW w:w="40" w:type="dxa"/>
            <w:vAlign w:val="bottom"/>
          </w:tcPr>
          <w:p>
            <w:pPr>
              <w:spacing w:after="0"/>
              <w:rPr>
                <w:sz w:val="5"/>
                <w:szCs w:val="5"/>
                <w:color w:val="auto"/>
              </w:rPr>
            </w:pPr>
          </w:p>
        </w:tc>
        <w:tc>
          <w:tcPr>
            <w:tcW w:w="2920" w:type="dxa"/>
            <w:vAlign w:val="bottom"/>
            <w:tcBorders>
              <w:top w:val="single" w:sz="8" w:color="auto"/>
            </w:tcBorders>
          </w:tcPr>
          <w:p>
            <w:pPr>
              <w:spacing w:after="0"/>
              <w:rPr>
                <w:sz w:val="5"/>
                <w:szCs w:val="5"/>
                <w:color w:val="auto"/>
              </w:rPr>
            </w:pPr>
          </w:p>
        </w:tc>
        <w:tc>
          <w:tcPr>
            <w:tcW w:w="1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Service cost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color w:val="auto"/>
              </w:rPr>
              <w:t>Interest cost</w:t>
            </w:r>
          </w:p>
        </w:tc>
        <w:tc>
          <w:tcPr>
            <w:tcW w:w="6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Expected return on assets</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43"/>
        </w:trPr>
        <w:tc>
          <w:tcPr>
            <w:tcW w:w="40" w:type="dxa"/>
            <w:vAlign w:val="bottom"/>
          </w:tcPr>
          <w:p>
            <w:pPr>
              <w:spacing w:after="0"/>
              <w:rPr>
                <w:sz w:val="21"/>
                <w:szCs w:val="21"/>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color w:val="auto"/>
              </w:rPr>
              <w:t>Settlements</w:t>
            </w:r>
          </w:p>
        </w:tc>
        <w:tc>
          <w:tcPr>
            <w:tcW w:w="6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340" w:type="dxa"/>
            <w:vAlign w:val="bottom"/>
            <w:gridSpan w:val="2"/>
          </w:tcPr>
          <w:p>
            <w:pPr>
              <w:ind w:left="460"/>
              <w:spacing w:after="0"/>
              <w:rPr>
                <w:sz w:val="20"/>
                <w:szCs w:val="20"/>
                <w:color w:val="auto"/>
              </w:rPr>
            </w:pPr>
            <w:r>
              <w:rPr>
                <w:rFonts w:ascii="Arial" w:cs="Arial" w:eastAsia="Arial" w:hAnsi="Arial"/>
                <w:sz w:val="18"/>
                <w:szCs w:val="18"/>
                <w:color w:val="auto"/>
              </w:rPr>
              <w:t>Prior service cost</w:t>
            </w:r>
          </w:p>
        </w:tc>
        <w:tc>
          <w:tcPr>
            <w:tcW w:w="6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(61)</w:t>
            </w: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3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Unrecognized net loss (gain)</w:t>
            </w: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r>
      <w:tr>
        <w:trPr>
          <w:trHeight w:val="237"/>
        </w:trPr>
        <w:tc>
          <w:tcPr>
            <w:tcW w:w="40" w:type="dxa"/>
            <w:vAlign w:val="bottom"/>
          </w:tcPr>
          <w:p>
            <w:pPr>
              <w:spacing w:after="0"/>
              <w:rPr>
                <w:sz w:val="20"/>
                <w:szCs w:val="20"/>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color w:val="auto"/>
              </w:rPr>
              <w:t>Net periodic benefit cost</w:t>
            </w: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(54)</w:t>
            </w: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November 1, 2012, the Company's defined benefit pension plans were frozen.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color w:val="auto"/>
        </w:rPr>
        <w:t>The Company is required to make minimum contributions to its defined benefit pension plans under the minimum funding requirements of ERISA, the Pension Funding Equity Act of 2004, the Pension Protection Act of 2006, the Pension Relief Act of 2010, and the Moving Ahead for Progress in the 21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Century Act of 2012. During the first three months of 2014, the Company contributed $34 million to its defined benefit pension plans. On April 15, 2014, the Company contributed an additional $37 million to its defined benefit pension plans. During the first three months of 2013, the Company contributed $33 million to its defined benefit plans covering post-petition periods. Prior to emergence from bankruptcy, the Company made a $385 million contribution to its defined benefit plans in connection with missed contributions during Chapter 11 as well as interest and penalty interest.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 and Risk Management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Fuel Price Risk Management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2014, the Company had fuel derivative contracts outstanding covering 15 million barrels of jet fuel that will be settled over the next fifteen months. The Company does not hold or issue derivative financial instruments for trading purposes. The Company has not entered into any fuel hedges since the Effective Date, and its current policy is not to do so.</w:t>
      </w:r>
    </w:p>
    <w:p>
      <w:pPr>
        <w:spacing w:after="0" w:line="1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accordance with GAAP, the Company assesses, both at the inception of each hedge and on an ongoing basis, whether the derivatives that are used in its hedging transactions are highly effective in offsetting changes in cash flows of the hedged items. Derivatives that meet the requirements are granted special hedge accounting treatment and the Company’s hedges generally meet these requirements. Accordingly, the Company’s fuel derivative contracts are accounted for as cash flow hedges and the fair value of the Company’s hedging contracts is recorded in current assets or current liabilities in the accompanying condensed consolidated balance sheets, until the underlying jet fuel is purchased. The Company determines the ineffective portion of its fuel hedge contracts by comparing the cumulative change in the total value of the fuel hedge contract, or group of fuel hedge contracts, to the cumulative change in a hypothetical jet fuel hedge. If the total cumulative change in value of the fuel hedge contract more than offsets the total cumulative change in a hypothetical jet fuel hedge, the difference is considered ineffective and is immediately recognized as a component of aircraft fuel expense. Effective gains or losses on fuel hedging contracts are deferred in accumulated other comprehensive income (loss) (OCI) and are recognized in earnings as a component of aircraft fuel expense when the underlying jet fuel being hedged is used.</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Ineffectiveness is inherent in hedging jet fuel with derivative positions based in crude oil or other crude oil related commodities. The Company assesses, both at the inception of each hedge and on an ongoing basis, whether the derivatives that are used in its hedging transactions are highly effective in offsetting changes in cash flows of the hedged items. In doing so, the Company uses a regression model to determine the correlation of the change in prices of the commodities used to hedge jet fuel (e.g., NY Harbor Ultra Low Sulfur Diesel) to the change in the price of jet fuel. The Company also monitors the actual dollar offset of the hedges’ market values as compared to hypothetical jet fuel hedges. The fuel hedge contracts are generally deemed to be "highly effective" if the R-squared is greater than 80% and the dollar offset correlation is within 80% to 125%. The Company discontinues hedge accounting prospectively if it determines that a derivative is no longer expected to be highly effective as a hedge or if it decides to discontinue the hedging relationship. Subsequently, any changes in the fair value of these derivatives are marked to market through earnings in the period of change.</w:t>
      </w:r>
    </w:p>
    <w:p>
      <w:pPr>
        <w:spacing w:after="0" w:line="1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three months ended March 31, 2014 and 2013, the Company recognized net gains/(losses) of approximately $(2) million, and $8 million, respectively, as a component of aircraft fuel expense on the accompanying condensed consolidated statements of operations related to its fuel hedging agreements, including the ineffective portion of the hedges. The net fair value of the Company’s fuel hedging agreements at March 31, 2014 and December 31, 2013, representing the amount the Company would receive upon termination of the agreements (net of settled contract assets), totaled $48 million and $107 million, respectively. As of March 31, 2014, the Company estimates that during the next twelve months it will reclassify from OCI into earnings approximately $3 million in net losses (based on prices as of March 31, 2014) related to its fuel derivative hedges.</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impact of aircraft fuel derivative instruments (all cash flow hedges) on the Company’s condensed consolidated statements of operations is depicted below (in millions):</w:t>
      </w:r>
    </w:p>
    <w:p>
      <w:pPr>
        <w:spacing w:after="0" w:line="112" w:lineRule="exact"/>
        <w:rPr>
          <w:sz w:val="20"/>
          <w:szCs w:val="20"/>
          <w:color w:val="auto"/>
        </w:rPr>
      </w:pPr>
    </w:p>
    <w:tbl>
      <w:tblPr>
        <w:tblLayout w:type="fixed"/>
        <w:tblInd w:w="1160" w:type="dxa"/>
        <w:tblCellMar>
          <w:top w:w="0" w:type="dxa"/>
          <w:left w:w="0" w:type="dxa"/>
          <w:bottom w:w="0" w:type="dxa"/>
          <w:right w:w="0" w:type="dxa"/>
        </w:tblCellMar>
      </w:tblPr>
      <w:tr>
        <w:trPr>
          <w:trHeight w:val="194"/>
        </w:trPr>
        <w:tc>
          <w:tcPr>
            <w:tcW w:w="584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Location in</w:t>
            </w:r>
          </w:p>
        </w:tc>
        <w:tc>
          <w:tcPr>
            <w:tcW w:w="1940" w:type="dxa"/>
            <w:vAlign w:val="bottom"/>
            <w:gridSpan w:val="6"/>
          </w:tcPr>
          <w:p>
            <w:pPr>
              <w:jc w:val="center"/>
              <w:spacing w:after="0"/>
              <w:rPr>
                <w:sz w:val="20"/>
                <w:szCs w:val="20"/>
                <w:color w:val="auto"/>
              </w:rPr>
            </w:pPr>
            <w:r>
              <w:rPr>
                <w:rFonts w:ascii="Arial" w:cs="Arial" w:eastAsia="Arial" w:hAnsi="Arial"/>
                <w:sz w:val="16"/>
                <w:szCs w:val="16"/>
                <w:color w:val="auto"/>
                <w:w w:val="92"/>
              </w:rPr>
              <w:t>Three Months Ended March</w:t>
            </w:r>
          </w:p>
        </w:tc>
        <w:tc>
          <w:tcPr>
            <w:tcW w:w="0" w:type="dxa"/>
            <w:vAlign w:val="bottom"/>
          </w:tcPr>
          <w:p>
            <w:pPr>
              <w:spacing w:after="0"/>
              <w:rPr>
                <w:sz w:val="1"/>
                <w:szCs w:val="1"/>
                <w:color w:val="auto"/>
              </w:rPr>
            </w:pPr>
          </w:p>
        </w:tc>
      </w:tr>
      <w:tr>
        <w:trPr>
          <w:trHeight w:val="103"/>
        </w:trPr>
        <w:tc>
          <w:tcPr>
            <w:tcW w:w="5840" w:type="dxa"/>
            <w:vAlign w:val="bottom"/>
          </w:tcPr>
          <w:p>
            <w:pPr>
              <w:spacing w:after="0"/>
              <w:rPr>
                <w:sz w:val="8"/>
                <w:szCs w:val="8"/>
                <w:color w:val="auto"/>
              </w:rPr>
            </w:pPr>
          </w:p>
        </w:tc>
        <w:tc>
          <w:tcPr>
            <w:tcW w:w="1320" w:type="dxa"/>
            <w:vAlign w:val="bottom"/>
            <w:gridSpan w:val="2"/>
          </w:tcPr>
          <w:p>
            <w:pPr>
              <w:jc w:val="center"/>
              <w:ind w:right="120"/>
              <w:spacing w:after="0" w:line="103" w:lineRule="exact"/>
              <w:rPr>
                <w:sz w:val="20"/>
                <w:szCs w:val="20"/>
                <w:color w:val="auto"/>
              </w:rPr>
            </w:pPr>
            <w:r>
              <w:rPr>
                <w:rFonts w:ascii="Arial" w:cs="Arial" w:eastAsia="Arial" w:hAnsi="Arial"/>
                <w:sz w:val="11"/>
                <w:szCs w:val="11"/>
                <w:color w:val="auto"/>
              </w:rPr>
              <w:t>condensed</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w w:val="89"/>
              </w:rPr>
              <w:t>31,</w:t>
            </w: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consolidated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840" w:type="dxa"/>
            <w:vAlign w:val="bottom"/>
          </w:tcPr>
          <w:p>
            <w:pPr>
              <w:spacing w:after="0"/>
              <w:rPr>
                <w:sz w:val="2"/>
                <w:szCs w:val="2"/>
                <w:color w:val="auto"/>
              </w:rPr>
            </w:pPr>
          </w:p>
        </w:tc>
        <w:tc>
          <w:tcPr>
            <w:tcW w:w="13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color w:val="auto"/>
                <w:w w:val="90"/>
              </w:rPr>
              <w:t>statements of</w:t>
            </w: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58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restart"/>
          </w:tcPr>
          <w:p>
            <w:pPr>
              <w:jc w:val="right"/>
              <w:ind w:right="119"/>
              <w:spacing w:after="0"/>
              <w:rPr>
                <w:sz w:val="20"/>
                <w:szCs w:val="20"/>
                <w:color w:val="auto"/>
              </w:rPr>
            </w:pPr>
            <w:r>
              <w:rPr>
                <w:rFonts w:ascii="Arial" w:cs="Arial" w:eastAsia="Arial" w:hAnsi="Arial"/>
                <w:sz w:val="16"/>
                <w:szCs w:val="16"/>
                <w:color w:val="auto"/>
              </w:rPr>
              <w:t>2014</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vMerge w:val="restart"/>
          </w:tcPr>
          <w:p>
            <w:pPr>
              <w:jc w:val="right"/>
              <w:ind w:right="179"/>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188"/>
        </w:trPr>
        <w:tc>
          <w:tcPr>
            <w:tcW w:w="58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operations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Aircraft fuel and</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4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Amount of gain (loss) reclassified from accumulated OCI into income </w:t>
            </w:r>
            <w:r>
              <w:rPr>
                <w:rFonts w:ascii="Arial" w:cs="Arial" w:eastAsia="Arial" w:hAnsi="Arial"/>
                <w:sz w:val="21"/>
                <w:szCs w:val="21"/>
                <w:color w:val="auto"/>
                <w:vertAlign w:val="superscript"/>
              </w:rPr>
              <w:t>(1)</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related taxes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584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Aircraft fuel and</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40"/>
              <w:spacing w:after="0" w:line="239" w:lineRule="exact"/>
              <w:rPr>
                <w:sz w:val="20"/>
                <w:szCs w:val="20"/>
                <w:color w:val="auto"/>
              </w:rPr>
            </w:pPr>
            <w:r>
              <w:rPr>
                <w:rFonts w:ascii="Arial" w:cs="Arial" w:eastAsia="Arial" w:hAnsi="Arial"/>
                <w:sz w:val="16"/>
                <w:szCs w:val="16"/>
                <w:color w:val="auto"/>
              </w:rPr>
              <w:t xml:space="preserve">Amount of gain (loss) recognized in income on derivative </w:t>
            </w:r>
            <w:r>
              <w:rPr>
                <w:rFonts w:ascii="Arial" w:cs="Arial" w:eastAsia="Arial" w:hAnsi="Arial"/>
                <w:sz w:val="21"/>
                <w:szCs w:val="21"/>
                <w:color w:val="auto"/>
                <w:vertAlign w:val="superscript"/>
              </w:rPr>
              <w:t>(2)</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related taxes</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0"/>
        </w:trPr>
        <w:tc>
          <w:tcPr>
            <w:tcW w:w="584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Aircraft fuel and</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840" w:type="dxa"/>
            <w:vAlign w:val="bottom"/>
          </w:tcPr>
          <w:p>
            <w:pPr>
              <w:ind w:left="40"/>
              <w:spacing w:after="0" w:line="235" w:lineRule="exact"/>
              <w:rPr>
                <w:sz w:val="20"/>
                <w:szCs w:val="20"/>
                <w:color w:val="auto"/>
              </w:rPr>
            </w:pPr>
            <w:r>
              <w:rPr>
                <w:rFonts w:ascii="Arial" w:cs="Arial" w:eastAsia="Arial" w:hAnsi="Arial"/>
                <w:sz w:val="16"/>
                <w:szCs w:val="16"/>
                <w:color w:val="auto"/>
                <w:w w:val="91"/>
              </w:rPr>
              <w:t xml:space="preserve">Amount of gain (loss) recognized in condensed consolidated statements of operations </w:t>
            </w:r>
            <w:r>
              <w:rPr>
                <w:rFonts w:ascii="Arial" w:cs="Arial" w:eastAsia="Arial" w:hAnsi="Arial"/>
                <w:sz w:val="21"/>
                <w:szCs w:val="21"/>
                <w:color w:val="auto"/>
                <w:w w:val="91"/>
                <w:vertAlign w:val="superscript"/>
              </w:rPr>
              <w:t>(3)</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related taxes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4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-288290</wp:posOffset>
            </wp:positionV>
            <wp:extent cx="5771515"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71515" cy="291465"/>
                    </a:xfrm>
                    <a:prstGeom prst="rect">
                      <a:avLst/>
                    </a:prstGeom>
                    <a:noFill/>
                  </pic:spPr>
                </pic:pic>
              </a:graphicData>
            </a:graphic>
          </wp:anchor>
        </w:drawing>
      </w:r>
    </w:p>
    <w:p>
      <w:pPr>
        <w:ind w:left="340" w:hanging="332"/>
        <w:spacing w:after="0" w:line="183"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Includes the effective portion of hedge gain (loss)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Includes the ineffective portion of hedge gain (loss)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Includes the effective and ineffective portion of hedge gain (loss)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impact of aircraft fuel derivative instruments (all cash flow hedges) on the Company’s condensed consolidated statements of comprehensive income (loss) is depicted below (in millions):</w:t>
      </w:r>
    </w:p>
    <w:p>
      <w:pPr>
        <w:spacing w:after="0" w:line="134" w:lineRule="exact"/>
        <w:rPr>
          <w:sz w:val="20"/>
          <w:szCs w:val="20"/>
          <w:color w:val="auto"/>
        </w:rPr>
      </w:pPr>
    </w:p>
    <w:tbl>
      <w:tblPr>
        <w:tblLayout w:type="fixed"/>
        <w:tblInd w:w="1180" w:type="dxa"/>
        <w:tblCellMar>
          <w:top w:w="0" w:type="dxa"/>
          <w:left w:w="0" w:type="dxa"/>
          <w:bottom w:w="0" w:type="dxa"/>
          <w:right w:w="0" w:type="dxa"/>
        </w:tblCellMar>
      </w:tblPr>
      <w:tr>
        <w:trPr>
          <w:trHeight w:val="206"/>
        </w:trPr>
        <w:tc>
          <w:tcPr>
            <w:tcW w:w="5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jc w:val="right"/>
              <w:spacing w:after="0"/>
              <w:rPr>
                <w:sz w:val="20"/>
                <w:szCs w:val="20"/>
                <w:color w:val="auto"/>
              </w:rPr>
            </w:pPr>
            <w:r>
              <w:rPr>
                <w:rFonts w:ascii="Arial" w:cs="Arial" w:eastAsia="Arial" w:hAnsi="Arial"/>
                <w:sz w:val="16"/>
                <w:szCs w:val="16"/>
                <w:color w:val="auto"/>
                <w:w w:val="93"/>
              </w:rPr>
              <w:t>Three Months Ended March 31,</w:t>
            </w:r>
          </w:p>
        </w:tc>
      </w:tr>
      <w:tr>
        <w:trPr>
          <w:trHeight w:val="33"/>
        </w:trPr>
        <w:tc>
          <w:tcPr>
            <w:tcW w:w="5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5180" w:type="dxa"/>
            <w:vAlign w:val="bottom"/>
          </w:tcPr>
          <w:p>
            <w:pPr>
              <w:spacing w:after="0"/>
              <w:rPr>
                <w:sz w:val="20"/>
                <w:szCs w:val="20"/>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Location</w:t>
            </w:r>
          </w:p>
        </w:tc>
        <w:tc>
          <w:tcPr>
            <w:tcW w:w="22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color w:val="auto"/>
              </w:rPr>
              <w:t>2013</w:t>
            </w:r>
          </w:p>
        </w:tc>
      </w:tr>
      <w:tr>
        <w:trPr>
          <w:trHeight w:val="33"/>
        </w:trPr>
        <w:tc>
          <w:tcPr>
            <w:tcW w:w="51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5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Reclassification into</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9"/>
        </w:trPr>
        <w:tc>
          <w:tcPr>
            <w:tcW w:w="5180" w:type="dxa"/>
            <w:vAlign w:val="bottom"/>
            <w:shd w:val="clear" w:color="auto" w:fill="CCEEFF"/>
          </w:tcPr>
          <w:p>
            <w:pPr>
              <w:ind w:left="20"/>
              <w:spacing w:after="0" w:line="239" w:lineRule="exact"/>
              <w:rPr>
                <w:sz w:val="20"/>
                <w:szCs w:val="20"/>
                <w:color w:val="auto"/>
              </w:rPr>
            </w:pPr>
            <w:r>
              <w:rPr>
                <w:rFonts w:ascii="Arial" w:cs="Arial" w:eastAsia="Arial" w:hAnsi="Arial"/>
                <w:sz w:val="16"/>
                <w:szCs w:val="16"/>
                <w:color w:val="auto"/>
              </w:rPr>
              <w:t xml:space="preserve">Amount of (gain) loss reclassified from accumulated OCI into income </w:t>
            </w:r>
            <w:r>
              <w:rPr>
                <w:rFonts w:ascii="Arial" w:cs="Arial" w:eastAsia="Arial" w:hAnsi="Arial"/>
                <w:sz w:val="21"/>
                <w:szCs w:val="21"/>
                <w:color w:val="auto"/>
                <w:vertAlign w:val="superscript"/>
              </w:rPr>
              <w:t>(1)</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7"/>
              </w:rPr>
              <w:t>earnings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r>
      <w:tr>
        <w:trPr>
          <w:trHeight w:val="270"/>
        </w:trPr>
        <w:tc>
          <w:tcPr>
            <w:tcW w:w="5180" w:type="dxa"/>
            <w:vAlign w:val="bottom"/>
          </w:tcPr>
          <w:p>
            <w:pPr>
              <w:ind w:left="20"/>
              <w:spacing w:after="0"/>
              <w:rPr>
                <w:sz w:val="20"/>
                <w:szCs w:val="20"/>
                <w:color w:val="auto"/>
              </w:rPr>
            </w:pPr>
            <w:r>
              <w:rPr>
                <w:rFonts w:ascii="Arial" w:cs="Arial" w:eastAsia="Arial" w:hAnsi="Arial"/>
                <w:sz w:val="16"/>
                <w:szCs w:val="16"/>
                <w:color w:val="auto"/>
              </w:rPr>
              <w:t xml:space="preserve">Amount of gain (loss) recognized in OCI on derivative </w:t>
            </w:r>
            <w:r>
              <w:rPr>
                <w:rFonts w:ascii="Arial" w:cs="Arial" w:eastAsia="Arial" w:hAnsi="Arial"/>
                <w:sz w:val="21"/>
                <w:szCs w:val="21"/>
                <w:color w:val="auto"/>
                <w:vertAlign w:val="superscript"/>
              </w:rPr>
              <w:t>(1)</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Change in fair value</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w:t>
            </w:r>
          </w:p>
        </w:tc>
      </w:tr>
      <w:tr>
        <w:trPr>
          <w:trHeight w:val="200"/>
        </w:trPr>
        <w:tc>
          <w:tcPr>
            <w:tcW w:w="5180" w:type="dxa"/>
            <w:vAlign w:val="bottom"/>
          </w:tcPr>
          <w:p>
            <w:pPr>
              <w:ind w:left="20"/>
              <w:spacing w:after="0"/>
              <w:rPr>
                <w:sz w:val="20"/>
                <w:szCs w:val="20"/>
                <w:color w:val="auto"/>
              </w:rPr>
            </w:pPr>
            <w:r>
              <w:rPr>
                <w:rFonts w:ascii="Arial" w:cs="Arial" w:eastAsia="Arial" w:hAnsi="Arial"/>
                <w:sz w:val="16"/>
                <w:szCs w:val="16"/>
                <w:color w:val="auto"/>
                <w:w w:val="97"/>
              </w:rPr>
              <w:t>Amount of gain (loss) recognized in condensed consolidated statements of</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6"/>
        </w:trPr>
        <w:tc>
          <w:tcPr>
            <w:tcW w:w="51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-269875</wp:posOffset>
            </wp:positionV>
            <wp:extent cx="576326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3260" cy="291465"/>
                    </a:xfrm>
                    <a:prstGeom prst="rect">
                      <a:avLst/>
                    </a:prstGeom>
                    <a:noFill/>
                  </pic:spPr>
                </pic:pic>
              </a:graphicData>
            </a:graphic>
          </wp:anchor>
        </w:drawing>
      </w:r>
    </w:p>
    <w:p>
      <w:pPr>
        <w:ind w:left="340" w:hanging="332"/>
        <w:spacing w:after="0" w:line="207"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Includes the effective portion of hedge gain (loss)</w:t>
      </w:r>
    </w:p>
    <w:p>
      <w:pPr>
        <w:spacing w:after="0" w:line="1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While certain of the Company's fuel derivatives are subject to enforceable master netting agreements with its counterparties, the Company does not offset its fuel derivative assets and liabilities in its condensed consolidated balance sheets. Certain of these agreements would also allow for the offsetting of fuel derivatives with interest rate derivatives. The impact of aircraft fuel derivative instruments (all cash flow hedges) on the Company's condensed consolidated balance sheets, and the impact of offsetting aircraft fuel derivative instruments, is depicted below (in millions):</w:t>
      </w:r>
    </w:p>
    <w:p>
      <w:pPr>
        <w:spacing w:after="0" w:line="105" w:lineRule="exact"/>
        <w:rPr>
          <w:sz w:val="20"/>
          <w:szCs w:val="20"/>
          <w:color w:val="auto"/>
        </w:rPr>
      </w:pPr>
    </w:p>
    <w:tbl>
      <w:tblPr>
        <w:tblLayout w:type="fixed"/>
        <w:tblInd w:w="1180" w:type="dxa"/>
        <w:tblCellMar>
          <w:top w:w="0" w:type="dxa"/>
          <w:left w:w="0" w:type="dxa"/>
          <w:bottom w:w="0" w:type="dxa"/>
          <w:right w:w="0" w:type="dxa"/>
        </w:tblCellMar>
      </w:tblPr>
      <w:tr>
        <w:trPr>
          <w:trHeight w:val="220"/>
        </w:trPr>
        <w:tc>
          <w:tcPr>
            <w:tcW w:w="6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March 31,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December 31,</w:t>
            </w:r>
          </w:p>
        </w:tc>
      </w:tr>
      <w:tr>
        <w:trPr>
          <w:trHeight w:val="239"/>
        </w:trPr>
        <w:tc>
          <w:tcPr>
            <w:tcW w:w="66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2014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2013</w:t>
            </w:r>
          </w:p>
        </w:tc>
      </w:tr>
      <w:tr>
        <w:trPr>
          <w:trHeight w:val="250"/>
        </w:trPr>
        <w:tc>
          <w:tcPr>
            <w:tcW w:w="6680" w:type="dxa"/>
            <w:vAlign w:val="bottom"/>
          </w:tcPr>
          <w:p>
            <w:pPr>
              <w:ind w:left="20"/>
              <w:spacing w:after="0"/>
              <w:rPr>
                <w:sz w:val="20"/>
                <w:szCs w:val="20"/>
                <w:color w:val="auto"/>
              </w:rPr>
            </w:pPr>
            <w:r>
              <w:rPr>
                <w:rFonts w:ascii="Arial" w:cs="Arial" w:eastAsia="Arial" w:hAnsi="Arial"/>
                <w:sz w:val="16"/>
                <w:szCs w:val="16"/>
                <w:color w:val="auto"/>
              </w:rPr>
              <w:t xml:space="preserve">Gross asset </w:t>
            </w:r>
            <w:r>
              <w:rPr>
                <w:rFonts w:ascii="Arial" w:cs="Arial" w:eastAsia="Arial" w:hAnsi="Arial"/>
                <w:sz w:val="21"/>
                <w:szCs w:val="21"/>
                <w:color w:val="auto"/>
                <w:vertAlign w:val="superscript"/>
              </w:rPr>
              <w:t>(1)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70"/>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Gross liability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680" w:type="dxa"/>
            <w:vAlign w:val="bottom"/>
          </w:tcPr>
          <w:p>
            <w:pPr>
              <w:ind w:left="20"/>
              <w:spacing w:after="0"/>
              <w:rPr>
                <w:sz w:val="20"/>
                <w:szCs w:val="20"/>
                <w:color w:val="auto"/>
              </w:rPr>
            </w:pPr>
            <w:r>
              <w:rPr>
                <w:rFonts w:ascii="Arial" w:cs="Arial" w:eastAsia="Arial" w:hAnsi="Arial"/>
                <w:sz w:val="16"/>
                <w:szCs w:val="16"/>
                <w:color w:val="auto"/>
              </w:rPr>
              <w:t>Net recognized asset (liability) in condensed consolidated balance sheet</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33"/>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6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6680" w:type="dxa"/>
            <w:vAlign w:val="bottom"/>
          </w:tcPr>
          <w:p>
            <w:pPr>
              <w:ind w:left="20"/>
              <w:spacing w:after="0"/>
              <w:rPr>
                <w:sz w:val="20"/>
                <w:szCs w:val="20"/>
                <w:color w:val="auto"/>
              </w:rPr>
            </w:pPr>
            <w:r>
              <w:rPr>
                <w:rFonts w:ascii="Arial" w:cs="Arial" w:eastAsia="Arial" w:hAnsi="Arial"/>
                <w:sz w:val="16"/>
                <w:szCs w:val="16"/>
                <w:color w:val="auto"/>
              </w:rPr>
              <w:t>Gross asset (liability) offset in condensed consolidated balance sheet:</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Financial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680" w:type="dxa"/>
            <w:vAlign w:val="bottom"/>
          </w:tcPr>
          <w:p>
            <w:pPr>
              <w:ind w:left="20"/>
              <w:spacing w:after="0"/>
              <w:rPr>
                <w:sz w:val="20"/>
                <w:szCs w:val="20"/>
                <w:color w:val="auto"/>
              </w:rPr>
            </w:pPr>
            <w:r>
              <w:rPr>
                <w:rFonts w:ascii="Arial" w:cs="Arial" w:eastAsia="Arial" w:hAnsi="Arial"/>
                <w:sz w:val="16"/>
                <w:szCs w:val="16"/>
                <w:color w:val="auto"/>
              </w:rPr>
              <w:t xml:space="preserve">Cash collateral received (posted) </w:t>
            </w:r>
            <w:r>
              <w:rPr>
                <w:rFonts w:ascii="Arial" w:cs="Arial" w:eastAsia="Arial" w:hAnsi="Arial"/>
                <w:sz w:val="21"/>
                <w:szCs w:val="21"/>
                <w:color w:val="auto"/>
                <w:vertAlign w:val="superscript"/>
              </w:rPr>
              <w:t>(3)</w:t>
            </w:r>
          </w:p>
        </w:tc>
        <w:tc>
          <w:tcPr>
            <w:tcW w:w="180" w:type="dxa"/>
            <w:vAlign w:val="bottom"/>
          </w:tcPr>
          <w:p>
            <w:pPr>
              <w:spacing w:after="0"/>
              <w:rPr>
                <w:sz w:val="23"/>
                <w:szCs w:val="2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680" w:type="dxa"/>
            <w:vAlign w:val="bottom"/>
          </w:tcPr>
          <w:p>
            <w:pPr>
              <w:ind w:left="20"/>
              <w:spacing w:after="0"/>
              <w:rPr>
                <w:sz w:val="20"/>
                <w:szCs w:val="20"/>
                <w:color w:val="auto"/>
              </w:rPr>
            </w:pPr>
            <w:r>
              <w:rPr>
                <w:rFonts w:ascii="Arial" w:cs="Arial" w:eastAsia="Arial" w:hAnsi="Arial"/>
                <w:sz w:val="16"/>
                <w:szCs w:val="16"/>
                <w:color w:val="auto"/>
              </w:rPr>
              <w:t>Net amount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-149860</wp:posOffset>
            </wp:positionV>
            <wp:extent cx="576326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3260" cy="171450"/>
                    </a:xfrm>
                    <a:prstGeom prst="rect">
                      <a:avLst/>
                    </a:prstGeom>
                    <a:noFill/>
                  </pic:spPr>
                </pic:pic>
              </a:graphicData>
            </a:graphic>
          </wp:anchor>
        </w:drawing>
      </w:r>
    </w:p>
    <w:p>
      <w:pPr>
        <w:ind w:left="340" w:hanging="332"/>
        <w:spacing w:after="0" w:line="207"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Fuel derivative assets are included in prepaid expenses and other on the accompanying condensed consolidated balance sheets.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Fuel derivative liabilities are included in accrued liabilities on the accompanying condensed consolidated balance sheets.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As of March 31, 2014, the Company had no posted cash collateral.</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also exposed to credit losses in the event of non-performance by counterparties to these financial instruments, and although no assurances can be given, the Company does not expect any of the counterparties to fail to meet their obligations. The credit exposure related to these financial instruments is represented by the fair value of contracts with a positive fair value at the reporting date, reduced by the effects of master netting agreements. To manage credit risks, the Company selects counterparties based on credit ratings, limits its exposure to a single counterparty under defined guidelines, and monitors the market position of the program and its relative market position with each counterparty. The Company also maintains industry-standard security agreements with a number of its counterparties which may require the Company or the counterparty to post collateral if the value of selected instruments exceeds specified mark-to-market thresholds or upon certain changes in credit ratings. The amount of collateral required to be posted from time to time may be substantial.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Income (Loss)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accumulated other comprehensive income (loss) are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Unrealized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Derivative</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Income tax</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Pension and retiree</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gain/(loss) on</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financial</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benefit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medical liability</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investments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instruments</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87"/>
              </w:rPr>
              <w:t>(expense)</w:t>
            </w:r>
          </w:p>
        </w:tc>
        <w:tc>
          <w:tcPr>
            <w:tcW w:w="260" w:type="dxa"/>
            <w:vAlign w:val="bottom"/>
          </w:tcPr>
          <w:p>
            <w:pPr>
              <w:spacing w:after="0"/>
              <w:rPr>
                <w:sz w:val="17"/>
                <w:szCs w:val="17"/>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color w:val="auto"/>
              </w:rPr>
              <w:t>Total</w:t>
            </w:r>
          </w:p>
        </w:tc>
      </w:tr>
      <w:tr>
        <w:trPr>
          <w:trHeight w:val="33"/>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Amounts reclassified from accumulated other comprehensive</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Balance at March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Reclassifications out of accumulated other comprehensive income (loss) for the three months ended March 31, 2014 and 2013 are as follows (in millions):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220" w:right="260"/>
        <w:spacing w:after="0" w:line="264" w:lineRule="auto"/>
        <w:rPr>
          <w:sz w:val="20"/>
          <w:szCs w:val="20"/>
          <w:color w:val="auto"/>
        </w:rPr>
      </w:pPr>
      <w:r>
        <w:rPr>
          <w:rFonts w:ascii="Arial" w:cs="Arial" w:eastAsia="Arial" w:hAnsi="Arial"/>
          <w:sz w:val="18"/>
          <w:szCs w:val="18"/>
          <w:color w:val="auto"/>
        </w:rPr>
        <w:t>Details about accumulated other comprehensive income (loss) components</w:t>
      </w:r>
    </w:p>
    <w:p>
      <w:pPr>
        <w:spacing w:after="0" w:line="33" w:lineRule="exact"/>
        <w:rPr>
          <w:sz w:val="20"/>
          <w:szCs w:val="20"/>
          <w:color w:val="auto"/>
        </w:rPr>
      </w:pPr>
    </w:p>
    <w:p>
      <w:pPr>
        <w:ind w:left="1220"/>
        <w:spacing w:after="0" w:line="277" w:lineRule="auto"/>
        <w:rPr>
          <w:sz w:val="20"/>
          <w:szCs w:val="20"/>
          <w:color w:val="auto"/>
        </w:rPr>
      </w:pPr>
      <w:r>
        <w:rPr>
          <w:rFonts w:ascii="Arial" w:cs="Arial" w:eastAsia="Arial" w:hAnsi="Arial"/>
          <w:sz w:val="18"/>
          <w:szCs w:val="18"/>
          <w:color w:val="auto"/>
        </w:rPr>
        <w:t>Amortization of pension and retiree medical liability:</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Amount reclassified from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-1905</wp:posOffset>
            </wp:positionV>
            <wp:extent cx="2298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31750</wp:posOffset>
            </wp:positionV>
            <wp:extent cx="22294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224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-1969770</wp:posOffset>
            </wp:positionH>
            <wp:positionV relativeFrom="paragraph">
              <wp:posOffset>31750</wp:posOffset>
            </wp:positionV>
            <wp:extent cx="5737225" cy="31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37225"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1220"/>
        <w:spacing w:after="0" w:line="264" w:lineRule="auto"/>
        <w:rPr>
          <w:sz w:val="20"/>
          <w:szCs w:val="20"/>
          <w:color w:val="auto"/>
        </w:rPr>
      </w:pPr>
      <w:r>
        <w:rPr>
          <w:rFonts w:ascii="Arial" w:cs="Arial" w:eastAsia="Arial" w:hAnsi="Arial"/>
          <w:sz w:val="18"/>
          <w:szCs w:val="18"/>
          <w:color w:val="auto"/>
        </w:rPr>
        <w:t>Affected line item in the statement where net income (loss) is presented</w:t>
      </w:r>
    </w:p>
    <w:p>
      <w:pPr>
        <w:spacing w:after="0" w:line="518" w:lineRule="exact"/>
        <w:rPr>
          <w:sz w:val="20"/>
          <w:szCs w:val="20"/>
          <w:color w:val="auto"/>
        </w:rPr>
      </w:pPr>
    </w:p>
    <w:p>
      <w:pPr>
        <w:sectPr>
          <w:pgSz w:w="11900" w:h="16838" w:orient="portrait"/>
          <w:cols w:equalWidth="0" w:num="3">
            <w:col w:w="3800" w:space="500"/>
            <w:col w:w="3220" w:space="220"/>
            <w:col w:w="3680"/>
          </w:cols>
          <w:pgMar w:left="240" w:top="125" w:right="239" w:bottom="1440" w:gutter="0" w:footer="0" w:header="0"/>
          <w:type w:val="continuous"/>
        </w:sectPr>
      </w:pPr>
    </w:p>
    <w:tbl>
      <w:tblPr>
        <w:tblLayout w:type="fixed"/>
        <w:tblInd w:w="1200" w:type="dxa"/>
        <w:tblCellMar>
          <w:top w:w="0" w:type="dxa"/>
          <w:left w:w="0" w:type="dxa"/>
          <w:bottom w:w="0" w:type="dxa"/>
          <w:right w:w="0" w:type="dxa"/>
        </w:tblCellMar>
      </w:tblP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Prior service cost</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2640" w:type="dxa"/>
            <w:vAlign w:val="bottom"/>
          </w:tcPr>
          <w:p>
            <w:pPr>
              <w:ind w:left="140"/>
              <w:spacing w:after="0"/>
              <w:rPr>
                <w:sz w:val="20"/>
                <w:szCs w:val="20"/>
                <w:color w:val="auto"/>
              </w:rPr>
            </w:pPr>
            <w:r>
              <w:rPr>
                <w:rFonts w:ascii="Arial" w:cs="Arial" w:eastAsia="Arial" w:hAnsi="Arial"/>
                <w:sz w:val="18"/>
                <w:szCs w:val="18"/>
                <w:color w:val="auto"/>
              </w:rPr>
              <w:t>Salaries, wages and benefits</w:t>
            </w:r>
          </w:p>
        </w:tc>
      </w:tr>
      <w:tr>
        <w:trPr>
          <w:trHeight w:val="27"/>
        </w:trPr>
        <w:tc>
          <w:tcPr>
            <w:tcW w:w="2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Actuarial loss</w:t>
            </w: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Salaries, wages and benefits</w:t>
            </w: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Derivative financial instruments:</w:t>
            </w: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flow hedges</w:t>
            </w: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Aircraft fuel and related taxes</w:t>
            </w: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Unrealized gain (loss) on</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change in value</w:t>
            </w:r>
          </w:p>
        </w:tc>
        <w:tc>
          <w:tcPr>
            <w:tcW w:w="7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r>
      <w:tr>
        <w:trPr>
          <w:trHeight w:val="257"/>
        </w:trPr>
        <w:tc>
          <w:tcPr>
            <w:tcW w:w="2880" w:type="dxa"/>
            <w:vAlign w:val="bottom"/>
          </w:tcPr>
          <w:p>
            <w:pPr>
              <w:ind w:left="20"/>
              <w:spacing w:after="0"/>
              <w:rPr>
                <w:sz w:val="20"/>
                <w:szCs w:val="20"/>
                <w:color w:val="auto"/>
              </w:rPr>
            </w:pPr>
            <w:r>
              <w:rPr>
                <w:rFonts w:ascii="Arial" w:cs="Arial" w:eastAsia="Arial" w:hAnsi="Arial"/>
                <w:sz w:val="18"/>
                <w:szCs w:val="18"/>
                <w:color w:val="auto"/>
              </w:rPr>
              <w:t>Total reclassifications for the period</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40" w:type="dxa"/>
            <w:vAlign w:val="bottom"/>
          </w:tcPr>
          <w:p>
            <w:pPr>
              <w:spacing w:after="0"/>
              <w:rPr>
                <w:sz w:val="22"/>
                <w:szCs w:val="22"/>
                <w:color w:val="auto"/>
              </w:rPr>
            </w:pPr>
          </w:p>
        </w:tc>
      </w:tr>
      <w:tr>
        <w:trPr>
          <w:trHeight w:val="20"/>
        </w:trPr>
        <w:tc>
          <w:tcPr>
            <w:tcW w:w="2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Regional Expenses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Expenses associated with the Company's wholly-owned regional airlines and third-party regional carriers operating under the brand names American Eagle and US Airways Express are classified as Regional expenses on the condensed consolidated statements of operations. Regional expenses consist of the following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4"/>
          </w:tcPr>
          <w:p>
            <w:pPr>
              <w:jc w:val="right"/>
              <w:ind w:right="50"/>
              <w:spacing w:after="0"/>
              <w:rPr>
                <w:sz w:val="20"/>
                <w:szCs w:val="20"/>
                <w:color w:val="auto"/>
              </w:rPr>
            </w:pPr>
            <w:r>
              <w:rPr>
                <w:rFonts w:ascii="Arial" w:cs="Arial" w:eastAsia="Arial" w:hAnsi="Arial"/>
                <w:sz w:val="18"/>
                <w:szCs w:val="18"/>
                <w:color w:val="auto"/>
                <w:w w:val="90"/>
              </w:rPr>
              <w:t>Three Months Ended March 31,</w:t>
            </w:r>
          </w:p>
        </w:tc>
      </w:tr>
      <w:tr>
        <w:trPr>
          <w:trHeight w:val="27"/>
        </w:trPr>
        <w:tc>
          <w:tcPr>
            <w:tcW w:w="6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27"/>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purchases from third-party regional carriers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Legal Proceedings</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Chapter 11 Cases</w:t>
      </w:r>
      <w:r>
        <w:rPr>
          <w:rFonts w:ascii="Arial" w:cs="Arial" w:eastAsia="Arial" w:hAnsi="Arial"/>
          <w:sz w:val="17"/>
          <w:szCs w:val="17"/>
          <w:color w:val="auto"/>
        </w:rPr>
        <w:t>. As previously disclosed, on the Petition Date, November 29, 2011, the Debtors filed voluntary petitions for relief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Bankruptcy Code. On October 21, 2013, the Bankruptcy Court entered the Confirmation Order approving and confirming the Debtors' Plan. On the Effective Date, December 9, 2013, the Debtors consummated their reorganization pursuant to the Plan, principally through the transactions contemplated by the Merger Agreement pursuant to which Merger Sub merged with and into US Airways Group, with US Airways Group surviving as a wholly-owned subsidiary of AAG. From the Petition Date through the Effective Date, pursuant to automatic stay provisions under the Bankruptcy Code and orders granted by the Bankruptcy Court, all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the extent the parties to such litigation have obtained relief from the permanent injunction.</w:t>
      </w:r>
    </w:p>
    <w:p>
      <w:pPr>
        <w:spacing w:after="0" w:line="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Pursuant to rulings of the Bankruptcy Court, the Plan has established a disputed claims reserve to hold shares of AAG Series A Preferred Stock and AAG Common Stock reserved for issuance to disputed claimholders that ultimately become allowed Single-Dip general unsecured claimholders after emergence. The shares provided for under the Plan are determined based upon a disputed claims reserve amount of approximately $755 million. As disputed claims are resolved, the claimants will receive distributions of shares from the reserve on the same basis as if such distributions had been made on or about the Effective Date. To the extent that any of the reserved shares remain undistributed upon resolution of the remaining disputed claims, such shares will not be returned to AAG but rather will be distributed by priority first, if necessary, to satisfy unsecured claims or labor-related obligations, and then to former AMR shareholders as of the Effective Date. AAG is not required to distribute additional shares above the limits contemplated by the Plan, even if the shares remaining for distribution are not sufficient to fully pay all allowed unsecured claims. However, resolution of disputed claims could have a material effect on Single-Dip creditor recoveries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1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post-employee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The Company's financial statements presently reflect these retirement programs without giving effect to any modification or termination of benefits that may ultimately be implemented based upon the outcome of this proceeding.</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Government Antitrust Actions</w:t>
      </w:r>
      <w:r>
        <w:rPr>
          <w:rFonts w:ascii="Arial" w:cs="Arial" w:eastAsia="Arial" w:hAnsi="Arial"/>
          <w:sz w:val="16"/>
          <w:szCs w:val="16"/>
          <w:color w:val="auto"/>
        </w:rPr>
        <w:t>. On August 13, 2013, the U.S. government, along with the States of Arizona, Florida, Tennessee and Texas,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Commonwealths of Pennsylvania and Virginia, and the District of Columbia (collectively, the plaintiff states), filed a complaint against US Airways Group and AMR in the U.S. District Court for the District of Columbia. The plaintiffs alleged, among other things, that the proposed Merger would substantially lessen competition in violation of Section 7 of the Clayton Act and sought to permanently enjoin the transaction. On September 5, 2013, the plaintiffs filed an amended complaint, adding the State of Michigan as a plaintiff. On October 1, 2013, the State of Texas entered into an agreement with US Airways Group and AMR that resolved that state’s objections to the Merger, and its claims were dismissed with prejudice on October 7, 2013. On November 11, 2013, US Airways and American entered into agreements with the U.S. government and the plaintiff states resolving all claims in the litigation. The agreement with the U.S. government requires the carriers to divest assets at certain airports and remains subject to public comment and court approval. In the agreement with the United States government, among other things, we agreed to divest and not reacquire for 10 years certain rights and assets consisting of 52 slot pairs at DCA, and 17 slot pairs at LaGuardia Airport, in each case together with associated gates and related ground facilities necessary to operate those slot pairs, and two gates at each of Boston Logan International Airport, Chicago O’Hare International Airport, Dallas Love Field, Los Angeles International Airport and Miami International Airport. The agreement with the plaintiff states, which was entered by the court on November 12, 2013, requires American and US Airways, subject to certain conditions and exceptions, to maintain certain hub operations in a manner generally consistent with historical operations and to continue to provide scheduled daily service to certain specified communities, both for limited periods of time. In addition, the Company entered into a related settlement with the DOT related to small community service from DCA.</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Merger Class Action</w:t>
      </w:r>
      <w:r>
        <w:rPr>
          <w:rFonts w:ascii="Arial" w:cs="Arial" w:eastAsia="Arial" w:hAnsi="Arial"/>
          <w:sz w:val="16"/>
          <w:szCs w:val="16"/>
          <w:color w:val="auto"/>
        </w:rPr>
        <w:t>. On March 1, 2013, a complaint captioned Plumbers &amp; Steamfitters Local Union No. 248 Pension Fund v. US Airways Group,</w:t>
      </w:r>
      <w:r>
        <w:rPr>
          <w:rFonts w:ascii="Arial" w:cs="Arial" w:eastAsia="Arial" w:hAnsi="Arial"/>
          <w:sz w:val="16"/>
          <w:szCs w:val="16"/>
          <w:i w:val="1"/>
          <w:iCs w:val="1"/>
          <w:color w:val="auto"/>
        </w:rPr>
        <w:t xml:space="preserve"> </w:t>
      </w:r>
      <w:r>
        <w:rPr>
          <w:rFonts w:ascii="Arial" w:cs="Arial" w:eastAsia="Arial" w:hAnsi="Arial"/>
          <w:sz w:val="16"/>
          <w:szCs w:val="16"/>
          <w:color w:val="auto"/>
        </w:rPr>
        <w:t>Inc., et al., No. CV2013-051605, was filed as a putative class action on behalf of the stockholders of US Airways Group in the Superior Court for Maricopa County, Arizona. On July 3, 2013, an amended complaint, captioned Dennis Palkon, et al. v. US Airways Group, Inc., et al., No. CV2013-051605, was filed with the same court. The amended complaint names as defendants US Airways Group and the members of its board of directors, and alleges that the directors failed to maximize the value of US Airways Group in connection with the Merger and that US Airways Group aided and abetted those breaches of fiduciary duty. The relief sought in the amended complaint includes an injunction against the Merger, or rescission in the event it has been consummated. The court in the above-referenced action denied the plaintiff’s motion for a temporary restraining order that had sought to enjoin the US Airways Group Annual Meeting of Stockholders. The above-referenced action was stayed pending the outcome of the antitrust lawsuit filed by the U.S. government and various states on August 13, 2013 (described above). This stay has now been lifted and a motion to dismiss this action filed by US Airways Group is pending before the court. The Company believes this lawsuit is without merit and intends to vigorously defend against the allegations.</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Private Party Antitrust Action</w:t>
      </w:r>
      <w:r>
        <w:rPr>
          <w:rFonts w:ascii="Arial" w:cs="Arial" w:eastAsia="Arial" w:hAnsi="Arial"/>
          <w:sz w:val="18"/>
          <w:szCs w:val="18"/>
          <w:color w:val="auto"/>
        </w:rPr>
        <w:t>. On July 2, 2013, a lawsuit captioned Carolyn Fjord, et al., v. US Airways Group, Inc., et al., was filed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District Court for the Northern District of California. The complaint names as defendants US Airways Group and US Airways, and alleges that the effect of the Merger may be to substantially lessen competition or tend to create a monopoly in violation of Section 7 of the Clayton Antitrust Act. The relief sought in the complaint includes an injunction against the Merger, or divestiture. On August 6, 2013, the plaintiffs re-filed their complaint in the Bankruptcy Court, adding AMR and American as defendants, and on October 2, 2013, dismissed the initial California action. The Bankruptcy Court denied plaintiffs’ motion to preliminarily enjoin the Merger. On January 10, 2014, the plaintiffs moved to amend their complaint to add additional factual allegations, a claim for money damages and a request for preliminary injunctive relief requiring the carriers to hold separate their assets. On March 14, 2014, the Court allowed plaintiffs to add certain allegations but denied plaintiffs' requests to add a damages claim or seek preliminary injunctive relief requiring the carriers to hold separate their assets. There is currently no trial date set. The Company believes this lawsuit is without merit and intends to vigorously defend against the allegations.</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US Airways Sabre Matter</w:t>
      </w:r>
      <w:r>
        <w:rPr>
          <w:rFonts w:ascii="Arial" w:cs="Arial" w:eastAsia="Arial" w:hAnsi="Arial"/>
          <w:sz w:val="17"/>
          <w:szCs w:val="17"/>
          <w:color w:val="auto"/>
        </w:rPr>
        <w:t>. On April 21, 2011, US Airways filed an antitrust lawsuit against Sabre Holdings Corporation, Sabre Inc. and Sabre Travel</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Limited (collectively, Sabre) in Federal District Court for the Southern District of New York. The lawsuit, as amended to date, alleges, among other things, that Sabre has engaged in anticompetitive practices to preserve its market power by restricting the Company's ability to distribute its products to its customers. The lawsuit also alleges that these actions have permitted Sabre to charge supracompetitive booking fees and to use technologies that are not as robust and as efficient as alternatives in a competitive market. The lawsuit seeks both injunctive relief and money damages. Sabre filed a motion to dismiss the case, which the court denied in part and granted in part in September 2011, allowing two of the four counts in the complaint to proceed. On April 1, 2014, Sabre filed motions for summary judgment that are pending before the court. The Company intends to pursue its claims against Sabre vigorously, but there can be no assurance of the outcome of this litigation.</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Company and its subsidiaries are also engaged in other legal proceedings from time to time. Legal proceedings can be complex and</w:t>
      </w:r>
      <w:r>
        <w:rPr>
          <w:rFonts w:ascii="Arial" w:cs="Arial" w:eastAsia="Arial" w:hAnsi="Arial"/>
          <w:sz w:val="18"/>
          <w:szCs w:val="18"/>
          <w:i w:val="1"/>
          <w:iCs w:val="1"/>
          <w:color w:val="auto"/>
        </w:rPr>
        <w:t xml:space="preserve"> </w:t>
      </w:r>
      <w:r>
        <w:rPr>
          <w:rFonts w:ascii="Arial" w:cs="Arial" w:eastAsia="Arial" w:hAnsi="Arial"/>
          <w:sz w:val="18"/>
          <w:szCs w:val="18"/>
          <w:color w:val="auto"/>
        </w:rPr>
        <w:t>take many months, or even years, to reach resolution, with the final outcome depending on a number of variables, some of which are not within the control of the Company. Therefore, although the Company will vigorously defend itself in each of the actions described above and such other legal proceedings, their ultimate resolution and potential financial and other impacts on the Company are uncertain.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Information for Subsidiary Guarantors and Non-guarantor Subsidiaries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are various cross-guarantees among the Company, American, US Airways Group and US Airways with respect to publicly held debt securities. In connection with the Merger, the Company and American entered into a second supplemental indenture under which they jointly and severally guaranteed the payment of obligations associated with US Airways Group's 6.125% senior notes. The Company also entered into a second supplemental indenture under which the Company guaranteed the payment of obligations of US Airways Group's 7.25% convertible notes and which also provides for the conversion of the 7.25% convertible notes into AAG Common Stock rather than into US Airways Group common stock. In addition, in March 2014, the Company, US Airways Group and US Airways entered into amended and restated guarantees of the payment obligations of US Airways under the equipment notes relating to each of its Series 2010-1, 2011-1, 2012-1, 2012-2 and 2013-1 Pass Through Certificates the result of which was to add AAG as a guarantor of such equipment notes on a joint and several basis with US Airways Group.</w:t>
      </w:r>
    </w:p>
    <w:p>
      <w:pPr>
        <w:spacing w:after="0" w:line="1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issuance of these guarantees, in accordance with Rule 3-10 of Regulation S-X and Rule 12h-5 under the Securities Exchange Act of 1934, as amended, US Airways Group and US Airways discontinued filing separate periodic and current reports with the SEC. As a result, in accordance with Rule 3-10, the Company is required to present the following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condensed consolidating financial information for the periods after Merger close for American Airlines Group Parent, American, US Airways Group Parent, US Airways and all other non-guarantor subsidiaries, together with the consolidating adjustments necessary to present the Company’s results on a consolidated basis.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37"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Three Months Ended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34925</wp:posOffset>
            </wp:positionV>
            <wp:extent cx="45878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pacing w:after="0" w:line="52" w:lineRule="exact"/>
        <w:rPr>
          <w:sz w:val="20"/>
          <w:szCs w:val="20"/>
          <w:color w:val="auto"/>
        </w:rPr>
      </w:pPr>
    </w:p>
    <w:tbl>
      <w:tblPr>
        <w:tblLayout w:type="fixed"/>
        <w:tblInd w:w="3080" w:type="dxa"/>
        <w:tblCellMar>
          <w:top w:w="0" w:type="dxa"/>
          <w:left w:w="0" w:type="dxa"/>
          <w:bottom w:w="0" w:type="dxa"/>
          <w:right w:w="0" w:type="dxa"/>
        </w:tblCellMar>
      </w:tblPr>
      <w:tr>
        <w:trPr>
          <w:trHeight w:val="172"/>
        </w:trPr>
        <w:tc>
          <w:tcPr>
            <w:tcW w:w="1040" w:type="dxa"/>
            <w:vAlign w:val="bottom"/>
          </w:tcPr>
          <w:p>
            <w:pPr>
              <w:jc w:val="center"/>
              <w:ind w:right="43"/>
              <w:spacing w:after="0"/>
              <w:rPr>
                <w:sz w:val="20"/>
                <w:szCs w:val="20"/>
                <w:color w:val="auto"/>
              </w:rPr>
            </w:pPr>
            <w:r>
              <w:rPr>
                <w:rFonts w:ascii="Arial" w:cs="Arial" w:eastAsia="Arial" w:hAnsi="Arial"/>
                <w:sz w:val="15"/>
                <w:szCs w:val="15"/>
                <w:color w:val="auto"/>
                <w:w w:val="94"/>
              </w:rPr>
              <w:t>American</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1040" w:type="dxa"/>
            <w:vAlign w:val="bottom"/>
          </w:tcPr>
          <w:p>
            <w:pPr>
              <w:jc w:val="center"/>
              <w:ind w:right="43"/>
              <w:spacing w:after="0" w:line="162" w:lineRule="exact"/>
              <w:rPr>
                <w:sz w:val="20"/>
                <w:szCs w:val="20"/>
                <w:color w:val="auto"/>
              </w:rPr>
            </w:pPr>
            <w:r>
              <w:rPr>
                <w:rFonts w:ascii="Arial" w:cs="Arial" w:eastAsia="Arial" w:hAnsi="Arial"/>
                <w:sz w:val="15"/>
                <w:szCs w:val="15"/>
                <w:color w:val="auto"/>
                <w:w w:val="96"/>
              </w:rPr>
              <w:t>Airlines Group</w:t>
            </w:r>
          </w:p>
        </w:tc>
        <w:tc>
          <w:tcPr>
            <w:tcW w:w="8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color w:val="auto"/>
                <w:w w:val="95"/>
              </w:rPr>
              <w:t>US Airways</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jc w:val="center"/>
              <w:ind w:left="83"/>
              <w:spacing w:after="0" w:line="162" w:lineRule="exact"/>
              <w:rPr>
                <w:sz w:val="20"/>
                <w:szCs w:val="20"/>
                <w:color w:val="auto"/>
              </w:rPr>
            </w:pPr>
            <w:r>
              <w:rPr>
                <w:rFonts w:ascii="Arial" w:cs="Arial" w:eastAsia="Arial" w:hAnsi="Arial"/>
                <w:sz w:val="15"/>
                <w:szCs w:val="15"/>
                <w:color w:val="auto"/>
                <w:w w:val="94"/>
              </w:rPr>
              <w:t>American</w:t>
            </w:r>
          </w:p>
        </w:tc>
      </w:tr>
      <w:tr>
        <w:trPr>
          <w:trHeight w:val="162"/>
        </w:trPr>
        <w:tc>
          <w:tcPr>
            <w:tcW w:w="1040" w:type="dxa"/>
            <w:vAlign w:val="bottom"/>
          </w:tcPr>
          <w:p>
            <w:pPr>
              <w:jc w:val="center"/>
              <w:ind w:right="43"/>
              <w:spacing w:after="0" w:line="162" w:lineRule="exact"/>
              <w:rPr>
                <w:sz w:val="20"/>
                <w:szCs w:val="20"/>
                <w:color w:val="auto"/>
              </w:rPr>
            </w:pPr>
            <w:r>
              <w:rPr>
                <w:rFonts w:ascii="Arial" w:cs="Arial" w:eastAsia="Arial" w:hAnsi="Arial"/>
                <w:sz w:val="15"/>
                <w:szCs w:val="15"/>
                <w:color w:val="auto"/>
                <w:w w:val="89"/>
              </w:rPr>
              <w:t>(Parent</w:t>
            </w:r>
          </w:p>
        </w:tc>
        <w:tc>
          <w:tcPr>
            <w:tcW w:w="8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color w:val="auto"/>
                <w:w w:val="90"/>
              </w:rPr>
              <w:t>Group (Parent</w:t>
            </w:r>
          </w:p>
        </w:tc>
        <w:tc>
          <w:tcPr>
            <w:tcW w:w="80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Arial" w:cs="Arial" w:eastAsia="Arial" w:hAnsi="Arial"/>
                <w:sz w:val="15"/>
                <w:szCs w:val="15"/>
                <w:color w:val="auto"/>
                <w:w w:val="98"/>
              </w:rPr>
              <w:t>Non-</w:t>
            </w:r>
          </w:p>
        </w:tc>
        <w:tc>
          <w:tcPr>
            <w:tcW w:w="1320" w:type="dxa"/>
            <w:vAlign w:val="bottom"/>
          </w:tcPr>
          <w:p>
            <w:pPr>
              <w:spacing w:after="0"/>
              <w:rPr>
                <w:sz w:val="14"/>
                <w:szCs w:val="14"/>
                <w:color w:val="auto"/>
              </w:rPr>
            </w:pPr>
          </w:p>
        </w:tc>
        <w:tc>
          <w:tcPr>
            <w:tcW w:w="960" w:type="dxa"/>
            <w:vAlign w:val="bottom"/>
          </w:tcPr>
          <w:p>
            <w:pPr>
              <w:jc w:val="center"/>
              <w:ind w:left="83"/>
              <w:spacing w:after="0" w:line="162" w:lineRule="exact"/>
              <w:rPr>
                <w:sz w:val="20"/>
                <w:szCs w:val="20"/>
                <w:color w:val="auto"/>
              </w:rPr>
            </w:pPr>
            <w:r>
              <w:rPr>
                <w:rFonts w:ascii="Arial" w:cs="Arial" w:eastAsia="Arial" w:hAnsi="Arial"/>
                <w:sz w:val="15"/>
                <w:szCs w:val="15"/>
                <w:color w:val="auto"/>
                <w:w w:val="97"/>
              </w:rPr>
              <w:t>Airlines</w:t>
            </w:r>
          </w:p>
        </w:tc>
      </w:tr>
      <w:tr>
        <w:trPr>
          <w:trHeight w:val="162"/>
        </w:trPr>
        <w:tc>
          <w:tcPr>
            <w:tcW w:w="1040" w:type="dxa"/>
            <w:vAlign w:val="bottom"/>
          </w:tcPr>
          <w:p>
            <w:pPr>
              <w:jc w:val="center"/>
              <w:ind w:right="43"/>
              <w:spacing w:after="0" w:line="162" w:lineRule="exact"/>
              <w:rPr>
                <w:sz w:val="20"/>
                <w:szCs w:val="20"/>
                <w:color w:val="auto"/>
              </w:rPr>
            </w:pPr>
            <w:r>
              <w:rPr>
                <w:rFonts w:ascii="Arial" w:cs="Arial" w:eastAsia="Arial" w:hAnsi="Arial"/>
                <w:sz w:val="15"/>
                <w:szCs w:val="15"/>
                <w:color w:val="auto"/>
                <w:w w:val="93"/>
              </w:rPr>
              <w:t>Company</w:t>
            </w:r>
          </w:p>
        </w:tc>
        <w:tc>
          <w:tcPr>
            <w:tcW w:w="8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color w:val="auto"/>
                <w:w w:val="90"/>
              </w:rPr>
              <w:t>Company</w:t>
            </w:r>
          </w:p>
        </w:tc>
        <w:tc>
          <w:tcPr>
            <w:tcW w:w="800" w:type="dxa"/>
            <w:vAlign w:val="bottom"/>
          </w:tcPr>
          <w:p>
            <w:pPr>
              <w:jc w:val="center"/>
              <w:spacing w:after="0" w:line="162" w:lineRule="exact"/>
              <w:rPr>
                <w:sz w:val="20"/>
                <w:szCs w:val="20"/>
                <w:color w:val="auto"/>
              </w:rPr>
            </w:pPr>
            <w:r>
              <w:rPr>
                <w:rFonts w:ascii="Arial" w:cs="Arial" w:eastAsia="Arial" w:hAnsi="Arial"/>
                <w:sz w:val="15"/>
                <w:szCs w:val="15"/>
                <w:color w:val="auto"/>
                <w:w w:val="95"/>
              </w:rPr>
              <w:t>US</w:t>
            </w:r>
          </w:p>
        </w:tc>
        <w:tc>
          <w:tcPr>
            <w:tcW w:w="1040" w:type="dxa"/>
            <w:vAlign w:val="bottom"/>
          </w:tcPr>
          <w:p>
            <w:pPr>
              <w:jc w:val="center"/>
              <w:spacing w:after="0" w:line="162" w:lineRule="exact"/>
              <w:rPr>
                <w:sz w:val="20"/>
                <w:szCs w:val="20"/>
                <w:color w:val="auto"/>
              </w:rPr>
            </w:pPr>
            <w:r>
              <w:rPr>
                <w:rFonts w:ascii="Arial" w:cs="Arial" w:eastAsia="Arial" w:hAnsi="Arial"/>
                <w:sz w:val="15"/>
                <w:szCs w:val="15"/>
                <w:color w:val="auto"/>
                <w:w w:val="91"/>
              </w:rPr>
              <w:t>Guarantor</w:t>
            </w:r>
          </w:p>
        </w:tc>
        <w:tc>
          <w:tcPr>
            <w:tcW w:w="1320" w:type="dxa"/>
            <w:vAlign w:val="bottom"/>
          </w:tcPr>
          <w:p>
            <w:pPr>
              <w:ind w:left="140"/>
              <w:spacing w:after="0" w:line="162" w:lineRule="exact"/>
              <w:rPr>
                <w:sz w:val="20"/>
                <w:szCs w:val="20"/>
                <w:color w:val="auto"/>
              </w:rPr>
            </w:pPr>
            <w:r>
              <w:rPr>
                <w:rFonts w:ascii="Arial" w:cs="Arial" w:eastAsia="Arial" w:hAnsi="Arial"/>
                <w:sz w:val="15"/>
                <w:szCs w:val="15"/>
                <w:color w:val="auto"/>
              </w:rPr>
              <w:t>Eliminations and</w:t>
            </w:r>
          </w:p>
        </w:tc>
        <w:tc>
          <w:tcPr>
            <w:tcW w:w="960" w:type="dxa"/>
            <w:vAlign w:val="bottom"/>
          </w:tcPr>
          <w:p>
            <w:pPr>
              <w:jc w:val="center"/>
              <w:ind w:left="83"/>
              <w:spacing w:after="0" w:line="162" w:lineRule="exact"/>
              <w:rPr>
                <w:sz w:val="20"/>
                <w:szCs w:val="20"/>
                <w:color w:val="auto"/>
              </w:rPr>
            </w:pPr>
            <w:r>
              <w:rPr>
                <w:rFonts w:ascii="Arial" w:cs="Arial" w:eastAsia="Arial" w:hAnsi="Arial"/>
                <w:sz w:val="15"/>
                <w:szCs w:val="15"/>
                <w:color w:val="auto"/>
                <w:w w:val="97"/>
              </w:rPr>
              <w:t>Group Inc.</w:t>
            </w:r>
          </w:p>
        </w:tc>
      </w:tr>
      <w:tr>
        <w:trPr>
          <w:trHeight w:val="194"/>
        </w:trPr>
        <w:tc>
          <w:tcPr>
            <w:tcW w:w="1040" w:type="dxa"/>
            <w:vAlign w:val="bottom"/>
          </w:tcPr>
          <w:p>
            <w:pPr>
              <w:jc w:val="center"/>
              <w:ind w:right="43"/>
              <w:spacing w:after="0"/>
              <w:rPr>
                <w:sz w:val="20"/>
                <w:szCs w:val="20"/>
                <w:color w:val="auto"/>
              </w:rPr>
            </w:pPr>
            <w:r>
              <w:rPr>
                <w:rFonts w:ascii="Arial" w:cs="Arial" w:eastAsia="Arial" w:hAnsi="Arial"/>
                <w:sz w:val="15"/>
                <w:szCs w:val="15"/>
                <w:color w:val="auto"/>
              </w:rPr>
              <w:t>Only)</w:t>
            </w:r>
          </w:p>
        </w:tc>
        <w:tc>
          <w:tcPr>
            <w:tcW w:w="820" w:type="dxa"/>
            <w:vAlign w:val="bottom"/>
          </w:tcPr>
          <w:p>
            <w:pPr>
              <w:ind w:left="120"/>
              <w:spacing w:after="0"/>
              <w:rPr>
                <w:sz w:val="20"/>
                <w:szCs w:val="20"/>
                <w:color w:val="auto"/>
              </w:rPr>
            </w:pPr>
            <w:r>
              <w:rPr>
                <w:rFonts w:ascii="Arial" w:cs="Arial" w:eastAsia="Arial" w:hAnsi="Arial"/>
                <w:sz w:val="15"/>
                <w:szCs w:val="15"/>
                <w:color w:val="auto"/>
              </w:rPr>
              <w:t>American</w:t>
            </w:r>
          </w:p>
        </w:tc>
        <w:tc>
          <w:tcPr>
            <w:tcW w:w="1120" w:type="dxa"/>
            <w:vAlign w:val="bottom"/>
          </w:tcPr>
          <w:p>
            <w:pPr>
              <w:jc w:val="center"/>
              <w:spacing w:after="0"/>
              <w:rPr>
                <w:sz w:val="20"/>
                <w:szCs w:val="20"/>
                <w:color w:val="auto"/>
              </w:rPr>
            </w:pPr>
            <w:r>
              <w:rPr>
                <w:rFonts w:ascii="Arial" w:cs="Arial" w:eastAsia="Arial" w:hAnsi="Arial"/>
                <w:sz w:val="15"/>
                <w:szCs w:val="15"/>
                <w:color w:val="auto"/>
                <w:w w:val="94"/>
              </w:rPr>
              <w:t>Only)</w:t>
            </w:r>
          </w:p>
        </w:tc>
        <w:tc>
          <w:tcPr>
            <w:tcW w:w="800" w:type="dxa"/>
            <w:vAlign w:val="bottom"/>
          </w:tcPr>
          <w:p>
            <w:pPr>
              <w:jc w:val="center"/>
              <w:spacing w:after="0"/>
              <w:rPr>
                <w:sz w:val="20"/>
                <w:szCs w:val="20"/>
                <w:color w:val="auto"/>
              </w:rPr>
            </w:pPr>
            <w:r>
              <w:rPr>
                <w:rFonts w:ascii="Arial" w:cs="Arial" w:eastAsia="Arial" w:hAnsi="Arial"/>
                <w:sz w:val="15"/>
                <w:szCs w:val="15"/>
                <w:color w:val="auto"/>
                <w:w w:val="98"/>
              </w:rPr>
              <w:t>Airways</w:t>
            </w:r>
          </w:p>
        </w:tc>
        <w:tc>
          <w:tcPr>
            <w:tcW w:w="1040" w:type="dxa"/>
            <w:vAlign w:val="bottom"/>
          </w:tcPr>
          <w:p>
            <w:pPr>
              <w:jc w:val="center"/>
              <w:spacing w:after="0"/>
              <w:rPr>
                <w:sz w:val="20"/>
                <w:szCs w:val="20"/>
                <w:color w:val="auto"/>
              </w:rPr>
            </w:pPr>
            <w:r>
              <w:rPr>
                <w:rFonts w:ascii="Arial" w:cs="Arial" w:eastAsia="Arial" w:hAnsi="Arial"/>
                <w:sz w:val="15"/>
                <w:szCs w:val="15"/>
                <w:color w:val="auto"/>
                <w:w w:val="92"/>
              </w:rPr>
              <w:t>Subsidiaries</w:t>
            </w:r>
          </w:p>
        </w:tc>
        <w:tc>
          <w:tcPr>
            <w:tcW w:w="1320" w:type="dxa"/>
            <w:vAlign w:val="bottom"/>
          </w:tcPr>
          <w:p>
            <w:pPr>
              <w:ind w:left="140"/>
              <w:spacing w:after="0"/>
              <w:rPr>
                <w:sz w:val="20"/>
                <w:szCs w:val="20"/>
                <w:color w:val="auto"/>
              </w:rPr>
            </w:pPr>
            <w:r>
              <w:rPr>
                <w:rFonts w:ascii="Arial" w:cs="Arial" w:eastAsia="Arial" w:hAnsi="Arial"/>
                <w:sz w:val="15"/>
                <w:szCs w:val="15"/>
                <w:color w:val="auto"/>
              </w:rPr>
              <w:t>Reclassifications</w:t>
            </w:r>
          </w:p>
        </w:tc>
        <w:tc>
          <w:tcPr>
            <w:tcW w:w="960" w:type="dxa"/>
            <w:vAlign w:val="bottom"/>
          </w:tcPr>
          <w:p>
            <w:pPr>
              <w:jc w:val="center"/>
              <w:ind w:left="83"/>
              <w:spacing w:after="0"/>
              <w:rPr>
                <w:sz w:val="20"/>
                <w:szCs w:val="20"/>
                <w:color w:val="auto"/>
              </w:rPr>
            </w:pPr>
            <w:r>
              <w:rPr>
                <w:rFonts w:ascii="Arial" w:cs="Arial" w:eastAsia="Arial" w:hAnsi="Arial"/>
                <w:sz w:val="15"/>
                <w:szCs w:val="15"/>
                <w:color w:val="auto"/>
                <w:w w:val="91"/>
              </w:rPr>
              <w:t>Consolidated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5080</wp:posOffset>
            </wp:positionV>
            <wp:extent cx="578040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80405" cy="180340"/>
                    </a:xfrm>
                    <a:prstGeom prst="rect">
                      <a:avLst/>
                    </a:prstGeom>
                    <a:noFill/>
                  </pic:spPr>
                </pic:pic>
              </a:graphicData>
            </a:graphic>
          </wp:anchor>
        </w:drawing>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Operating revenues</w:t>
      </w:r>
    </w:p>
    <w:p>
      <w:pPr>
        <w:sectPr>
          <w:pgSz w:w="11900" w:h="16838" w:orient="portrait"/>
          <w:cols w:equalWidth="0" w:num="1">
            <w:col w:w="11420"/>
          </w:cols>
          <w:pgMar w:left="240" w:top="125" w:right="239" w:bottom="1440" w:gutter="0" w:footer="0" w:header="0"/>
        </w:sectPr>
      </w:pPr>
    </w:p>
    <w:p>
      <w:pPr>
        <w:spacing w:after="0" w:line="104" w:lineRule="exact"/>
        <w:rPr>
          <w:sz w:val="20"/>
          <w:szCs w:val="20"/>
          <w:color w:val="auto"/>
        </w:rPr>
      </w:pPr>
    </w:p>
    <w:tbl>
      <w:tblPr>
        <w:tblLayout w:type="fixed"/>
        <w:tblInd w:w="1180" w:type="dxa"/>
        <w:tblCellMar>
          <w:top w:w="0" w:type="dxa"/>
          <w:left w:w="0" w:type="dxa"/>
          <w:bottom w:w="0" w:type="dxa"/>
          <w:right w:w="0" w:type="dxa"/>
        </w:tblCellMar>
      </w:tblPr>
      <w:tr>
        <w:trPr>
          <w:trHeight w:val="220"/>
        </w:trPr>
        <w:tc>
          <w:tcPr>
            <w:tcW w:w="1860" w:type="dxa"/>
            <w:vAlign w:val="bottom"/>
          </w:tcPr>
          <w:p>
            <w:pPr>
              <w:ind w:left="260"/>
              <w:spacing w:after="0"/>
              <w:rPr>
                <w:sz w:val="20"/>
                <w:szCs w:val="20"/>
                <w:color w:val="auto"/>
              </w:rPr>
            </w:pPr>
            <w:r>
              <w:rPr>
                <w:rFonts w:ascii="Arial" w:cs="Arial" w:eastAsia="Arial" w:hAnsi="Arial"/>
                <w:sz w:val="16"/>
                <w:szCs w:val="16"/>
                <w:color w:val="auto"/>
              </w:rPr>
              <w:t>Mainline passenger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4,906</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60" w:type="dxa"/>
            <w:vAlign w:val="bottom"/>
          </w:tcPr>
          <w:p>
            <w:pPr>
              <w:ind w:left="260"/>
              <w:spacing w:after="0"/>
              <w:rPr>
                <w:sz w:val="20"/>
                <w:szCs w:val="20"/>
                <w:color w:val="auto"/>
              </w:rPr>
            </w:pPr>
            <w:r>
              <w:rPr>
                <w:rFonts w:ascii="Arial" w:cs="Arial" w:eastAsia="Arial" w:hAnsi="Arial"/>
                <w:sz w:val="16"/>
                <w:szCs w:val="16"/>
                <w:color w:val="auto"/>
              </w:rPr>
              <w:t>Regional passenger</w:t>
            </w:r>
          </w:p>
        </w:tc>
        <w:tc>
          <w:tcPr>
            <w:tcW w:w="340" w:type="dxa"/>
            <w:vAlign w:val="bottom"/>
          </w:tcPr>
          <w:p>
            <w:pPr>
              <w:spacing w:after="0"/>
              <w:rPr>
                <w:sz w:val="23"/>
                <w:szCs w:val="2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60" w:type="dxa"/>
            <w:vAlign w:val="bottom"/>
          </w:tcPr>
          <w:p>
            <w:pPr>
              <w:ind w:left="260"/>
              <w:spacing w:after="0"/>
              <w:rPr>
                <w:sz w:val="20"/>
                <w:szCs w:val="20"/>
                <w:color w:val="auto"/>
              </w:rPr>
            </w:pPr>
            <w:r>
              <w:rPr>
                <w:rFonts w:ascii="Arial" w:cs="Arial" w:eastAsia="Arial" w:hAnsi="Arial"/>
                <w:sz w:val="16"/>
                <w:szCs w:val="16"/>
                <w:color w:val="auto"/>
              </w:rPr>
              <w:t>Cargo</w:t>
            </w:r>
          </w:p>
        </w:tc>
        <w:tc>
          <w:tcPr>
            <w:tcW w:w="340" w:type="dxa"/>
            <w:vAlign w:val="bottom"/>
          </w:tcPr>
          <w:p>
            <w:pPr>
              <w:spacing w:after="0"/>
              <w:rPr>
                <w:sz w:val="23"/>
                <w:szCs w:val="2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60" w:type="dxa"/>
            <w:vAlign w:val="bottom"/>
          </w:tcPr>
          <w:p>
            <w:pPr>
              <w:ind w:left="26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3"/>
                <w:szCs w:val="2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60" w:type="dxa"/>
            <w:vAlign w:val="bottom"/>
            <w:vMerge w:val="restart"/>
          </w:tcPr>
          <w:p>
            <w:pPr>
              <w:ind w:left="260"/>
              <w:spacing w:after="0"/>
              <w:rPr>
                <w:sz w:val="20"/>
                <w:szCs w:val="20"/>
                <w:color w:val="auto"/>
              </w:rPr>
            </w:pPr>
            <w:r>
              <w:rPr>
                <w:rFonts w:ascii="Arial" w:cs="Arial" w:eastAsia="Arial" w:hAnsi="Arial"/>
                <w:sz w:val="16"/>
                <w:szCs w:val="16"/>
                <w:color w:val="auto"/>
              </w:rPr>
              <w:t>Total operating</w:t>
            </w: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60" w:type="dxa"/>
            <w:vAlign w:val="bottom"/>
          </w:tcPr>
          <w:p>
            <w:pPr>
              <w:ind w:left="260"/>
              <w:spacing w:after="0"/>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6,469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1860" w:type="dxa"/>
            <w:vAlign w:val="bottom"/>
          </w:tcPr>
          <w:p>
            <w:pPr>
              <w:ind w:left="260"/>
              <w:spacing w:after="0"/>
              <w:rPr>
                <w:sz w:val="20"/>
                <w:szCs w:val="20"/>
                <w:color w:val="auto"/>
              </w:rPr>
            </w:pPr>
            <w:r>
              <w:rPr>
                <w:rFonts w:ascii="Arial" w:cs="Arial" w:eastAsia="Arial" w:hAnsi="Arial"/>
                <w:sz w:val="16"/>
                <w:szCs w:val="16"/>
                <w:color w:val="auto"/>
              </w:rPr>
              <w:t>Aircraft fuel and</w:t>
            </w: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ind w:left="260"/>
              <w:spacing w:after="0"/>
              <w:rPr>
                <w:sz w:val="20"/>
                <w:szCs w:val="20"/>
                <w:color w:val="auto"/>
              </w:rPr>
            </w:pPr>
            <w:r>
              <w:rPr>
                <w:rFonts w:ascii="Arial" w:cs="Arial" w:eastAsia="Arial" w:hAnsi="Arial"/>
                <w:sz w:val="16"/>
                <w:szCs w:val="16"/>
                <w:color w:val="auto"/>
              </w:rPr>
              <w:t>related taxes</w:t>
            </w: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1,871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860" w:type="dxa"/>
            <w:vAlign w:val="bottom"/>
          </w:tcPr>
          <w:p>
            <w:pPr>
              <w:ind w:left="260"/>
              <w:spacing w:after="0"/>
              <w:rPr>
                <w:sz w:val="20"/>
                <w:szCs w:val="20"/>
                <w:color w:val="auto"/>
              </w:rPr>
            </w:pPr>
            <w:r>
              <w:rPr>
                <w:rFonts w:ascii="Arial" w:cs="Arial" w:eastAsia="Arial" w:hAnsi="Arial"/>
                <w:sz w:val="16"/>
                <w:szCs w:val="16"/>
                <w:color w:val="auto"/>
              </w:rPr>
              <w:t>Salaries, wages and</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860" w:type="dxa"/>
            <w:vAlign w:val="bottom"/>
          </w:tcPr>
          <w:p>
            <w:pPr>
              <w:ind w:left="260"/>
              <w:spacing w:after="0"/>
              <w:rPr>
                <w:sz w:val="20"/>
                <w:szCs w:val="20"/>
                <w:color w:val="auto"/>
              </w:rPr>
            </w:pPr>
            <w:r>
              <w:rPr>
                <w:rFonts w:ascii="Arial" w:cs="Arial" w:eastAsia="Arial" w:hAnsi="Arial"/>
                <w:sz w:val="16"/>
                <w:szCs w:val="16"/>
                <w:color w:val="auto"/>
              </w:rPr>
              <w:t>benefits</w:t>
            </w: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1,398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60" w:type="dxa"/>
            <w:vAlign w:val="bottom"/>
          </w:tcPr>
          <w:p>
            <w:pPr>
              <w:ind w:left="260"/>
              <w:spacing w:after="0"/>
              <w:rPr>
                <w:sz w:val="20"/>
                <w:szCs w:val="20"/>
                <w:color w:val="auto"/>
              </w:rPr>
            </w:pPr>
            <w:r>
              <w:rPr>
                <w:rFonts w:ascii="Arial" w:cs="Arial" w:eastAsia="Arial" w:hAnsi="Arial"/>
                <w:sz w:val="16"/>
                <w:szCs w:val="16"/>
                <w:color w:val="auto"/>
              </w:rPr>
              <w:t>Regional expenses</w:t>
            </w:r>
          </w:p>
        </w:tc>
        <w:tc>
          <w:tcPr>
            <w:tcW w:w="340" w:type="dxa"/>
            <w:vAlign w:val="bottom"/>
          </w:tcPr>
          <w:p>
            <w:pPr>
              <w:spacing w:after="0"/>
              <w:rPr>
                <w:sz w:val="23"/>
                <w:szCs w:val="2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860" w:type="dxa"/>
            <w:vAlign w:val="bottom"/>
          </w:tcPr>
          <w:p>
            <w:pPr>
              <w:ind w:left="260"/>
              <w:spacing w:after="0"/>
              <w:rPr>
                <w:sz w:val="20"/>
                <w:szCs w:val="20"/>
                <w:color w:val="auto"/>
              </w:rPr>
            </w:pPr>
            <w:r>
              <w:rPr>
                <w:rFonts w:ascii="Arial" w:cs="Arial" w:eastAsia="Arial" w:hAnsi="Arial"/>
                <w:sz w:val="16"/>
                <w:szCs w:val="16"/>
                <w:color w:val="auto"/>
              </w:rPr>
              <w:t>Maintenance,</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860" w:type="dxa"/>
            <w:vAlign w:val="bottom"/>
          </w:tcPr>
          <w:p>
            <w:pPr>
              <w:ind w:left="260"/>
              <w:spacing w:after="0"/>
              <w:rPr>
                <w:sz w:val="20"/>
                <w:szCs w:val="20"/>
                <w:color w:val="auto"/>
              </w:rPr>
            </w:pPr>
            <w:r>
              <w:rPr>
                <w:rFonts w:ascii="Arial" w:cs="Arial" w:eastAsia="Arial" w:hAnsi="Arial"/>
                <w:sz w:val="16"/>
                <w:szCs w:val="16"/>
                <w:color w:val="auto"/>
              </w:rPr>
              <w:t>materials and repairs</w:t>
            </w: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860" w:type="dxa"/>
            <w:vAlign w:val="bottom"/>
          </w:tcPr>
          <w:p>
            <w:pPr>
              <w:ind w:left="260"/>
              <w:spacing w:after="0"/>
              <w:rPr>
                <w:sz w:val="20"/>
                <w:szCs w:val="20"/>
                <w:color w:val="auto"/>
              </w:rPr>
            </w:pPr>
            <w:r>
              <w:rPr>
                <w:rFonts w:ascii="Arial" w:cs="Arial" w:eastAsia="Arial" w:hAnsi="Arial"/>
                <w:sz w:val="16"/>
                <w:szCs w:val="16"/>
                <w:color w:val="auto"/>
                <w:w w:val="99"/>
              </w:rPr>
              <w:t>Other rent and landing</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860" w:type="dxa"/>
            <w:vAlign w:val="bottom"/>
          </w:tcPr>
          <w:p>
            <w:pPr>
              <w:ind w:left="260"/>
              <w:spacing w:after="0"/>
              <w:rPr>
                <w:sz w:val="20"/>
                <w:szCs w:val="20"/>
                <w:color w:val="auto"/>
              </w:rPr>
            </w:pPr>
            <w:r>
              <w:rPr>
                <w:rFonts w:ascii="Arial" w:cs="Arial" w:eastAsia="Arial" w:hAnsi="Arial"/>
                <w:sz w:val="16"/>
                <w:szCs w:val="16"/>
                <w:color w:val="auto"/>
              </w:rPr>
              <w:t>fees</w:t>
            </w: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60" w:type="dxa"/>
            <w:vAlign w:val="bottom"/>
          </w:tcPr>
          <w:p>
            <w:pPr>
              <w:ind w:left="260"/>
              <w:spacing w:after="0"/>
              <w:rPr>
                <w:sz w:val="20"/>
                <w:szCs w:val="20"/>
                <w:color w:val="auto"/>
              </w:rPr>
            </w:pPr>
            <w:r>
              <w:rPr>
                <w:rFonts w:ascii="Arial" w:cs="Arial" w:eastAsia="Arial" w:hAnsi="Arial"/>
                <w:sz w:val="16"/>
                <w:szCs w:val="16"/>
                <w:color w:val="auto"/>
              </w:rPr>
              <w:t>Aircraft rent</w:t>
            </w:r>
          </w:p>
        </w:tc>
        <w:tc>
          <w:tcPr>
            <w:tcW w:w="340" w:type="dxa"/>
            <w:vAlign w:val="bottom"/>
          </w:tcPr>
          <w:p>
            <w:pPr>
              <w:spacing w:after="0"/>
              <w:rPr>
                <w:sz w:val="23"/>
                <w:szCs w:val="2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60" w:type="dxa"/>
            <w:vAlign w:val="bottom"/>
          </w:tcPr>
          <w:p>
            <w:pPr>
              <w:ind w:left="260"/>
              <w:spacing w:after="0"/>
              <w:rPr>
                <w:sz w:val="20"/>
                <w:szCs w:val="20"/>
                <w:color w:val="auto"/>
              </w:rPr>
            </w:pPr>
            <w:r>
              <w:rPr>
                <w:rFonts w:ascii="Arial" w:cs="Arial" w:eastAsia="Arial" w:hAnsi="Arial"/>
                <w:sz w:val="16"/>
                <w:szCs w:val="16"/>
                <w:color w:val="auto"/>
              </w:rPr>
              <w:t>Selling expenses</w:t>
            </w:r>
          </w:p>
        </w:tc>
        <w:tc>
          <w:tcPr>
            <w:tcW w:w="340" w:type="dxa"/>
            <w:vAlign w:val="bottom"/>
          </w:tcPr>
          <w:p>
            <w:pPr>
              <w:spacing w:after="0"/>
              <w:rPr>
                <w:sz w:val="23"/>
                <w:szCs w:val="2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860" w:type="dxa"/>
            <w:vAlign w:val="bottom"/>
          </w:tcPr>
          <w:p>
            <w:pPr>
              <w:ind w:left="260"/>
              <w:spacing w:after="0"/>
              <w:rPr>
                <w:sz w:val="20"/>
                <w:szCs w:val="20"/>
                <w:color w:val="auto"/>
              </w:rPr>
            </w:pPr>
            <w:r>
              <w:rPr>
                <w:rFonts w:ascii="Arial" w:cs="Arial" w:eastAsia="Arial" w:hAnsi="Arial"/>
                <w:sz w:val="16"/>
                <w:szCs w:val="16"/>
                <w:color w:val="auto"/>
              </w:rPr>
              <w:t>Depreciation and</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860" w:type="dxa"/>
            <w:vAlign w:val="bottom"/>
          </w:tcPr>
          <w:p>
            <w:pPr>
              <w:ind w:left="260"/>
              <w:spacing w:after="0"/>
              <w:rPr>
                <w:sz w:val="20"/>
                <w:szCs w:val="20"/>
                <w:color w:val="auto"/>
              </w:rPr>
            </w:pPr>
            <w:r>
              <w:rPr>
                <w:rFonts w:ascii="Arial" w:cs="Arial" w:eastAsia="Arial" w:hAnsi="Arial"/>
                <w:sz w:val="16"/>
                <w:szCs w:val="16"/>
                <w:color w:val="auto"/>
              </w:rPr>
              <w:t>amortization</w:t>
            </w: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60" w:type="dxa"/>
            <w:vAlign w:val="bottom"/>
          </w:tcPr>
          <w:p>
            <w:pPr>
              <w:ind w:left="260"/>
              <w:spacing w:after="0"/>
              <w:rPr>
                <w:sz w:val="20"/>
                <w:szCs w:val="20"/>
                <w:color w:val="auto"/>
              </w:rPr>
            </w:pPr>
            <w:r>
              <w:rPr>
                <w:rFonts w:ascii="Arial" w:cs="Arial" w:eastAsia="Arial" w:hAnsi="Arial"/>
                <w:sz w:val="16"/>
                <w:szCs w:val="16"/>
                <w:color w:val="auto"/>
              </w:rPr>
              <w:t>Special items, net</w:t>
            </w:r>
          </w:p>
        </w:tc>
        <w:tc>
          <w:tcPr>
            <w:tcW w:w="340" w:type="dxa"/>
            <w:vAlign w:val="bottom"/>
          </w:tcPr>
          <w:p>
            <w:pPr>
              <w:spacing w:after="0"/>
              <w:rPr>
                <w:sz w:val="23"/>
                <w:szCs w:val="23"/>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60" w:type="dxa"/>
            <w:vAlign w:val="bottom"/>
          </w:tcPr>
          <w:p>
            <w:pPr>
              <w:ind w:left="26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3"/>
                <w:szCs w:val="23"/>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60" w:type="dxa"/>
            <w:vAlign w:val="bottom"/>
            <w:vMerge w:val="restart"/>
          </w:tcPr>
          <w:p>
            <w:pPr>
              <w:ind w:left="260"/>
              <w:spacing w:after="0"/>
              <w:rPr>
                <w:sz w:val="20"/>
                <w:szCs w:val="20"/>
                <w:color w:val="auto"/>
              </w:rPr>
            </w:pPr>
            <w:r>
              <w:rPr>
                <w:rFonts w:ascii="Arial" w:cs="Arial" w:eastAsia="Arial" w:hAnsi="Arial"/>
                <w:sz w:val="16"/>
                <w:szCs w:val="16"/>
                <w:color w:val="auto"/>
              </w:rPr>
              <w:t>Total operating</w:t>
            </w: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60" w:type="dxa"/>
            <w:vAlign w:val="bottom"/>
          </w:tcPr>
          <w:p>
            <w:pPr>
              <w:ind w:left="260"/>
              <w:spacing w:after="0"/>
              <w:rPr>
                <w:sz w:val="20"/>
                <w:szCs w:val="20"/>
                <w:color w:val="auto"/>
              </w:rPr>
            </w:pPr>
            <w:r>
              <w:rPr>
                <w:rFonts w:ascii="Arial" w:cs="Arial" w:eastAsia="Arial" w:hAnsi="Arial"/>
                <w:sz w:val="16"/>
                <w:szCs w:val="16"/>
                <w:color w:val="auto"/>
              </w:rPr>
              <w:t>expenses</w:t>
            </w:r>
          </w:p>
        </w:tc>
        <w:tc>
          <w:tcPr>
            <w:tcW w:w="340" w:type="dxa"/>
            <w:vAlign w:val="bottom"/>
          </w:tcPr>
          <w:p>
            <w:pPr>
              <w:spacing w:after="0"/>
              <w:rPr>
                <w:sz w:val="17"/>
                <w:szCs w:val="17"/>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5,891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60" w:type="dxa"/>
            <w:vAlign w:val="bottom"/>
            <w:vMerge w:val="restart"/>
          </w:tcPr>
          <w:p>
            <w:pPr>
              <w:spacing w:after="0"/>
              <w:rPr>
                <w:sz w:val="20"/>
                <w:szCs w:val="20"/>
                <w:color w:val="auto"/>
              </w:rPr>
            </w:pPr>
            <w:r>
              <w:rPr>
                <w:rFonts w:ascii="Arial" w:cs="Arial" w:eastAsia="Arial" w:hAnsi="Arial"/>
                <w:sz w:val="16"/>
                <w:szCs w:val="16"/>
                <w:b w:val="1"/>
                <w:bCs w:val="1"/>
                <w:color w:val="auto"/>
              </w:rPr>
              <w:t>Operating income (loss)</w:t>
            </w: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1860" w:type="dxa"/>
            <w:vAlign w:val="bottom"/>
          </w:tcPr>
          <w:p>
            <w:pPr>
              <w:spacing w:after="0"/>
              <w:rPr>
                <w:sz w:val="20"/>
                <w:szCs w:val="20"/>
                <w:color w:val="auto"/>
              </w:rPr>
            </w:pPr>
            <w:r>
              <w:rPr>
                <w:rFonts w:ascii="Arial" w:cs="Arial" w:eastAsia="Arial" w:hAnsi="Arial"/>
                <w:sz w:val="16"/>
                <w:szCs w:val="16"/>
                <w:b w:val="1"/>
                <w:bCs w:val="1"/>
                <w:color w:val="auto"/>
              </w:rPr>
              <w:t>Nonoperating income</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20"/>
                <w:szCs w:val="20"/>
                <w:color w:val="auto"/>
              </w:rPr>
            </w:pPr>
            <w:r>
              <w:rPr>
                <w:rFonts w:ascii="Arial" w:cs="Arial" w:eastAsia="Arial" w:hAnsi="Arial"/>
                <w:sz w:val="16"/>
                <w:szCs w:val="16"/>
                <w:b w:val="1"/>
                <w:bCs w:val="1"/>
                <w:color w:val="auto"/>
              </w:rPr>
              <w:t>(expense)</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86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23"/>
                <w:szCs w:val="23"/>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60" w:type="dxa"/>
            <w:vAlign w:val="bottom"/>
          </w:tcPr>
          <w:p>
            <w:pPr>
              <w:ind w:left="26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23"/>
                <w:szCs w:val="23"/>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3"/>
        </w:trPr>
        <w:tc>
          <w:tcPr>
            <w:tcW w:w="1860" w:type="dxa"/>
            <w:vAlign w:val="bottom"/>
          </w:tcPr>
          <w:p>
            <w:pPr>
              <w:ind w:left="260"/>
              <w:spacing w:after="0"/>
              <w:rPr>
                <w:sz w:val="20"/>
                <w:szCs w:val="20"/>
                <w:color w:val="auto"/>
              </w:rPr>
            </w:pPr>
            <w:r>
              <w:rPr>
                <w:rFonts w:ascii="Arial" w:cs="Arial" w:eastAsia="Arial" w:hAnsi="Arial"/>
                <w:sz w:val="16"/>
                <w:szCs w:val="16"/>
                <w:color w:val="auto"/>
              </w:rPr>
              <w:t>Equity in earnings of</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860" w:type="dxa"/>
            <w:vAlign w:val="bottom"/>
          </w:tcPr>
          <w:p>
            <w:pPr>
              <w:ind w:left="260"/>
              <w:spacing w:after="0"/>
              <w:rPr>
                <w:sz w:val="20"/>
                <w:szCs w:val="20"/>
                <w:color w:val="auto"/>
              </w:rPr>
            </w:pPr>
            <w:r>
              <w:rPr>
                <w:rFonts w:ascii="Arial" w:cs="Arial" w:eastAsia="Arial" w:hAnsi="Arial"/>
                <w:sz w:val="16"/>
                <w:szCs w:val="16"/>
                <w:color w:val="auto"/>
              </w:rPr>
              <w:t>subsidiaries</w:t>
            </w:r>
          </w:p>
        </w:tc>
        <w:tc>
          <w:tcPr>
            <w:tcW w:w="340" w:type="dxa"/>
            <w:vAlign w:val="bottom"/>
          </w:tcPr>
          <w:p>
            <w:pPr>
              <w:spacing w:after="0"/>
              <w:rPr>
                <w:sz w:val="17"/>
                <w:szCs w:val="17"/>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70"/>
        </w:trPr>
        <w:tc>
          <w:tcPr>
            <w:tcW w:w="1860" w:type="dxa"/>
            <w:vAlign w:val="bottom"/>
          </w:tcPr>
          <w:p>
            <w:pPr>
              <w:ind w:left="26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23"/>
                <w:szCs w:val="2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1860" w:type="dxa"/>
            <w:vAlign w:val="bottom"/>
            <w:vMerge w:val="restart"/>
          </w:tcPr>
          <w:p>
            <w:pPr>
              <w:ind w:left="260"/>
              <w:spacing w:after="0"/>
              <w:rPr>
                <w:sz w:val="20"/>
                <w:szCs w:val="20"/>
                <w:color w:val="auto"/>
              </w:rPr>
            </w:pPr>
            <w:r>
              <w:rPr>
                <w:rFonts w:ascii="Arial" w:cs="Arial" w:eastAsia="Arial" w:hAnsi="Arial"/>
                <w:sz w:val="16"/>
                <w:szCs w:val="16"/>
                <w:color w:val="auto"/>
              </w:rPr>
              <w:t>Total nonoperating</w:t>
            </w: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60" w:type="dxa"/>
            <w:vAlign w:val="bottom"/>
          </w:tcPr>
          <w:p>
            <w:pPr>
              <w:ind w:left="260"/>
              <w:spacing w:after="0"/>
              <w:rPr>
                <w:sz w:val="20"/>
                <w:szCs w:val="20"/>
                <w:color w:val="auto"/>
              </w:rPr>
            </w:pPr>
            <w:r>
              <w:rPr>
                <w:rFonts w:ascii="Arial" w:cs="Arial" w:eastAsia="Arial" w:hAnsi="Arial"/>
                <w:sz w:val="16"/>
                <w:szCs w:val="16"/>
                <w:color w:val="auto"/>
                <w:w w:val="99"/>
              </w:rPr>
              <w:t>income (expense), net</w:t>
            </w:r>
          </w:p>
        </w:tc>
        <w:tc>
          <w:tcPr>
            <w:tcW w:w="340" w:type="dxa"/>
            <w:vAlign w:val="bottom"/>
          </w:tcPr>
          <w:p>
            <w:pPr>
              <w:spacing w:after="0"/>
              <w:rPr>
                <w:sz w:val="17"/>
                <w:szCs w:val="17"/>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1860" w:type="dxa"/>
            <w:vAlign w:val="bottom"/>
            <w:vMerge w:val="restart"/>
          </w:tcPr>
          <w:p>
            <w:pPr>
              <w:spacing w:after="0"/>
              <w:rPr>
                <w:sz w:val="20"/>
                <w:szCs w:val="20"/>
                <w:color w:val="auto"/>
              </w:rPr>
            </w:pPr>
            <w:r>
              <w:rPr>
                <w:rFonts w:ascii="Arial" w:cs="Arial" w:eastAsia="Arial" w:hAnsi="Arial"/>
                <w:sz w:val="16"/>
                <w:szCs w:val="16"/>
                <w:b w:val="1"/>
                <w:bCs w:val="1"/>
                <w:color w:val="auto"/>
              </w:rPr>
              <w:t>Income (loss) before</w:t>
            </w: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20"/>
                <w:szCs w:val="20"/>
                <w:color w:val="auto"/>
              </w:rPr>
            </w:pPr>
            <w:r>
              <w:rPr>
                <w:rFonts w:ascii="Arial" w:cs="Arial" w:eastAsia="Arial" w:hAnsi="Arial"/>
                <w:sz w:val="16"/>
                <w:szCs w:val="16"/>
                <w:b w:val="1"/>
                <w:bCs w:val="1"/>
                <w:color w:val="auto"/>
              </w:rPr>
              <w:t>income taxes</w:t>
            </w:r>
          </w:p>
        </w:tc>
        <w:tc>
          <w:tcPr>
            <w:tcW w:w="340" w:type="dxa"/>
            <w:vAlign w:val="bottom"/>
          </w:tcPr>
          <w:p>
            <w:pPr>
              <w:spacing w:after="0"/>
              <w:rPr>
                <w:sz w:val="18"/>
                <w:szCs w:val="18"/>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70"/>
        </w:trPr>
        <w:tc>
          <w:tcPr>
            <w:tcW w:w="1860" w:type="dxa"/>
            <w:vAlign w:val="bottom"/>
          </w:tcPr>
          <w:p>
            <w:pPr>
              <w:ind w:left="260"/>
              <w:spacing w:after="0"/>
              <w:rPr>
                <w:sz w:val="20"/>
                <w:szCs w:val="20"/>
                <w:color w:val="auto"/>
              </w:rPr>
            </w:pPr>
            <w:r>
              <w:rPr>
                <w:rFonts w:ascii="Arial" w:cs="Arial" w:eastAsia="Arial" w:hAnsi="Arial"/>
                <w:sz w:val="16"/>
                <w:szCs w:val="16"/>
                <w:color w:val="auto"/>
              </w:rPr>
              <w:t>Income tax provision</w:t>
            </w:r>
          </w:p>
        </w:tc>
        <w:tc>
          <w:tcPr>
            <w:tcW w:w="340" w:type="dxa"/>
            <w:vAlign w:val="bottom"/>
          </w:tcPr>
          <w:p>
            <w:pPr>
              <w:spacing w:after="0"/>
              <w:rPr>
                <w:sz w:val="23"/>
                <w:szCs w:val="23"/>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60" w:type="dxa"/>
            <w:vAlign w:val="bottom"/>
            <w:vMerge w:val="restart"/>
          </w:tcPr>
          <w:p>
            <w:pPr>
              <w:spacing w:after="0"/>
              <w:rPr>
                <w:sz w:val="20"/>
                <w:szCs w:val="20"/>
                <w:color w:val="auto"/>
              </w:rPr>
            </w:pPr>
            <w:r>
              <w:rPr>
                <w:rFonts w:ascii="Arial" w:cs="Arial" w:eastAsia="Arial" w:hAnsi="Arial"/>
                <w:sz w:val="16"/>
                <w:szCs w:val="16"/>
                <w:b w:val="1"/>
                <w:bCs w:val="1"/>
                <w:color w:val="auto"/>
              </w:rPr>
              <w:t>Net income (loss)</w:t>
            </w: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60" w:type="dxa"/>
            <w:vAlign w:val="bottom"/>
            <w:vMerge w:val="continue"/>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1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-5805170</wp:posOffset>
            </wp:positionV>
            <wp:extent cx="578040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-5462270</wp:posOffset>
            </wp:positionV>
            <wp:extent cx="578040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-4999355</wp:posOffset>
            </wp:positionV>
            <wp:extent cx="578040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-4535805</wp:posOffset>
            </wp:positionV>
            <wp:extent cx="5780405"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80405" cy="29146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-4072890</wp:posOffset>
            </wp:positionV>
            <wp:extent cx="5780405"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80405" cy="29146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-3489960</wp:posOffset>
            </wp:positionV>
            <wp:extent cx="578040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-3146425</wp:posOffset>
            </wp:positionV>
            <wp:extent cx="5780405" cy="291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80405" cy="29146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-2683510</wp:posOffset>
            </wp:positionV>
            <wp:extent cx="578040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-2220595</wp:posOffset>
            </wp:positionV>
            <wp:extent cx="578040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-1757680</wp:posOffset>
            </wp:positionV>
            <wp:extent cx="578040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-1414145</wp:posOffset>
            </wp:positionV>
            <wp:extent cx="5780405"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80405" cy="29146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-951230</wp:posOffset>
            </wp:positionV>
            <wp:extent cx="5780405"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80405" cy="29146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-368300</wp:posOffset>
            </wp:positionV>
            <wp:extent cx="578040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8040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2,352</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7,258</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1,407</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1,124</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406"/>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3,546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9,995</w:t>
            </w:r>
          </w:p>
        </w:tc>
      </w:tr>
      <w:tr>
        <w:trPr>
          <w:trHeight w:val="72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2,711</w:t>
            </w:r>
          </w:p>
        </w:tc>
      </w:tr>
      <w:tr>
        <w:trPr>
          <w:trHeight w:val="45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2,119</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1,594</w:t>
            </w:r>
          </w:p>
        </w:tc>
      </w:tr>
      <w:tr>
        <w:trPr>
          <w:trHeight w:val="45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485</w:t>
            </w:r>
          </w:p>
        </w:tc>
      </w:tr>
      <w:tr>
        <w:trPr>
          <w:trHeight w:val="45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424</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320</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401</w:t>
            </w:r>
          </w:p>
        </w:tc>
      </w:tr>
      <w:tr>
        <w:trPr>
          <w:trHeight w:val="45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307</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1,041</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406"/>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3,358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9,265</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730</w:t>
            </w:r>
          </w:p>
        </w:tc>
      </w:tr>
      <w:tr>
        <w:trPr>
          <w:trHeight w:val="72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459"/>
        </w:trPr>
        <w:tc>
          <w:tcPr>
            <w:tcW w:w="2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406"/>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406"/>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493</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480</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60" w:space="120"/>
            <w:col w:w="534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37"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Three Months Ended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34925</wp:posOffset>
            </wp:positionV>
            <wp:extent cx="45878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pacing w:after="0" w:line="52"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188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5"/>
                <w:szCs w:val="15"/>
                <w:color w:val="auto"/>
                <w:w w:val="94"/>
              </w:rPr>
              <w:t>American</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5"/>
                <w:szCs w:val="15"/>
                <w:color w:val="auto"/>
                <w:w w:val="95"/>
              </w:rPr>
              <w:t>US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rPr>
              <w:t>Airlines</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00"/>
              <w:spacing w:after="0" w:line="162" w:lineRule="exact"/>
              <w:rPr>
                <w:sz w:val="20"/>
                <w:szCs w:val="20"/>
                <w:color w:val="auto"/>
              </w:rPr>
            </w:pPr>
            <w:r>
              <w:rPr>
                <w:rFonts w:ascii="Arial" w:cs="Arial" w:eastAsia="Arial" w:hAnsi="Arial"/>
                <w:sz w:val="15"/>
                <w:szCs w:val="15"/>
                <w:color w:val="auto"/>
                <w:w w:val="98"/>
              </w:rPr>
              <w:t>Airways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1"/>
              </w:rPr>
              <w:t>Group</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00"/>
              <w:spacing w:after="0" w:line="162" w:lineRule="exact"/>
              <w:rPr>
                <w:sz w:val="20"/>
                <w:szCs w:val="20"/>
                <w:color w:val="auto"/>
              </w:rPr>
            </w:pPr>
            <w:r>
              <w:rPr>
                <w:rFonts w:ascii="Arial" w:cs="Arial" w:eastAsia="Arial" w:hAnsi="Arial"/>
                <w:sz w:val="15"/>
                <w:szCs w:val="15"/>
                <w:color w:val="auto"/>
                <w:w w:val="95"/>
              </w:rPr>
              <w:t>Group</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60"/>
              <w:spacing w:after="0" w:line="162" w:lineRule="exact"/>
              <w:rPr>
                <w:sz w:val="20"/>
                <w:szCs w:val="20"/>
                <w:color w:val="auto"/>
              </w:rPr>
            </w:pPr>
            <w:r>
              <w:rPr>
                <w:rFonts w:ascii="Arial" w:cs="Arial" w:eastAsia="Arial" w:hAnsi="Arial"/>
                <w:sz w:val="15"/>
                <w:szCs w:val="15"/>
                <w:color w:val="auto"/>
                <w:w w:val="94"/>
              </w:rPr>
              <w:t>American</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89"/>
              </w:rPr>
              <w:t>(Parent</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00"/>
              <w:spacing w:after="0" w:line="162" w:lineRule="exact"/>
              <w:rPr>
                <w:sz w:val="20"/>
                <w:szCs w:val="20"/>
                <w:color w:val="auto"/>
              </w:rPr>
            </w:pPr>
            <w:r>
              <w:rPr>
                <w:rFonts w:ascii="Arial" w:cs="Arial" w:eastAsia="Arial" w:hAnsi="Arial"/>
                <w:sz w:val="15"/>
                <w:szCs w:val="15"/>
                <w:color w:val="auto"/>
                <w:w w:val="89"/>
              </w:rPr>
              <w:t>(Parent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20"/>
              <w:spacing w:after="0" w:line="162" w:lineRule="exact"/>
              <w:rPr>
                <w:sz w:val="20"/>
                <w:szCs w:val="20"/>
                <w:color w:val="auto"/>
              </w:rPr>
            </w:pPr>
            <w:r>
              <w:rPr>
                <w:rFonts w:ascii="Arial" w:cs="Arial" w:eastAsia="Arial" w:hAnsi="Arial"/>
                <w:sz w:val="15"/>
                <w:szCs w:val="15"/>
                <w:color w:val="auto"/>
                <w:w w:val="98"/>
              </w:rPr>
              <w:t>Non-</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60"/>
              <w:spacing w:after="0" w:line="162" w:lineRule="exact"/>
              <w:rPr>
                <w:sz w:val="20"/>
                <w:szCs w:val="20"/>
                <w:color w:val="auto"/>
              </w:rPr>
            </w:pPr>
            <w:r>
              <w:rPr>
                <w:rFonts w:ascii="Arial" w:cs="Arial" w:eastAsia="Arial" w:hAnsi="Arial"/>
                <w:sz w:val="15"/>
                <w:szCs w:val="15"/>
                <w:color w:val="auto"/>
                <w:w w:val="97"/>
              </w:rPr>
              <w:t>Airlines</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900" w:type="dxa"/>
            <w:vAlign w:val="bottom"/>
            <w:gridSpan w:val="3"/>
          </w:tcPr>
          <w:p>
            <w:pPr>
              <w:jc w:val="center"/>
              <w:ind w:right="120"/>
              <w:spacing w:after="0" w:line="162" w:lineRule="exact"/>
              <w:rPr>
                <w:sz w:val="20"/>
                <w:szCs w:val="20"/>
                <w:color w:val="auto"/>
              </w:rPr>
            </w:pPr>
            <w:r>
              <w:rPr>
                <w:rFonts w:ascii="Arial" w:cs="Arial" w:eastAsia="Arial" w:hAnsi="Arial"/>
                <w:sz w:val="15"/>
                <w:szCs w:val="15"/>
                <w:color w:val="auto"/>
                <w:w w:val="90"/>
              </w:rPr>
              <w:t>Company</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180"/>
              <w:spacing w:after="0" w:line="162" w:lineRule="exact"/>
              <w:rPr>
                <w:sz w:val="20"/>
                <w:szCs w:val="20"/>
                <w:color w:val="auto"/>
              </w:rPr>
            </w:pPr>
            <w:r>
              <w:rPr>
                <w:rFonts w:ascii="Arial" w:cs="Arial" w:eastAsia="Arial" w:hAnsi="Arial"/>
                <w:sz w:val="15"/>
                <w:szCs w:val="15"/>
                <w:color w:val="auto"/>
                <w:w w:val="93"/>
              </w:rPr>
              <w:t>Company</w:t>
            </w:r>
          </w:p>
        </w:tc>
        <w:tc>
          <w:tcPr>
            <w:tcW w:w="120" w:type="dxa"/>
            <w:vAlign w:val="bottom"/>
          </w:tcPr>
          <w:p>
            <w:pPr>
              <w:spacing w:after="0"/>
              <w:rPr>
                <w:sz w:val="14"/>
                <w:szCs w:val="14"/>
                <w:color w:val="auto"/>
              </w:rPr>
            </w:pPr>
          </w:p>
        </w:tc>
        <w:tc>
          <w:tcPr>
            <w:tcW w:w="840" w:type="dxa"/>
            <w:vAlign w:val="bottom"/>
            <w:gridSpan w:val="2"/>
          </w:tcPr>
          <w:p>
            <w:pPr>
              <w:jc w:val="center"/>
              <w:ind w:right="320"/>
              <w:spacing w:after="0" w:line="162" w:lineRule="exact"/>
              <w:rPr>
                <w:sz w:val="20"/>
                <w:szCs w:val="20"/>
                <w:color w:val="auto"/>
              </w:rPr>
            </w:pPr>
            <w:r>
              <w:rPr>
                <w:rFonts w:ascii="Arial" w:cs="Arial" w:eastAsia="Arial" w:hAnsi="Arial"/>
                <w:sz w:val="15"/>
                <w:szCs w:val="15"/>
                <w:color w:val="auto"/>
                <w:w w:val="95"/>
              </w:rPr>
              <w:t>US</w:t>
            </w:r>
          </w:p>
        </w:tc>
        <w:tc>
          <w:tcPr>
            <w:tcW w:w="120" w:type="dxa"/>
            <w:vAlign w:val="bottom"/>
          </w:tcPr>
          <w:p>
            <w:pPr>
              <w:spacing w:after="0"/>
              <w:rPr>
                <w:sz w:val="14"/>
                <w:szCs w:val="14"/>
                <w:color w:val="auto"/>
              </w:rPr>
            </w:pPr>
          </w:p>
        </w:tc>
        <w:tc>
          <w:tcPr>
            <w:tcW w:w="960" w:type="dxa"/>
            <w:vAlign w:val="bottom"/>
            <w:gridSpan w:val="2"/>
          </w:tcPr>
          <w:p>
            <w:pPr>
              <w:jc w:val="center"/>
              <w:ind w:right="320"/>
              <w:spacing w:after="0" w:line="162" w:lineRule="exact"/>
              <w:rPr>
                <w:sz w:val="20"/>
                <w:szCs w:val="20"/>
                <w:color w:val="auto"/>
              </w:rPr>
            </w:pPr>
            <w:r>
              <w:rPr>
                <w:rFonts w:ascii="Arial" w:cs="Arial" w:eastAsia="Arial" w:hAnsi="Arial"/>
                <w:sz w:val="15"/>
                <w:szCs w:val="15"/>
                <w:color w:val="auto"/>
                <w:w w:val="94"/>
              </w:rPr>
              <w:t>Guarantor</w:t>
            </w:r>
          </w:p>
        </w:tc>
        <w:tc>
          <w:tcPr>
            <w:tcW w:w="1440" w:type="dxa"/>
            <w:vAlign w:val="bottom"/>
            <w:gridSpan w:val="3"/>
          </w:tcPr>
          <w:p>
            <w:pPr>
              <w:ind w:left="100"/>
              <w:spacing w:after="0" w:line="162" w:lineRule="exact"/>
              <w:rPr>
                <w:sz w:val="20"/>
                <w:szCs w:val="20"/>
                <w:color w:val="auto"/>
              </w:rPr>
            </w:pPr>
            <w:r>
              <w:rPr>
                <w:rFonts w:ascii="Arial" w:cs="Arial" w:eastAsia="Arial" w:hAnsi="Arial"/>
                <w:sz w:val="15"/>
                <w:szCs w:val="15"/>
                <w:color w:val="auto"/>
              </w:rPr>
              <w:t>Eliminations and</w:t>
            </w:r>
          </w:p>
        </w:tc>
        <w:tc>
          <w:tcPr>
            <w:tcW w:w="120" w:type="dxa"/>
            <w:vAlign w:val="bottom"/>
          </w:tcPr>
          <w:p>
            <w:pPr>
              <w:spacing w:after="0"/>
              <w:rPr>
                <w:sz w:val="14"/>
                <w:szCs w:val="14"/>
                <w:color w:val="auto"/>
              </w:rPr>
            </w:pPr>
          </w:p>
        </w:tc>
        <w:tc>
          <w:tcPr>
            <w:tcW w:w="860" w:type="dxa"/>
            <w:vAlign w:val="bottom"/>
          </w:tcPr>
          <w:p>
            <w:pPr>
              <w:jc w:val="center"/>
              <w:ind w:right="60"/>
              <w:spacing w:after="0" w:line="162" w:lineRule="exact"/>
              <w:rPr>
                <w:sz w:val="20"/>
                <w:szCs w:val="20"/>
                <w:color w:val="auto"/>
              </w:rPr>
            </w:pPr>
            <w:r>
              <w:rPr>
                <w:rFonts w:ascii="Arial" w:cs="Arial" w:eastAsia="Arial" w:hAnsi="Arial"/>
                <w:sz w:val="15"/>
                <w:szCs w:val="15"/>
                <w:color w:val="auto"/>
                <w:w w:val="97"/>
              </w:rPr>
              <w:t>Group Inc.</w:t>
            </w: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5"/>
                <w:szCs w:val="15"/>
                <w:color w:val="auto"/>
              </w:rPr>
              <w:t>Only)</w:t>
            </w:r>
          </w:p>
        </w:tc>
        <w:tc>
          <w:tcPr>
            <w:tcW w:w="940" w:type="dxa"/>
            <w:vAlign w:val="bottom"/>
            <w:gridSpan w:val="3"/>
          </w:tcPr>
          <w:p>
            <w:pPr>
              <w:ind w:left="60"/>
              <w:spacing w:after="0"/>
              <w:rPr>
                <w:sz w:val="20"/>
                <w:szCs w:val="20"/>
                <w:color w:val="auto"/>
              </w:rPr>
            </w:pPr>
            <w:r>
              <w:rPr>
                <w:rFonts w:ascii="Arial" w:cs="Arial" w:eastAsia="Arial" w:hAnsi="Arial"/>
                <w:sz w:val="15"/>
                <w:szCs w:val="15"/>
                <w:color w:val="auto"/>
              </w:rPr>
              <w:t>American</w:t>
            </w:r>
          </w:p>
        </w:tc>
        <w:tc>
          <w:tcPr>
            <w:tcW w:w="120" w:type="dxa"/>
            <w:vAlign w:val="bottom"/>
          </w:tcPr>
          <w:p>
            <w:pPr>
              <w:spacing w:after="0"/>
              <w:rPr>
                <w:sz w:val="17"/>
                <w:szCs w:val="17"/>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5"/>
                <w:szCs w:val="15"/>
                <w:color w:val="auto"/>
              </w:rPr>
              <w:t>Only)</w:t>
            </w:r>
          </w:p>
        </w:tc>
        <w:tc>
          <w:tcPr>
            <w:tcW w:w="120" w:type="dxa"/>
            <w:vAlign w:val="bottom"/>
          </w:tcPr>
          <w:p>
            <w:pPr>
              <w:spacing w:after="0"/>
              <w:rPr>
                <w:sz w:val="17"/>
                <w:szCs w:val="17"/>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5"/>
                <w:szCs w:val="15"/>
                <w:color w:val="auto"/>
                <w:w w:val="98"/>
              </w:rPr>
              <w:t>Airways</w:t>
            </w:r>
          </w:p>
        </w:tc>
        <w:tc>
          <w:tcPr>
            <w:tcW w:w="1080" w:type="dxa"/>
            <w:vAlign w:val="bottom"/>
            <w:gridSpan w:val="3"/>
          </w:tcPr>
          <w:p>
            <w:pPr>
              <w:jc w:val="center"/>
              <w:ind w:right="200"/>
              <w:spacing w:after="0"/>
              <w:rPr>
                <w:sz w:val="20"/>
                <w:szCs w:val="20"/>
                <w:color w:val="auto"/>
              </w:rPr>
            </w:pPr>
            <w:r>
              <w:rPr>
                <w:rFonts w:ascii="Arial" w:cs="Arial" w:eastAsia="Arial" w:hAnsi="Arial"/>
                <w:sz w:val="15"/>
                <w:szCs w:val="15"/>
                <w:color w:val="auto"/>
                <w:w w:val="92"/>
              </w:rPr>
              <w:t>Subsidiaries</w:t>
            </w:r>
          </w:p>
        </w:tc>
        <w:tc>
          <w:tcPr>
            <w:tcW w:w="1440" w:type="dxa"/>
            <w:vAlign w:val="bottom"/>
            <w:gridSpan w:val="3"/>
          </w:tcPr>
          <w:p>
            <w:pPr>
              <w:ind w:left="100"/>
              <w:spacing w:after="0"/>
              <w:rPr>
                <w:sz w:val="20"/>
                <w:szCs w:val="20"/>
                <w:color w:val="auto"/>
              </w:rPr>
            </w:pPr>
            <w:r>
              <w:rPr>
                <w:rFonts w:ascii="Arial" w:cs="Arial" w:eastAsia="Arial" w:hAnsi="Arial"/>
                <w:sz w:val="15"/>
                <w:szCs w:val="15"/>
                <w:color w:val="auto"/>
              </w:rPr>
              <w:t>Reclassifications</w:t>
            </w:r>
          </w:p>
        </w:tc>
        <w:tc>
          <w:tcPr>
            <w:tcW w:w="980" w:type="dxa"/>
            <w:vAlign w:val="bottom"/>
            <w:gridSpan w:val="2"/>
          </w:tcPr>
          <w:p>
            <w:pPr>
              <w:jc w:val="center"/>
              <w:spacing w:after="0"/>
              <w:rPr>
                <w:sz w:val="20"/>
                <w:szCs w:val="20"/>
                <w:color w:val="auto"/>
              </w:rPr>
            </w:pPr>
            <w:r>
              <w:rPr>
                <w:rFonts w:ascii="Arial" w:cs="Arial" w:eastAsia="Arial" w:hAnsi="Arial"/>
                <w:sz w:val="15"/>
                <w:szCs w:val="15"/>
                <w:color w:val="auto"/>
                <w:w w:val="91"/>
              </w:rPr>
              <w:t>Consolidated</w:t>
            </w:r>
          </w:p>
        </w:tc>
        <w:tc>
          <w:tcPr>
            <w:tcW w:w="0" w:type="dxa"/>
            <w:vAlign w:val="bottom"/>
          </w:tcPr>
          <w:p>
            <w:pPr>
              <w:spacing w:after="0"/>
              <w:rPr>
                <w:sz w:val="1"/>
                <w:szCs w:val="1"/>
                <w:color w:val="auto"/>
              </w:rPr>
            </w:pPr>
          </w:p>
        </w:tc>
      </w:tr>
      <w:tr>
        <w:trPr>
          <w:trHeight w:val="234"/>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16"/>
        </w:trPr>
        <w:tc>
          <w:tcPr>
            <w:tcW w:w="18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tcPr>
          <w:p>
            <w:pPr>
              <w:ind w:left="20"/>
              <w:spacing w:after="0"/>
              <w:rPr>
                <w:sz w:val="20"/>
                <w:szCs w:val="20"/>
                <w:color w:val="auto"/>
              </w:rPr>
            </w:pPr>
            <w:r>
              <w:rPr>
                <w:rFonts w:ascii="Arial" w:cs="Arial" w:eastAsia="Arial" w:hAnsi="Arial"/>
                <w:sz w:val="16"/>
                <w:szCs w:val="16"/>
                <w:b w:val="1"/>
                <w:bCs w:val="1"/>
                <w:color w:val="auto"/>
              </w:rPr>
              <w:t>loss before tax:</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Defined benefit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pension plans and</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retiree medical:</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80" w:type="dxa"/>
            <w:vAlign w:val="bottom"/>
          </w:tcPr>
          <w:p>
            <w:pPr>
              <w:ind w:left="480"/>
              <w:spacing w:after="0"/>
              <w:rPr>
                <w:sz w:val="20"/>
                <w:szCs w:val="20"/>
                <w:color w:val="auto"/>
              </w:rPr>
            </w:pPr>
            <w:r>
              <w:rPr>
                <w:rFonts w:ascii="Arial" w:cs="Arial" w:eastAsia="Arial" w:hAnsi="Arial"/>
                <w:sz w:val="16"/>
                <w:szCs w:val="16"/>
                <w:color w:val="auto"/>
              </w:rPr>
              <w:t>Amortization of</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480"/>
              <w:spacing w:after="0"/>
              <w:rPr>
                <w:sz w:val="20"/>
                <w:szCs w:val="20"/>
                <w:color w:val="auto"/>
              </w:rPr>
            </w:pPr>
            <w:r>
              <w:rPr>
                <w:rFonts w:ascii="Arial" w:cs="Arial" w:eastAsia="Arial" w:hAnsi="Arial"/>
                <w:sz w:val="16"/>
                <w:szCs w:val="16"/>
                <w:color w:val="auto"/>
              </w:rPr>
              <w:t>actuarial gain and</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480"/>
              <w:spacing w:after="0"/>
              <w:rPr>
                <w:sz w:val="20"/>
                <w:szCs w:val="20"/>
                <w:color w:val="auto"/>
              </w:rPr>
            </w:pPr>
            <w:r>
              <w:rPr>
                <w:rFonts w:ascii="Arial" w:cs="Arial" w:eastAsia="Arial" w:hAnsi="Arial"/>
                <w:sz w:val="16"/>
                <w:szCs w:val="16"/>
                <w:color w:val="auto"/>
              </w:rPr>
              <w:t>prior service cost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Derivative financial</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instruments:</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80" w:type="dxa"/>
            <w:vAlign w:val="bottom"/>
          </w:tcPr>
          <w:p>
            <w:pPr>
              <w:ind w:left="480"/>
              <w:spacing w:after="0"/>
              <w:rPr>
                <w:sz w:val="20"/>
                <w:szCs w:val="20"/>
                <w:color w:val="auto"/>
              </w:rPr>
            </w:pPr>
            <w:r>
              <w:rPr>
                <w:rFonts w:ascii="Arial" w:cs="Arial" w:eastAsia="Arial" w:hAnsi="Arial"/>
                <w:sz w:val="16"/>
                <w:szCs w:val="16"/>
                <w:color w:val="auto"/>
              </w:rPr>
              <w:t>Change in fair</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480"/>
              <w:spacing w:after="0"/>
              <w:rPr>
                <w:sz w:val="20"/>
                <w:szCs w:val="20"/>
                <w:color w:val="auto"/>
              </w:rPr>
            </w:pPr>
            <w:r>
              <w:rPr>
                <w:rFonts w:ascii="Arial" w:cs="Arial" w:eastAsia="Arial" w:hAnsi="Arial"/>
                <w:sz w:val="16"/>
                <w:szCs w:val="16"/>
                <w:color w:val="auto"/>
              </w:rPr>
              <w:t>value</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Reclassification</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into earnings</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0"/>
        </w:trPr>
        <w:tc>
          <w:tcPr>
            <w:tcW w:w="1880" w:type="dxa"/>
            <w:vAlign w:val="bottom"/>
          </w:tcPr>
          <w:p>
            <w:pPr>
              <w:ind w:left="280"/>
              <w:spacing w:after="0"/>
              <w:rPr>
                <w:sz w:val="20"/>
                <w:szCs w:val="20"/>
                <w:color w:val="auto"/>
              </w:rPr>
            </w:pPr>
            <w:r>
              <w:rPr>
                <w:rFonts w:ascii="Arial" w:cs="Arial" w:eastAsia="Arial" w:hAnsi="Arial"/>
                <w:sz w:val="16"/>
                <w:szCs w:val="16"/>
                <w:color w:val="auto"/>
              </w:rPr>
              <w:t>Unrealized gain (loss)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280"/>
              <w:spacing w:after="0"/>
              <w:rPr>
                <w:sz w:val="20"/>
                <w:szCs w:val="20"/>
                <w:color w:val="auto"/>
              </w:rPr>
            </w:pPr>
            <w:r>
              <w:rPr>
                <w:rFonts w:ascii="Arial" w:cs="Arial" w:eastAsia="Arial" w:hAnsi="Arial"/>
                <w:sz w:val="16"/>
                <w:szCs w:val="16"/>
                <w:color w:val="auto"/>
              </w:rPr>
              <w:t>on investments: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change in</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value</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w:t>
            </w: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80" w:type="dxa"/>
            <w:vAlign w:val="bottom"/>
          </w:tcPr>
          <w:p>
            <w:pPr>
              <w:ind w:left="20"/>
              <w:spacing w:after="0"/>
              <w:rPr>
                <w:sz w:val="20"/>
                <w:szCs w:val="20"/>
                <w:color w:val="auto"/>
              </w:rPr>
            </w:pPr>
            <w:r>
              <w:rPr>
                <w:rFonts w:ascii="Arial" w:cs="Arial" w:eastAsia="Arial" w:hAnsi="Arial"/>
                <w:sz w:val="16"/>
                <w:szCs w:val="16"/>
                <w:b w:val="1"/>
                <w:bCs w:val="1"/>
                <w:color w:val="auto"/>
              </w:rPr>
              <w:t>loss before tax</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Non-cash tax</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provision</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299</w:t>
            </w:r>
          </w:p>
        </w:tc>
        <w:tc>
          <w:tcPr>
            <w:tcW w:w="18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52</w:t>
            </w:r>
          </w:p>
        </w:tc>
        <w:tc>
          <w:tcPr>
            <w:tcW w:w="18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125</w:t>
            </w:r>
          </w:p>
        </w:tc>
        <w:tc>
          <w:tcPr>
            <w:tcW w:w="2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7"/>
                <w:szCs w:val="17"/>
                <w:color w:val="auto"/>
              </w:rPr>
            </w:pPr>
          </w:p>
        </w:tc>
        <w:tc>
          <w:tcPr>
            <w:tcW w:w="480" w:type="dxa"/>
            <w:vAlign w:val="bottom"/>
            <w:tcBorders>
              <w:top w:val="single" w:sz="8" w:color="auto"/>
            </w:tcBorders>
            <w:vMerge w:val="restart"/>
          </w:tcPr>
          <w:p>
            <w:pPr>
              <w:jc w:val="right"/>
              <w:ind w:right="30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(515)</w:t>
            </w:r>
          </w:p>
        </w:tc>
        <w:tc>
          <w:tcPr>
            <w:tcW w:w="18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28"/>
        </w:trPr>
        <w:tc>
          <w:tcPr>
            <w:tcW w:w="1880" w:type="dxa"/>
            <w:vAlign w:val="bottom"/>
          </w:tcPr>
          <w:p>
            <w:pPr>
              <w:ind w:left="20"/>
              <w:spacing w:after="0"/>
              <w:rPr>
                <w:sz w:val="20"/>
                <w:szCs w:val="20"/>
                <w:color w:val="auto"/>
              </w:rPr>
            </w:pPr>
            <w:r>
              <w:rPr>
                <w:rFonts w:ascii="Arial" w:cs="Arial" w:eastAsia="Arial" w:hAnsi="Arial"/>
                <w:sz w:val="16"/>
                <w:szCs w:val="16"/>
                <w:b w:val="1"/>
                <w:bCs w:val="1"/>
                <w:color w:val="auto"/>
              </w:rPr>
              <w:t>(loss)</w:t>
            </w:r>
          </w:p>
        </w:tc>
        <w:tc>
          <w:tcPr>
            <w:tcW w:w="12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80"/>
          </w:cols>
          <w:pgMar w:left="240" w:top="125" w:right="13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millions)(unaudited)</w:t>
      </w:r>
    </w:p>
    <w:p>
      <w:pPr>
        <w:spacing w:after="0" w:line="175" w:lineRule="exact"/>
        <w:rPr>
          <w:sz w:val="20"/>
          <w:szCs w:val="20"/>
          <w:color w:val="auto"/>
        </w:rPr>
      </w:pPr>
    </w:p>
    <w:p>
      <w:pPr>
        <w:jc w:val="right"/>
        <w:ind w:right="4059"/>
        <w:spacing w:after="0"/>
        <w:rPr>
          <w:sz w:val="20"/>
          <w:szCs w:val="20"/>
          <w:color w:val="auto"/>
        </w:rPr>
      </w:pPr>
      <w:r>
        <w:rPr>
          <w:rFonts w:ascii="Arial" w:cs="Arial" w:eastAsia="Arial" w:hAnsi="Arial"/>
          <w:sz w:val="16"/>
          <w:szCs w:val="16"/>
          <w:color w:val="auto"/>
        </w:rPr>
        <w:t>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34925</wp:posOffset>
            </wp:positionV>
            <wp:extent cx="42710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ASSETS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assets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Cash</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Short-term investments</w:t>
      </w:r>
    </w:p>
    <w:p>
      <w:pPr>
        <w:spacing w:after="0" w:line="121" w:lineRule="exact"/>
        <w:rPr>
          <w:sz w:val="20"/>
          <w:szCs w:val="20"/>
          <w:color w:val="auto"/>
        </w:rPr>
      </w:pPr>
    </w:p>
    <w:p>
      <w:pPr>
        <w:ind w:left="180" w:right="400"/>
        <w:spacing w:after="0" w:line="237" w:lineRule="auto"/>
        <w:rPr>
          <w:sz w:val="20"/>
          <w:szCs w:val="20"/>
          <w:color w:val="auto"/>
        </w:rPr>
      </w:pPr>
      <w:r>
        <w:rPr>
          <w:rFonts w:ascii="Arial" w:cs="Arial" w:eastAsia="Arial" w:hAnsi="Arial"/>
          <w:sz w:val="13"/>
          <w:szCs w:val="13"/>
          <w:color w:val="auto"/>
        </w:rPr>
        <w:t>Restricted cash and short-term investments</w:t>
      </w:r>
    </w:p>
    <w:p>
      <w:pPr>
        <w:spacing w:after="0" w:line="29" w:lineRule="exact"/>
        <w:rPr>
          <w:sz w:val="20"/>
          <w:szCs w:val="20"/>
          <w:color w:val="auto"/>
        </w:rPr>
      </w:pPr>
    </w:p>
    <w:p>
      <w:pPr>
        <w:ind w:left="180" w:right="120"/>
        <w:spacing w:after="0" w:line="512" w:lineRule="auto"/>
        <w:rPr>
          <w:sz w:val="20"/>
          <w:szCs w:val="20"/>
          <w:color w:val="auto"/>
        </w:rPr>
      </w:pPr>
      <w:r>
        <w:rPr>
          <w:rFonts w:ascii="Arial" w:cs="Arial" w:eastAsia="Arial" w:hAnsi="Arial"/>
          <w:sz w:val="11"/>
          <w:szCs w:val="11"/>
          <w:color w:val="auto"/>
        </w:rPr>
        <w:t>Accounts receivable, net Receivables from related parties,net</w:t>
      </w:r>
    </w:p>
    <w:p>
      <w:pPr>
        <w:spacing w:after="0" w:line="1" w:lineRule="exact"/>
        <w:rPr>
          <w:sz w:val="20"/>
          <w:szCs w:val="20"/>
          <w:color w:val="auto"/>
        </w:rPr>
      </w:pPr>
    </w:p>
    <w:p>
      <w:pPr>
        <w:ind w:left="180"/>
        <w:spacing w:after="0" w:line="237" w:lineRule="auto"/>
        <w:rPr>
          <w:sz w:val="20"/>
          <w:szCs w:val="20"/>
          <w:color w:val="auto"/>
        </w:rPr>
      </w:pPr>
      <w:r>
        <w:rPr>
          <w:rFonts w:ascii="Arial" w:cs="Arial" w:eastAsia="Arial" w:hAnsi="Arial"/>
          <w:sz w:val="13"/>
          <w:szCs w:val="13"/>
          <w:color w:val="auto"/>
        </w:rPr>
        <w:t>Aircraft fuel, spare parts and supplies, net</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Prepaid expenses and other</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Total current assets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Operating property and equipment</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Other assets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7"/>
              <w:spacing w:after="0"/>
              <w:rPr>
                <w:sz w:val="20"/>
                <w:szCs w:val="20"/>
                <w:color w:val="auto"/>
              </w:rPr>
            </w:pPr>
            <w:r>
              <w:rPr>
                <w:rFonts w:ascii="Arial" w:cs="Arial" w:eastAsia="Arial" w:hAnsi="Arial"/>
                <w:sz w:val="13"/>
                <w:szCs w:val="13"/>
                <w:color w:val="auto"/>
                <w:w w:val="90"/>
              </w:rPr>
              <w:t>American</w:t>
            </w:r>
          </w:p>
        </w:tc>
      </w:tr>
      <w:tr>
        <w:trPr>
          <w:trHeight w:val="135"/>
        </w:trPr>
        <w:tc>
          <w:tcPr>
            <w:tcW w:w="1180" w:type="dxa"/>
            <w:vAlign w:val="bottom"/>
            <w:gridSpan w:val="3"/>
          </w:tcPr>
          <w:p>
            <w:pPr>
              <w:jc w:val="center"/>
              <w:ind w:right="100"/>
              <w:spacing w:after="0" w:line="135" w:lineRule="exact"/>
              <w:rPr>
                <w:sz w:val="20"/>
                <w:szCs w:val="20"/>
                <w:color w:val="auto"/>
              </w:rPr>
            </w:pPr>
            <w:r>
              <w:rPr>
                <w:rFonts w:ascii="Arial" w:cs="Arial" w:eastAsia="Arial" w:hAnsi="Arial"/>
                <w:sz w:val="13"/>
                <w:szCs w:val="13"/>
                <w:color w:val="auto"/>
                <w:w w:val="90"/>
              </w:rPr>
              <w:t>American Airlines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2"/>
              </w:rPr>
              <w:t>US Airways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2"/>
              </w:rPr>
              <w:t>Non-</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2"/>
              </w:rPr>
              <w:t>Airlines Group</w:t>
            </w:r>
          </w:p>
        </w:tc>
      </w:tr>
      <w:tr>
        <w:trPr>
          <w:trHeight w:val="135"/>
        </w:trPr>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7"/>
              </w:rPr>
              <w:t>Group (Parent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7"/>
              </w:rPr>
              <w:t>Group (Parent</w:t>
            </w:r>
          </w:p>
        </w:tc>
        <w:tc>
          <w:tcPr>
            <w:tcW w:w="100" w:type="dxa"/>
            <w:vAlign w:val="bottom"/>
          </w:tcPr>
          <w:p>
            <w:pPr>
              <w:spacing w:after="0"/>
              <w:rPr>
                <w:sz w:val="11"/>
                <w:szCs w:val="11"/>
                <w:color w:val="auto"/>
              </w:rPr>
            </w:pPr>
          </w:p>
        </w:tc>
        <w:tc>
          <w:tcPr>
            <w:tcW w:w="68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US</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8"/>
              </w:rPr>
              <w:t>Guarantor</w:t>
            </w:r>
          </w:p>
        </w:tc>
        <w:tc>
          <w:tcPr>
            <w:tcW w:w="10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3"/>
                <w:szCs w:val="13"/>
                <w:color w:val="auto"/>
              </w:rPr>
              <w:t>Eliminations and</w:t>
            </w:r>
          </w:p>
        </w:tc>
        <w:tc>
          <w:tcPr>
            <w:tcW w:w="10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5"/>
              </w:rPr>
              <w:t>Inc.</w:t>
            </w:r>
          </w:p>
        </w:tc>
      </w:tr>
      <w:tr>
        <w:trPr>
          <w:trHeight w:val="170"/>
        </w:trPr>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90"/>
              </w:rPr>
              <w:t>Company Only)</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7"/>
              </w:rPr>
              <w:t>American</w:t>
            </w:r>
          </w:p>
        </w:tc>
        <w:tc>
          <w:tcPr>
            <w:tcW w:w="10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0"/>
              </w:rPr>
              <w:t>Company Only)</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2"/>
              </w:rPr>
              <w:t>Airways</w:t>
            </w:r>
          </w:p>
        </w:tc>
        <w:tc>
          <w:tcPr>
            <w:tcW w:w="12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7"/>
              </w:rPr>
              <w:t>Subsidiaries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9"/>
              </w:rPr>
              <w:t>Reclassifications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color w:val="auto"/>
                <w:w w:val="86"/>
              </w:rPr>
              <w:t>Consolidated</w:t>
            </w:r>
          </w:p>
        </w:tc>
      </w:tr>
      <w:tr>
        <w:trPr>
          <w:trHeight w:val="794"/>
        </w:trPr>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983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269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1,259</w:t>
            </w:r>
          </w:p>
        </w:tc>
      </w:tr>
      <w:tr>
        <w:trPr>
          <w:trHeight w:val="270"/>
        </w:trPr>
        <w:tc>
          <w:tcPr>
            <w:tcW w:w="1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4,979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3,423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8,405</w:t>
            </w:r>
          </w:p>
        </w:tc>
      </w:tr>
      <w:tr>
        <w:trPr>
          <w:trHeight w:val="324"/>
        </w:trPr>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699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248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947</w:t>
            </w:r>
          </w:p>
        </w:tc>
      </w:tr>
      <w:tr>
        <w:trPr>
          <w:trHeight w:val="270"/>
        </w:trPr>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1,521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473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2,008</w:t>
            </w:r>
          </w:p>
        </w:tc>
      </w:tr>
      <w:tr>
        <w:trPr>
          <w:trHeight w:val="270"/>
        </w:trPr>
        <w:tc>
          <w:tcPr>
            <w:tcW w:w="100" w:type="dxa"/>
            <w:vAlign w:val="bottom"/>
          </w:tcPr>
          <w:p>
            <w:pPr>
              <w:spacing w:after="0"/>
              <w:rPr>
                <w:sz w:val="23"/>
                <w:szCs w:val="23"/>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2,474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444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(3,572)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324"/>
        </w:trPr>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664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330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1,052</w:t>
            </w:r>
          </w:p>
        </w:tc>
      </w:tr>
      <w:tr>
        <w:trPr>
          <w:trHeight w:val="280"/>
        </w:trPr>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606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989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1,522</w:t>
            </w:r>
          </w:p>
        </w:tc>
      </w:tr>
      <w:tr>
        <w:trPr>
          <w:trHeight w:val="241"/>
        </w:trPr>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2,468</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9,452</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6,176</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608</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(3,667)</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15,193</w:t>
            </w:r>
          </w:p>
        </w:tc>
      </w:tr>
      <w:tr>
        <w:trPr>
          <w:trHeight w:val="270"/>
        </w:trPr>
        <w:tc>
          <w:tcPr>
            <w:tcW w:w="1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13,928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5,736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19,944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-1953260</wp:posOffset>
            </wp:positionV>
            <wp:extent cx="571119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11190" cy="18034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-1601470</wp:posOffset>
            </wp:positionV>
            <wp:extent cx="571119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119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-1258570</wp:posOffset>
            </wp:positionV>
            <wp:extent cx="571119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1190" cy="20574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-881380</wp:posOffset>
            </wp:positionV>
            <wp:extent cx="571119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119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-503555</wp:posOffset>
            </wp:positionV>
            <wp:extent cx="571119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119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-160655</wp:posOffset>
            </wp:positionV>
            <wp:extent cx="571119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1190" cy="171450"/>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2100" w:space="180"/>
            <w:col w:w="7939"/>
          </w:cols>
          <w:pgMar w:left="240" w:top="125" w:right="1440"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2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Investment in subsidiaries</w:t>
            </w:r>
          </w:p>
        </w:tc>
        <w:tc>
          <w:tcPr>
            <w:tcW w:w="3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5,461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0"/>
        </w:trPr>
        <w:tc>
          <w:tcPr>
            <w:tcW w:w="22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gridSpan w:val="2"/>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gridSpan w:val="2"/>
            <w:vMerge w:val="continue"/>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280" w:type="dxa"/>
            <w:vAlign w:val="bottom"/>
          </w:tcPr>
          <w:p>
            <w:pPr>
              <w:ind w:left="180"/>
              <w:spacing w:after="0"/>
              <w:rPr>
                <w:sz w:val="20"/>
                <w:szCs w:val="20"/>
                <w:color w:val="auto"/>
              </w:rPr>
            </w:pPr>
            <w:r>
              <w:rPr>
                <w:rFonts w:ascii="Arial" w:cs="Arial" w:eastAsia="Arial" w:hAnsi="Arial"/>
                <w:sz w:val="13"/>
                <w:szCs w:val="13"/>
                <w:color w:val="auto"/>
              </w:rPr>
              <w:t>Goodwill</w:t>
            </w:r>
          </w:p>
        </w:tc>
        <w:tc>
          <w:tcPr>
            <w:tcW w:w="38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00" w:type="dxa"/>
            <w:vAlign w:val="bottom"/>
            <w:vMerge w:val="restart"/>
          </w:tcPr>
          <w:p>
            <w:pPr>
              <w:jc w:val="right"/>
              <w:ind w:right="17"/>
              <w:spacing w:after="0"/>
              <w:rPr>
                <w:sz w:val="20"/>
                <w:szCs w:val="20"/>
                <w:color w:val="auto"/>
              </w:rPr>
            </w:pPr>
            <w:r>
              <w:rPr>
                <w:rFonts w:ascii="Arial" w:cs="Arial" w:eastAsia="Arial" w:hAnsi="Arial"/>
                <w:sz w:val="13"/>
                <w:szCs w:val="13"/>
                <w:color w:val="auto"/>
              </w:rPr>
              <w:t>4,089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4,089</w:t>
            </w:r>
          </w:p>
        </w:tc>
        <w:tc>
          <w:tcPr>
            <w:tcW w:w="0" w:type="dxa"/>
            <w:vAlign w:val="bottom"/>
          </w:tcPr>
          <w:p>
            <w:pPr>
              <w:spacing w:after="0"/>
              <w:rPr>
                <w:sz w:val="1"/>
                <w:szCs w:val="1"/>
                <w:color w:val="auto"/>
              </w:rPr>
            </w:pPr>
          </w:p>
        </w:tc>
      </w:tr>
      <w:tr>
        <w:trPr>
          <w:trHeight w:val="89"/>
        </w:trPr>
        <w:tc>
          <w:tcPr>
            <w:tcW w:w="2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Intangibles, net of accumulated</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w:t>
            </w:r>
          </w:p>
        </w:tc>
        <w:tc>
          <w:tcPr>
            <w:tcW w:w="3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1,475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2,319</w:t>
            </w:r>
          </w:p>
        </w:tc>
        <w:tc>
          <w:tcPr>
            <w:tcW w:w="0" w:type="dxa"/>
            <w:vAlign w:val="bottom"/>
          </w:tcPr>
          <w:p>
            <w:pPr>
              <w:spacing w:after="0"/>
              <w:rPr>
                <w:sz w:val="1"/>
                <w:szCs w:val="1"/>
                <w:color w:val="auto"/>
              </w:rPr>
            </w:pPr>
          </w:p>
        </w:tc>
      </w:tr>
      <w:tr>
        <w:trPr>
          <w:trHeight w:val="173"/>
        </w:trPr>
        <w:tc>
          <w:tcPr>
            <w:tcW w:w="2280" w:type="dxa"/>
            <w:vAlign w:val="bottom"/>
          </w:tcPr>
          <w:p>
            <w:pPr>
              <w:ind w:left="180"/>
              <w:spacing w:after="0"/>
              <w:rPr>
                <w:sz w:val="20"/>
                <w:szCs w:val="20"/>
                <w:color w:val="auto"/>
              </w:rPr>
            </w:pPr>
            <w:r>
              <w:rPr>
                <w:rFonts w:ascii="Arial" w:cs="Arial" w:eastAsia="Arial" w:hAnsi="Arial"/>
                <w:sz w:val="13"/>
                <w:szCs w:val="13"/>
                <w:color w:val="auto"/>
              </w:rPr>
              <w:t>Other assets</w:t>
            </w:r>
          </w:p>
        </w:tc>
        <w:tc>
          <w:tcPr>
            <w:tcW w:w="380" w:type="dxa"/>
            <w:vAlign w:val="bottom"/>
          </w:tcPr>
          <w:p>
            <w:pPr>
              <w:spacing w:after="0"/>
              <w:rPr>
                <w:sz w:val="15"/>
                <w:szCs w:val="15"/>
                <w:color w:val="auto"/>
              </w:rPr>
            </w:pP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2,016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00" w:type="dxa"/>
            <w:vAlign w:val="bottom"/>
            <w:vMerge w:val="restart"/>
          </w:tcPr>
          <w:p>
            <w:pPr>
              <w:jc w:val="right"/>
              <w:ind w:right="17"/>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2,192</w:t>
            </w:r>
          </w:p>
        </w:tc>
        <w:tc>
          <w:tcPr>
            <w:tcW w:w="0" w:type="dxa"/>
            <w:vAlign w:val="bottom"/>
          </w:tcPr>
          <w:p>
            <w:pPr>
              <w:spacing w:after="0"/>
              <w:rPr>
                <w:sz w:val="1"/>
                <w:szCs w:val="1"/>
                <w:color w:val="auto"/>
              </w:rPr>
            </w:pPr>
          </w:p>
        </w:tc>
      </w:tr>
      <w:tr>
        <w:trPr>
          <w:trHeight w:val="91"/>
        </w:trPr>
        <w:tc>
          <w:tcPr>
            <w:tcW w:w="2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2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other assets</w:t>
            </w:r>
          </w:p>
        </w:tc>
        <w:tc>
          <w:tcPr>
            <w:tcW w:w="3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42</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2,860</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5,461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5,700</w:t>
            </w: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(5,495)</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8,600</w:t>
            </w:r>
          </w:p>
        </w:tc>
        <w:tc>
          <w:tcPr>
            <w:tcW w:w="0" w:type="dxa"/>
            <w:vAlign w:val="bottom"/>
          </w:tcPr>
          <w:p>
            <w:pPr>
              <w:spacing w:after="0"/>
              <w:rPr>
                <w:sz w:val="1"/>
                <w:szCs w:val="1"/>
                <w:color w:val="auto"/>
              </w:rPr>
            </w:pPr>
          </w:p>
        </w:tc>
      </w:tr>
      <w:tr>
        <w:trPr>
          <w:trHeight w:val="97"/>
        </w:trPr>
        <w:tc>
          <w:tcPr>
            <w:tcW w:w="2280" w:type="dxa"/>
            <w:vAlign w:val="bottom"/>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280" w:type="dxa"/>
            <w:vAlign w:val="bottom"/>
          </w:tcPr>
          <w:p>
            <w:pPr>
              <w:ind w:left="380"/>
              <w:spacing w:after="0"/>
              <w:rPr>
                <w:sz w:val="20"/>
                <w:szCs w:val="20"/>
                <w:color w:val="auto"/>
              </w:rPr>
            </w:pPr>
            <w:r>
              <w:rPr>
                <w:rFonts w:ascii="Arial" w:cs="Arial" w:eastAsia="Arial" w:hAnsi="Arial"/>
                <w:sz w:val="13"/>
                <w:szCs w:val="13"/>
                <w:b w:val="1"/>
                <w:bCs w:val="1"/>
                <w:color w:val="auto"/>
              </w:rPr>
              <w:t>Total assets</w:t>
            </w:r>
          </w:p>
        </w:tc>
        <w:tc>
          <w:tcPr>
            <w:tcW w:w="380" w:type="dxa"/>
            <w:vAlign w:val="bottom"/>
            <w:vMerge w:val="restart"/>
          </w:tcPr>
          <w:p>
            <w:pPr>
              <w:jc w:val="right"/>
              <w:ind w:right="237"/>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2,510</w:t>
            </w:r>
          </w:p>
        </w:tc>
        <w:tc>
          <w:tcPr>
            <w:tcW w:w="100" w:type="dxa"/>
            <w:vAlign w:val="bottom"/>
          </w:tcPr>
          <w:p>
            <w:pPr>
              <w:spacing w:after="0"/>
              <w:rPr>
                <w:sz w:val="13"/>
                <w:szCs w:val="13"/>
                <w:color w:val="auto"/>
              </w:rPr>
            </w:pP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26,240</w:t>
            </w:r>
          </w:p>
        </w:tc>
        <w:tc>
          <w:tcPr>
            <w:tcW w:w="100" w:type="dxa"/>
            <w:vAlign w:val="bottom"/>
          </w:tcPr>
          <w:p>
            <w:pPr>
              <w:spacing w:after="0"/>
              <w:rPr>
                <w:sz w:val="13"/>
                <w:szCs w:val="13"/>
                <w:color w:val="auto"/>
              </w:rPr>
            </w:pPr>
          </w:p>
        </w:tc>
        <w:tc>
          <w:tcPr>
            <w:tcW w:w="32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5,617</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ind w:right="17"/>
              <w:spacing w:after="0"/>
              <w:rPr>
                <w:sz w:val="20"/>
                <w:szCs w:val="20"/>
                <w:color w:val="auto"/>
              </w:rPr>
            </w:pPr>
            <w:r>
              <w:rPr>
                <w:rFonts w:ascii="Arial" w:cs="Arial" w:eastAsia="Arial" w:hAnsi="Arial"/>
                <w:sz w:val="13"/>
                <w:szCs w:val="13"/>
                <w:color w:val="auto"/>
              </w:rPr>
              <w:t>17,612</w:t>
            </w:r>
          </w:p>
        </w:tc>
        <w:tc>
          <w:tcPr>
            <w:tcW w:w="120" w:type="dxa"/>
            <w:vAlign w:val="bottom"/>
          </w:tcPr>
          <w:p>
            <w:pPr>
              <w:spacing w:after="0"/>
              <w:rPr>
                <w:sz w:val="13"/>
                <w:szCs w:val="13"/>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color w:val="auto"/>
                <w:w w:val="82"/>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920</w:t>
            </w:r>
          </w:p>
        </w:tc>
        <w:tc>
          <w:tcPr>
            <w:tcW w:w="100" w:type="dxa"/>
            <w:vAlign w:val="bottom"/>
          </w:tcPr>
          <w:p>
            <w:pPr>
              <w:spacing w:after="0"/>
              <w:rPr>
                <w:sz w:val="13"/>
                <w:szCs w:val="13"/>
                <w:color w:val="auto"/>
              </w:rPr>
            </w:pPr>
          </w:p>
        </w:tc>
        <w:tc>
          <w:tcPr>
            <w:tcW w:w="38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(9,162)</w:t>
            </w:r>
          </w:p>
        </w:tc>
        <w:tc>
          <w:tcPr>
            <w:tcW w:w="100" w:type="dxa"/>
            <w:vAlign w:val="bottom"/>
          </w:tcPr>
          <w:p>
            <w:pPr>
              <w:spacing w:after="0"/>
              <w:rPr>
                <w:sz w:val="13"/>
                <w:szCs w:val="13"/>
                <w:color w:val="auto"/>
              </w:rPr>
            </w:pPr>
          </w:p>
        </w:tc>
        <w:tc>
          <w:tcPr>
            <w:tcW w:w="260" w:type="dxa"/>
            <w:vAlign w:val="bottom"/>
            <w:vMerge w:val="restart"/>
          </w:tcPr>
          <w:p>
            <w:pPr>
              <w:jc w:val="right"/>
              <w:ind w:right="117"/>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43,737</w:t>
            </w:r>
          </w:p>
        </w:tc>
        <w:tc>
          <w:tcPr>
            <w:tcW w:w="0" w:type="dxa"/>
            <w:vAlign w:val="bottom"/>
          </w:tcPr>
          <w:p>
            <w:pPr>
              <w:spacing w:after="0"/>
              <w:rPr>
                <w:sz w:val="1"/>
                <w:szCs w:val="1"/>
                <w:color w:val="auto"/>
              </w:rPr>
            </w:pPr>
          </w:p>
        </w:tc>
      </w:tr>
      <w:tr>
        <w:trPr>
          <w:trHeight w:val="117"/>
        </w:trPr>
        <w:tc>
          <w:tcPr>
            <w:tcW w:w="228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2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3460" w:type="dxa"/>
            <w:vAlign w:val="bottom"/>
            <w:gridSpan w:val="4"/>
          </w:tcPr>
          <w:p>
            <w:pPr>
              <w:ind w:left="40"/>
              <w:spacing w:after="0"/>
              <w:rPr>
                <w:sz w:val="20"/>
                <w:szCs w:val="20"/>
                <w:color w:val="auto"/>
              </w:rPr>
            </w:pPr>
            <w:r>
              <w:rPr>
                <w:rFonts w:ascii="Arial" w:cs="Arial" w:eastAsia="Arial" w:hAnsi="Arial"/>
                <w:sz w:val="13"/>
                <w:szCs w:val="13"/>
                <w:b w:val="1"/>
                <w:bCs w:val="1"/>
                <w:color w:val="auto"/>
              </w:rPr>
              <w:t>LIABILITIES &amp; STOCKHOLDERS’ EQUITY (DEFICIT)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Current liabilities</w:t>
            </w: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2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8" w:lineRule="exact"/>
              <w:rPr>
                <w:sz w:val="20"/>
                <w:szCs w:val="20"/>
                <w:color w:val="auto"/>
              </w:rPr>
            </w:pPr>
            <w:r>
              <w:rPr>
                <w:rFonts w:ascii="Arial" w:cs="Arial" w:eastAsia="Arial" w:hAnsi="Arial"/>
                <w:sz w:val="13"/>
                <w:szCs w:val="13"/>
                <w:color w:val="auto"/>
              </w:rPr>
              <w:t>Current maturities of long-term debt</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80" w:type="dxa"/>
            <w:vAlign w:val="bottom"/>
          </w:tcPr>
          <w:p>
            <w:pPr>
              <w:ind w:left="180"/>
              <w:spacing w:after="0"/>
              <w:rPr>
                <w:sz w:val="20"/>
                <w:szCs w:val="20"/>
                <w:color w:val="auto"/>
              </w:rPr>
            </w:pPr>
            <w:r>
              <w:rPr>
                <w:rFonts w:ascii="Arial" w:cs="Arial" w:eastAsia="Arial" w:hAnsi="Arial"/>
                <w:sz w:val="13"/>
                <w:szCs w:val="13"/>
                <w:color w:val="auto"/>
              </w:rPr>
              <w:t>and capital leases</w:t>
            </w: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468</w:t>
            </w:r>
          </w:p>
        </w:tc>
        <w:tc>
          <w:tcPr>
            <w:tcW w:w="12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1,441</w:t>
            </w:r>
          </w:p>
        </w:tc>
        <w:tc>
          <w:tcPr>
            <w:tcW w:w="0" w:type="dxa"/>
            <w:vAlign w:val="bottom"/>
          </w:tcPr>
          <w:p>
            <w:pPr>
              <w:spacing w:after="0"/>
              <w:rPr>
                <w:sz w:val="1"/>
                <w:szCs w:val="1"/>
                <w:color w:val="auto"/>
              </w:rPr>
            </w:pPr>
          </w:p>
        </w:tc>
      </w:tr>
      <w:tr>
        <w:trPr>
          <w:trHeight w:val="181"/>
        </w:trPr>
        <w:tc>
          <w:tcPr>
            <w:tcW w:w="2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payable</w:t>
            </w:r>
          </w:p>
        </w:tc>
        <w:tc>
          <w:tcPr>
            <w:tcW w:w="3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1,230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374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1,646</w:t>
            </w:r>
          </w:p>
        </w:tc>
        <w:tc>
          <w:tcPr>
            <w:tcW w:w="0" w:type="dxa"/>
            <w:vAlign w:val="bottom"/>
          </w:tcPr>
          <w:p>
            <w:pPr>
              <w:spacing w:after="0"/>
              <w:rPr>
                <w:sz w:val="1"/>
                <w:szCs w:val="1"/>
                <w:color w:val="auto"/>
              </w:rPr>
            </w:pPr>
          </w:p>
        </w:tc>
      </w:tr>
      <w:tr>
        <w:trPr>
          <w:trHeight w:val="97"/>
        </w:trPr>
        <w:tc>
          <w:tcPr>
            <w:tcW w:w="22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280" w:type="dxa"/>
            <w:vAlign w:val="bottom"/>
          </w:tcPr>
          <w:p>
            <w:pPr>
              <w:ind w:left="180"/>
              <w:spacing w:after="0"/>
              <w:rPr>
                <w:sz w:val="20"/>
                <w:szCs w:val="20"/>
                <w:color w:val="auto"/>
              </w:rPr>
            </w:pPr>
            <w:r>
              <w:rPr>
                <w:rFonts w:ascii="Arial" w:cs="Arial" w:eastAsia="Arial" w:hAnsi="Arial"/>
                <w:sz w:val="13"/>
                <w:szCs w:val="13"/>
                <w:color w:val="auto"/>
              </w:rPr>
              <w:t>Payables to related parties, net</w:t>
            </w:r>
          </w:p>
        </w:tc>
        <w:tc>
          <w:tcPr>
            <w:tcW w:w="38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2,843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421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vMerge w:val="restart"/>
          </w:tcPr>
          <w:p>
            <w:pPr>
              <w:jc w:val="right"/>
              <w:ind w:right="17"/>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(3,572)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9"/>
        </w:trPr>
        <w:tc>
          <w:tcPr>
            <w:tcW w:w="2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Air traffic liability</w:t>
            </w:r>
          </w:p>
        </w:tc>
        <w:tc>
          <w:tcPr>
            <w:tcW w:w="3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3,808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1,878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5,686</w:t>
            </w:r>
          </w:p>
        </w:tc>
        <w:tc>
          <w:tcPr>
            <w:tcW w:w="0" w:type="dxa"/>
            <w:vAlign w:val="bottom"/>
          </w:tcPr>
          <w:p>
            <w:pPr>
              <w:spacing w:after="0"/>
              <w:rPr>
                <w:sz w:val="1"/>
                <w:szCs w:val="1"/>
                <w:color w:val="auto"/>
              </w:rPr>
            </w:pPr>
          </w:p>
        </w:tc>
      </w:tr>
      <w:tr>
        <w:trPr>
          <w:trHeight w:val="97"/>
        </w:trPr>
        <w:tc>
          <w:tcPr>
            <w:tcW w:w="22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80" w:type="dxa"/>
            <w:vAlign w:val="bottom"/>
            <w:gridSpan w:val="2"/>
            <w:vMerge w:val="continue"/>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280" w:type="dxa"/>
            <w:vAlign w:val="bottom"/>
          </w:tcPr>
          <w:p>
            <w:pPr>
              <w:ind w:left="180"/>
              <w:spacing w:after="0"/>
              <w:rPr>
                <w:sz w:val="20"/>
                <w:szCs w:val="20"/>
                <w:color w:val="auto"/>
              </w:rPr>
            </w:pPr>
            <w:r>
              <w:rPr>
                <w:rFonts w:ascii="Arial" w:cs="Arial" w:eastAsia="Arial" w:hAnsi="Arial"/>
                <w:sz w:val="13"/>
                <w:szCs w:val="13"/>
                <w:color w:val="auto"/>
              </w:rPr>
              <w:t>Frequent flyer liability</w:t>
            </w:r>
          </w:p>
        </w:tc>
        <w:tc>
          <w:tcPr>
            <w:tcW w:w="38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1,761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00" w:type="dxa"/>
            <w:vAlign w:val="bottom"/>
            <w:vMerge w:val="restart"/>
          </w:tcPr>
          <w:p>
            <w:pPr>
              <w:jc w:val="right"/>
              <w:ind w:right="17"/>
              <w:spacing w:after="0"/>
              <w:rPr>
                <w:sz w:val="20"/>
                <w:szCs w:val="20"/>
                <w:color w:val="auto"/>
              </w:rPr>
            </w:pPr>
            <w:r>
              <w:rPr>
                <w:rFonts w:ascii="Arial" w:cs="Arial" w:eastAsia="Arial" w:hAnsi="Arial"/>
                <w:sz w:val="13"/>
                <w:szCs w:val="13"/>
                <w:color w:val="auto"/>
              </w:rPr>
              <w:t>1,190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2,951</w:t>
            </w:r>
          </w:p>
        </w:tc>
        <w:tc>
          <w:tcPr>
            <w:tcW w:w="0" w:type="dxa"/>
            <w:vAlign w:val="bottom"/>
          </w:tcPr>
          <w:p>
            <w:pPr>
              <w:spacing w:after="0"/>
              <w:rPr>
                <w:sz w:val="1"/>
                <w:szCs w:val="1"/>
                <w:color w:val="auto"/>
              </w:rPr>
            </w:pPr>
          </w:p>
        </w:tc>
      </w:tr>
      <w:tr>
        <w:trPr>
          <w:trHeight w:val="89"/>
        </w:trPr>
        <w:tc>
          <w:tcPr>
            <w:tcW w:w="2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accrued liabilities</w:t>
            </w:r>
          </w:p>
        </w:tc>
        <w:tc>
          <w:tcPr>
            <w:tcW w:w="3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1,972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1,076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3,355</w:t>
            </w:r>
          </w:p>
        </w:tc>
        <w:tc>
          <w:tcPr>
            <w:tcW w:w="0" w:type="dxa"/>
            <w:vAlign w:val="bottom"/>
          </w:tcPr>
          <w:p>
            <w:pPr>
              <w:spacing w:after="0"/>
              <w:rPr>
                <w:sz w:val="1"/>
                <w:szCs w:val="1"/>
                <w:color w:val="auto"/>
              </w:rPr>
            </w:pPr>
          </w:p>
        </w:tc>
      </w:tr>
      <w:tr>
        <w:trPr>
          <w:trHeight w:val="97"/>
        </w:trPr>
        <w:tc>
          <w:tcPr>
            <w:tcW w:w="22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280" w:type="dxa"/>
            <w:vAlign w:val="bottom"/>
          </w:tcPr>
          <w:p>
            <w:pPr>
              <w:ind w:left="180"/>
              <w:spacing w:after="0"/>
              <w:rPr>
                <w:sz w:val="20"/>
                <w:szCs w:val="20"/>
                <w:color w:val="auto"/>
              </w:rPr>
            </w:pPr>
            <w:r>
              <w:rPr>
                <w:rFonts w:ascii="Arial" w:cs="Arial" w:eastAsia="Arial" w:hAnsi="Arial"/>
                <w:sz w:val="13"/>
                <w:szCs w:val="13"/>
                <w:color w:val="auto"/>
              </w:rPr>
              <w:t>Total current liabilities</w:t>
            </w:r>
          </w:p>
        </w:tc>
        <w:tc>
          <w:tcPr>
            <w:tcW w:w="3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12,565</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5,070</w:t>
            </w: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417</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(3,572)</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15,079</w:t>
            </w:r>
          </w:p>
        </w:tc>
        <w:tc>
          <w:tcPr>
            <w:tcW w:w="0" w:type="dxa"/>
            <w:vAlign w:val="bottom"/>
          </w:tcPr>
          <w:p>
            <w:pPr>
              <w:spacing w:after="0"/>
              <w:rPr>
                <w:sz w:val="1"/>
                <w:szCs w:val="1"/>
                <w:color w:val="auto"/>
              </w:rPr>
            </w:pPr>
          </w:p>
        </w:tc>
      </w:tr>
      <w:tr>
        <w:trPr>
          <w:trHeight w:val="81"/>
        </w:trPr>
        <w:tc>
          <w:tcPr>
            <w:tcW w:w="2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71119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1190" cy="17145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ectPr>
          <w:pgSz w:w="11900" w:h="16838" w:orient="portrait"/>
          <w:cols w:equalWidth="0" w:num="1">
            <w:col w:w="10219"/>
          </w:cols>
          <w:pgMar w:left="240" w:top="125" w:right="1440" w:bottom="1440" w:gutter="0" w:footer="0" w:header="0"/>
          <w:type w:val="continuous"/>
        </w:sectPr>
      </w:pPr>
    </w:p>
    <w:p>
      <w:pPr>
        <w:spacing w:after="0" w:line="125" w:lineRule="exact"/>
        <w:rPr>
          <w:sz w:val="20"/>
          <w:szCs w:val="20"/>
          <w:color w:val="auto"/>
        </w:rPr>
      </w:pPr>
    </w:p>
    <w:p>
      <w:pPr>
        <w:ind w:left="180"/>
        <w:spacing w:after="0" w:line="237" w:lineRule="auto"/>
        <w:rPr>
          <w:sz w:val="20"/>
          <w:szCs w:val="20"/>
          <w:color w:val="auto"/>
        </w:rPr>
      </w:pPr>
      <w:r>
        <w:rPr>
          <w:rFonts w:ascii="Arial" w:cs="Arial" w:eastAsia="Arial" w:hAnsi="Arial"/>
          <w:sz w:val="13"/>
          <w:szCs w:val="13"/>
          <w:color w:val="auto"/>
        </w:rPr>
        <w:t>Long-term debt and capital leases, net of current maturities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1"/>
          <w:szCs w:val="11"/>
          <w:color w:val="auto"/>
        </w:rPr>
        <w:t>Pensions and postretirement benefits</w:t>
      </w:r>
    </w:p>
    <w:p>
      <w:pPr>
        <w:spacing w:after="0" w:line="144" w:lineRule="exact"/>
        <w:rPr>
          <w:sz w:val="20"/>
          <w:szCs w:val="20"/>
          <w:color w:val="auto"/>
        </w:rPr>
      </w:pPr>
    </w:p>
    <w:p>
      <w:pPr>
        <w:ind w:left="180"/>
        <w:spacing w:after="0" w:line="254" w:lineRule="auto"/>
        <w:rPr>
          <w:sz w:val="20"/>
          <w:szCs w:val="20"/>
          <w:color w:val="auto"/>
        </w:rPr>
      </w:pPr>
      <w:r>
        <w:rPr>
          <w:rFonts w:ascii="Arial" w:cs="Arial" w:eastAsia="Arial" w:hAnsi="Arial"/>
          <w:sz w:val="12"/>
          <w:szCs w:val="12"/>
          <w:color w:val="auto"/>
        </w:rPr>
        <w:t>Mandatorily convertible preferred stock and other bankruptcy settlement obligations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Negative investment in subsidiaries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liabilities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Total noncurrent liabilities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Stockholders’ equity (deficit)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08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9,590</w:t>
            </w:r>
          </w:p>
        </w:tc>
        <w:tc>
          <w:tcPr>
            <w:tcW w:w="100" w:type="dxa"/>
            <w:vAlign w:val="bottom"/>
          </w:tcPr>
          <w:p>
            <w:pPr>
              <w:spacing w:after="0"/>
              <w:rPr>
                <w:sz w:val="13"/>
                <w:szCs w:val="13"/>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13"/>
                <w:szCs w:val="1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5,158</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15,244</w:t>
            </w:r>
          </w:p>
        </w:tc>
      </w:tr>
      <w:tr>
        <w:trPr>
          <w:trHeight w:val="270"/>
        </w:trPr>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5,631</w:t>
            </w:r>
          </w:p>
        </w:tc>
        <w:tc>
          <w:tcPr>
            <w:tcW w:w="10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5,766</w:t>
            </w:r>
          </w:p>
        </w:tc>
      </w:tr>
      <w:tr>
        <w:trPr>
          <w:trHeight w:val="459"/>
        </w:trPr>
        <w:tc>
          <w:tcPr>
            <w:tcW w:w="1080" w:type="dxa"/>
            <w:vAlign w:val="bottom"/>
          </w:tcPr>
          <w:p>
            <w:pPr>
              <w:jc w:val="right"/>
              <w:ind w:right="57"/>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2,242</w:t>
            </w:r>
          </w:p>
        </w:tc>
        <w:tc>
          <w:tcPr>
            <w:tcW w:w="1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2,322</w:t>
            </w:r>
          </w:p>
        </w:tc>
      </w:tr>
      <w:tr>
        <w:trPr>
          <w:trHeight w:val="270"/>
        </w:trPr>
        <w:tc>
          <w:tcPr>
            <w:tcW w:w="1080" w:type="dxa"/>
            <w:vAlign w:val="bottom"/>
          </w:tcPr>
          <w:p>
            <w:pPr>
              <w:jc w:val="right"/>
              <w:ind w:right="57"/>
              <w:spacing w:after="0"/>
              <w:rPr>
                <w:sz w:val="20"/>
                <w:szCs w:val="20"/>
                <w:color w:val="auto"/>
              </w:rPr>
            </w:pPr>
            <w:r>
              <w:rPr>
                <w:rFonts w:ascii="Arial" w:cs="Arial" w:eastAsia="Arial" w:hAnsi="Arial"/>
                <w:sz w:val="13"/>
                <w:szCs w:val="13"/>
                <w:color w:val="auto"/>
              </w:rPr>
              <w:t>1,345</w:t>
            </w:r>
          </w:p>
        </w:tc>
        <w:tc>
          <w:tcPr>
            <w:tcW w:w="10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(1,345)</w:t>
            </w:r>
          </w:p>
        </w:tc>
        <w:tc>
          <w:tcPr>
            <w:tcW w:w="10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80"/>
        </w:trPr>
        <w:tc>
          <w:tcPr>
            <w:tcW w:w="10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2,453</w:t>
            </w:r>
          </w:p>
        </w:tc>
        <w:tc>
          <w:tcPr>
            <w:tcW w:w="1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1,861</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(356)</w:t>
            </w:r>
          </w:p>
        </w:tc>
        <w:tc>
          <w:tcPr>
            <w:tcW w:w="100" w:type="dxa"/>
            <w:vAlign w:val="bottom"/>
          </w:tcPr>
          <w:p>
            <w:pPr>
              <w:spacing w:after="0"/>
              <w:rPr>
                <w:sz w:val="24"/>
                <w:szCs w:val="2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4,231</w:t>
            </w:r>
          </w:p>
        </w:tc>
      </w:tr>
      <w:tr>
        <w:trPr>
          <w:trHeight w:val="241"/>
        </w:trPr>
        <w:tc>
          <w:tcPr>
            <w:tcW w:w="10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1,427</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19,916</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7,127</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(1,735)</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27,563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-967105</wp:posOffset>
            </wp:positionV>
            <wp:extent cx="571119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1119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-503555</wp:posOffset>
            </wp:positionV>
            <wp:extent cx="571119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1119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-160655</wp:posOffset>
            </wp:positionV>
            <wp:extent cx="571119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11190" cy="171450"/>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2080" w:space="200"/>
            <w:col w:w="7939"/>
          </w:cols>
          <w:pgMar w:left="240" w:top="125" w:right="1440"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2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Common stock</w:t>
            </w:r>
          </w:p>
        </w:tc>
        <w:tc>
          <w:tcPr>
            <w:tcW w:w="3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90"/>
        </w:trPr>
        <w:tc>
          <w:tcPr>
            <w:tcW w:w="22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20" w:type="dxa"/>
            <w:vAlign w:val="bottom"/>
            <w:gridSpan w:val="2"/>
            <w:vMerge w:val="continue"/>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gridSpan w:val="2"/>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280" w:type="dxa"/>
            <w:vAlign w:val="bottom"/>
          </w:tcPr>
          <w:p>
            <w:pPr>
              <w:ind w:left="180"/>
              <w:spacing w:after="0"/>
              <w:rPr>
                <w:sz w:val="20"/>
                <w:szCs w:val="20"/>
                <w:color w:val="auto"/>
              </w:rPr>
            </w:pPr>
            <w:r>
              <w:rPr>
                <w:rFonts w:ascii="Arial" w:cs="Arial" w:eastAsia="Arial" w:hAnsi="Arial"/>
                <w:sz w:val="13"/>
                <w:szCs w:val="13"/>
                <w:color w:val="auto"/>
              </w:rPr>
              <w:t>Additional paid-in capital</w:t>
            </w:r>
          </w:p>
        </w:tc>
        <w:tc>
          <w:tcPr>
            <w:tcW w:w="340" w:type="dxa"/>
            <w:vAlign w:val="bottom"/>
          </w:tcPr>
          <w:p>
            <w:pPr>
              <w:spacing w:after="0"/>
              <w:rPr>
                <w:sz w:val="15"/>
                <w:szCs w:val="15"/>
                <w:color w:val="auto"/>
              </w:rPr>
            </w:pP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color w:val="auto"/>
              </w:rPr>
              <w:t>14,040</w:t>
            </w:r>
          </w:p>
        </w:tc>
        <w:tc>
          <w:tcPr>
            <w:tcW w:w="100" w:type="dxa"/>
            <w:vAlign w:val="bottom"/>
          </w:tcPr>
          <w:p>
            <w:pPr>
              <w:spacing w:after="0"/>
              <w:rPr>
                <w:sz w:val="15"/>
                <w:szCs w:val="15"/>
                <w:color w:val="auto"/>
              </w:rPr>
            </w:pP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color w:val="auto"/>
              </w:rPr>
              <w:t>8,481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4,629</w:t>
            </w:r>
          </w:p>
        </w:tc>
        <w:tc>
          <w:tcPr>
            <w:tcW w:w="100" w:type="dxa"/>
            <w:vAlign w:val="bottom"/>
          </w:tcPr>
          <w:p>
            <w:pPr>
              <w:spacing w:after="0"/>
              <w:rPr>
                <w:sz w:val="15"/>
                <w:szCs w:val="15"/>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5,468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192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(18,770)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13"/>
                <w:szCs w:val="13"/>
                <w:color w:val="auto"/>
              </w:rPr>
              <w:t>14,040</w:t>
            </w:r>
          </w:p>
        </w:tc>
        <w:tc>
          <w:tcPr>
            <w:tcW w:w="0" w:type="dxa"/>
            <w:vAlign w:val="bottom"/>
          </w:tcPr>
          <w:p>
            <w:pPr>
              <w:spacing w:after="0"/>
              <w:rPr>
                <w:sz w:val="1"/>
                <w:szCs w:val="1"/>
                <w:color w:val="auto"/>
              </w:rPr>
            </w:pPr>
          </w:p>
        </w:tc>
      </w:tr>
      <w:tr>
        <w:trPr>
          <w:trHeight w:val="89"/>
        </w:trPr>
        <w:tc>
          <w:tcPr>
            <w:tcW w:w="2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Accumulated other comprehensive</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(loss)</w:t>
            </w: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(2,135)</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2,232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(2,135)</w:t>
            </w:r>
          </w:p>
        </w:tc>
        <w:tc>
          <w:tcPr>
            <w:tcW w:w="0" w:type="dxa"/>
            <w:vAlign w:val="bottom"/>
          </w:tcPr>
          <w:p>
            <w:pPr>
              <w:spacing w:after="0"/>
              <w:rPr>
                <w:sz w:val="1"/>
                <w:szCs w:val="1"/>
                <w:color w:val="auto"/>
              </w:rPr>
            </w:pPr>
          </w:p>
        </w:tc>
      </w:tr>
      <w:tr>
        <w:trPr>
          <w:trHeight w:val="173"/>
        </w:trPr>
        <w:tc>
          <w:tcPr>
            <w:tcW w:w="2280" w:type="dxa"/>
            <w:vAlign w:val="bottom"/>
          </w:tcPr>
          <w:p>
            <w:pPr>
              <w:ind w:left="180"/>
              <w:spacing w:after="0"/>
              <w:rPr>
                <w:sz w:val="20"/>
                <w:szCs w:val="20"/>
                <w:color w:val="auto"/>
              </w:rPr>
            </w:pPr>
            <w:r>
              <w:rPr>
                <w:rFonts w:ascii="Arial" w:cs="Arial" w:eastAsia="Arial" w:hAnsi="Arial"/>
                <w:sz w:val="13"/>
                <w:szCs w:val="13"/>
                <w:color w:val="auto"/>
              </w:rPr>
              <w:t>Retained earnings (deficit)</w:t>
            </w:r>
          </w:p>
        </w:tc>
        <w:tc>
          <w:tcPr>
            <w:tcW w:w="3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(10,816)</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(12,468)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auto"/>
              </w:rPr>
              <w:t>12,683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(10,816)</w:t>
            </w:r>
          </w:p>
        </w:tc>
        <w:tc>
          <w:tcPr>
            <w:tcW w:w="0" w:type="dxa"/>
            <w:vAlign w:val="bottom"/>
          </w:tcPr>
          <w:p>
            <w:pPr>
              <w:spacing w:after="0"/>
              <w:rPr>
                <w:sz w:val="1"/>
                <w:szCs w:val="1"/>
                <w:color w:val="auto"/>
              </w:rPr>
            </w:pPr>
          </w:p>
        </w:tc>
      </w:tr>
      <w:tr>
        <w:trPr>
          <w:trHeight w:val="91"/>
        </w:trPr>
        <w:tc>
          <w:tcPr>
            <w:tcW w:w="228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stockholders’ equity (deficit)</w:t>
            </w:r>
          </w:p>
        </w:tc>
        <w:tc>
          <w:tcPr>
            <w:tcW w:w="3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1,095</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(6,241)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4,483</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5,415</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(3,855)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1,095</w:t>
            </w:r>
          </w:p>
        </w:tc>
        <w:tc>
          <w:tcPr>
            <w:tcW w:w="0" w:type="dxa"/>
            <w:vAlign w:val="bottom"/>
          </w:tcPr>
          <w:p>
            <w:pPr>
              <w:spacing w:after="0"/>
              <w:rPr>
                <w:sz w:val="1"/>
                <w:szCs w:val="1"/>
                <w:color w:val="auto"/>
              </w:rPr>
            </w:pPr>
          </w:p>
        </w:tc>
      </w:tr>
      <w:tr>
        <w:trPr>
          <w:trHeight w:val="97"/>
        </w:trPr>
        <w:tc>
          <w:tcPr>
            <w:tcW w:w="2280" w:type="dxa"/>
            <w:vAlign w:val="bottom"/>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280" w:type="dxa"/>
            <w:vAlign w:val="bottom"/>
          </w:tcPr>
          <w:p>
            <w:pPr>
              <w:ind w:left="280"/>
              <w:spacing w:after="0" w:line="124" w:lineRule="exact"/>
              <w:rPr>
                <w:sz w:val="20"/>
                <w:szCs w:val="20"/>
                <w:color w:val="auto"/>
              </w:rPr>
            </w:pPr>
            <w:r>
              <w:rPr>
                <w:rFonts w:ascii="Arial" w:cs="Arial" w:eastAsia="Arial" w:hAnsi="Arial"/>
                <w:sz w:val="13"/>
                <w:szCs w:val="13"/>
                <w:b w:val="1"/>
                <w:bCs w:val="1"/>
                <w:color w:val="auto"/>
                <w:w w:val="96"/>
              </w:rPr>
              <w:t>Total liabilities and stockholders’</w:t>
            </w:r>
          </w:p>
        </w:tc>
        <w:tc>
          <w:tcPr>
            <w:tcW w:w="340" w:type="dxa"/>
            <w:vAlign w:val="bottom"/>
            <w:vMerge w:val="restart"/>
          </w:tcPr>
          <w:p>
            <w:pPr>
              <w:jc w:val="right"/>
              <w:ind w:right="197"/>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color w:val="auto"/>
              </w:rPr>
              <w:t>2,510</w:t>
            </w:r>
          </w:p>
        </w:tc>
        <w:tc>
          <w:tcPr>
            <w:tcW w:w="100" w:type="dxa"/>
            <w:vAlign w:val="bottom"/>
          </w:tcPr>
          <w:p>
            <w:pPr>
              <w:spacing w:after="0"/>
              <w:rPr>
                <w:sz w:val="10"/>
                <w:szCs w:val="10"/>
                <w:color w:val="auto"/>
              </w:rPr>
            </w:pP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color w:val="auto"/>
              </w:rPr>
              <w:t>$   26,240</w:t>
            </w:r>
          </w:p>
        </w:tc>
        <w:tc>
          <w:tcPr>
            <w:tcW w:w="100" w:type="dxa"/>
            <w:vAlign w:val="bottom"/>
          </w:tcPr>
          <w:p>
            <w:pPr>
              <w:spacing w:after="0"/>
              <w:rPr>
                <w:sz w:val="10"/>
                <w:szCs w:val="10"/>
                <w:color w:val="auto"/>
              </w:rPr>
            </w:pPr>
          </w:p>
        </w:tc>
        <w:tc>
          <w:tcPr>
            <w:tcW w:w="32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5,617</w:t>
            </w:r>
          </w:p>
        </w:tc>
        <w:tc>
          <w:tcPr>
            <w:tcW w:w="100" w:type="dxa"/>
            <w:vAlign w:val="bottom"/>
          </w:tcPr>
          <w:p>
            <w:pPr>
              <w:spacing w:after="0"/>
              <w:rPr>
                <w:sz w:val="10"/>
                <w:szCs w:val="10"/>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w w:val="96"/>
              </w:rPr>
              <w:t>$   17,612</w:t>
            </w:r>
          </w:p>
        </w:tc>
        <w:tc>
          <w:tcPr>
            <w:tcW w:w="120" w:type="dxa"/>
            <w:vAlign w:val="bottom"/>
          </w:tcPr>
          <w:p>
            <w:pPr>
              <w:spacing w:after="0"/>
              <w:rPr>
                <w:sz w:val="10"/>
                <w:szCs w:val="10"/>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color w:val="auto"/>
                <w:w w:val="82"/>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920</w:t>
            </w:r>
          </w:p>
        </w:tc>
        <w:tc>
          <w:tcPr>
            <w:tcW w:w="100" w:type="dxa"/>
            <w:vAlign w:val="bottom"/>
          </w:tcPr>
          <w:p>
            <w:pPr>
              <w:spacing w:after="0"/>
              <w:rPr>
                <w:sz w:val="10"/>
                <w:szCs w:val="10"/>
                <w:color w:val="auto"/>
              </w:rPr>
            </w:pPr>
          </w:p>
        </w:tc>
        <w:tc>
          <w:tcPr>
            <w:tcW w:w="34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(9,162)</w:t>
            </w:r>
          </w:p>
        </w:tc>
        <w:tc>
          <w:tcPr>
            <w:tcW w:w="100" w:type="dxa"/>
            <w:vAlign w:val="bottom"/>
          </w:tcPr>
          <w:p>
            <w:pPr>
              <w:spacing w:after="0"/>
              <w:rPr>
                <w:sz w:val="10"/>
                <w:szCs w:val="10"/>
                <w:color w:val="auto"/>
              </w:rPr>
            </w:pPr>
          </w:p>
        </w:tc>
        <w:tc>
          <w:tcPr>
            <w:tcW w:w="240" w:type="dxa"/>
            <w:vAlign w:val="bottom"/>
            <w:vMerge w:val="restart"/>
          </w:tcPr>
          <w:p>
            <w:pPr>
              <w:jc w:val="right"/>
              <w:ind w:right="97"/>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ind w:right="17"/>
              <w:spacing w:after="0"/>
              <w:rPr>
                <w:sz w:val="20"/>
                <w:szCs w:val="20"/>
                <w:color w:val="auto"/>
              </w:rPr>
            </w:pPr>
            <w:r>
              <w:rPr>
                <w:rFonts w:ascii="Arial" w:cs="Arial" w:eastAsia="Arial" w:hAnsi="Arial"/>
                <w:sz w:val="13"/>
                <w:szCs w:val="13"/>
                <w:color w:val="auto"/>
              </w:rPr>
              <w:t>43,737</w:t>
            </w:r>
          </w:p>
        </w:tc>
        <w:tc>
          <w:tcPr>
            <w:tcW w:w="0" w:type="dxa"/>
            <w:vAlign w:val="bottom"/>
          </w:tcPr>
          <w:p>
            <w:pPr>
              <w:spacing w:after="0"/>
              <w:rPr>
                <w:sz w:val="1"/>
                <w:szCs w:val="1"/>
                <w:color w:val="auto"/>
              </w:rPr>
            </w:pPr>
          </w:p>
        </w:tc>
      </w:tr>
      <w:tr>
        <w:trPr>
          <w:trHeight w:val="171"/>
        </w:trPr>
        <w:tc>
          <w:tcPr>
            <w:tcW w:w="2280" w:type="dxa"/>
            <w:vAlign w:val="bottom"/>
          </w:tcPr>
          <w:p>
            <w:pPr>
              <w:ind w:left="280"/>
              <w:spacing w:after="0"/>
              <w:rPr>
                <w:sz w:val="20"/>
                <w:szCs w:val="20"/>
                <w:color w:val="auto"/>
              </w:rPr>
            </w:pPr>
            <w:r>
              <w:rPr>
                <w:rFonts w:ascii="Arial" w:cs="Arial" w:eastAsia="Arial" w:hAnsi="Arial"/>
                <w:sz w:val="13"/>
                <w:szCs w:val="13"/>
                <w:b w:val="1"/>
                <w:bCs w:val="1"/>
                <w:color w:val="auto"/>
              </w:rPr>
              <w:t>equity (deficit)</w:t>
            </w:r>
          </w:p>
        </w:tc>
        <w:tc>
          <w:tcPr>
            <w:tcW w:w="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5" w:right="1440" w:bottom="1440" w:gutter="0" w:footer="0" w:header="0"/>
          <w:type w:val="continuous"/>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219"/>
          </w:cols>
          <w:pgMar w:left="240" w:top="125" w:right="1440"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6"/>
          </w:tcPr>
          <w:p>
            <w:pPr>
              <w:ind w:left="660"/>
              <w:spacing w:after="0"/>
              <w:rPr>
                <w:sz w:val="20"/>
                <w:szCs w:val="20"/>
                <w:color w:val="auto"/>
              </w:rPr>
            </w:pPr>
            <w:r>
              <w:rPr>
                <w:rFonts w:ascii="Arial" w:cs="Arial" w:eastAsia="Arial" w:hAnsi="Arial"/>
                <w:sz w:val="16"/>
                <w:szCs w:val="16"/>
                <w:color w:val="auto"/>
                <w:w w:val="92"/>
              </w:rPr>
              <w:t>December 31, 2013</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7"/>
              <w:spacing w:after="0" w:line="141" w:lineRule="exact"/>
              <w:rPr>
                <w:sz w:val="20"/>
                <w:szCs w:val="20"/>
                <w:color w:val="auto"/>
              </w:rPr>
            </w:pPr>
            <w:r>
              <w:rPr>
                <w:rFonts w:ascii="Arial" w:cs="Arial" w:eastAsia="Arial" w:hAnsi="Arial"/>
                <w:sz w:val="13"/>
                <w:szCs w:val="13"/>
                <w:color w:val="auto"/>
                <w:w w:val="90"/>
              </w:rPr>
              <w:t>American</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200" w:type="dxa"/>
            <w:vAlign w:val="bottom"/>
            <w:gridSpan w:val="3"/>
          </w:tcPr>
          <w:p>
            <w:pPr>
              <w:jc w:val="center"/>
              <w:ind w:right="100"/>
              <w:spacing w:after="0" w:line="135" w:lineRule="exact"/>
              <w:rPr>
                <w:sz w:val="20"/>
                <w:szCs w:val="20"/>
                <w:color w:val="auto"/>
              </w:rPr>
            </w:pPr>
            <w:r>
              <w:rPr>
                <w:rFonts w:ascii="Arial" w:cs="Arial" w:eastAsia="Arial" w:hAnsi="Arial"/>
                <w:sz w:val="13"/>
                <w:szCs w:val="13"/>
                <w:color w:val="auto"/>
                <w:w w:val="92"/>
              </w:rPr>
              <w:t>American Airlines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2"/>
              </w:rPr>
              <w:t>US Airways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2"/>
              </w:rPr>
              <w:t>Airlines Group</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Group (Parent</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35" w:lineRule="exact"/>
              <w:rPr>
                <w:sz w:val="20"/>
                <w:szCs w:val="20"/>
                <w:color w:val="auto"/>
              </w:rPr>
            </w:pPr>
            <w:r>
              <w:rPr>
                <w:rFonts w:ascii="Arial" w:cs="Arial" w:eastAsia="Arial" w:hAnsi="Arial"/>
                <w:sz w:val="13"/>
                <w:szCs w:val="13"/>
                <w:color w:val="auto"/>
                <w:w w:val="87"/>
              </w:rPr>
              <w:t>Group (Parent</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Non-Guarantor</w:t>
            </w:r>
          </w:p>
        </w:tc>
        <w:tc>
          <w:tcPr>
            <w:tcW w:w="80" w:type="dxa"/>
            <w:vAlign w:val="bottom"/>
          </w:tcPr>
          <w:p>
            <w:pPr>
              <w:spacing w:after="0"/>
              <w:rPr>
                <w:sz w:val="11"/>
                <w:szCs w:val="11"/>
                <w:color w:val="auto"/>
              </w:rPr>
            </w:pPr>
          </w:p>
        </w:tc>
        <w:tc>
          <w:tcPr>
            <w:tcW w:w="1060" w:type="dxa"/>
            <w:vAlign w:val="bottom"/>
            <w:gridSpan w:val="2"/>
          </w:tcPr>
          <w:p>
            <w:pPr>
              <w:spacing w:after="0" w:line="135" w:lineRule="exact"/>
              <w:rPr>
                <w:sz w:val="20"/>
                <w:szCs w:val="20"/>
                <w:color w:val="auto"/>
              </w:rPr>
            </w:pPr>
            <w:r>
              <w:rPr>
                <w:rFonts w:ascii="Arial" w:cs="Arial" w:eastAsia="Arial" w:hAnsi="Arial"/>
                <w:sz w:val="13"/>
                <w:szCs w:val="13"/>
                <w:color w:val="auto"/>
              </w:rPr>
              <w:t>Eliminations and</w:t>
            </w:r>
          </w:p>
        </w:tc>
        <w:tc>
          <w:tcPr>
            <w:tcW w:w="100" w:type="dxa"/>
            <w:vAlign w:val="bottom"/>
          </w:tcPr>
          <w:p>
            <w:pPr>
              <w:spacing w:after="0"/>
              <w:rPr>
                <w:sz w:val="11"/>
                <w:szCs w:val="11"/>
                <w:color w:val="auto"/>
              </w:rPr>
            </w:pPr>
          </w:p>
        </w:tc>
        <w:tc>
          <w:tcPr>
            <w:tcW w:w="78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5"/>
              </w:rPr>
              <w:t>Inc.</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color w:val="auto"/>
                <w:w w:val="90"/>
              </w:rPr>
              <w:t>Company Only)</w:t>
            </w:r>
          </w:p>
        </w:tc>
        <w:tc>
          <w:tcPr>
            <w:tcW w:w="1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color w:val="auto"/>
              </w:rPr>
              <w:t>American</w:t>
            </w:r>
          </w:p>
        </w:tc>
        <w:tc>
          <w:tcPr>
            <w:tcW w:w="980" w:type="dxa"/>
            <w:vAlign w:val="bottom"/>
            <w:gridSpan w:val="3"/>
          </w:tcPr>
          <w:p>
            <w:pPr>
              <w:ind w:left="40"/>
              <w:spacing w:after="0"/>
              <w:rPr>
                <w:sz w:val="20"/>
                <w:szCs w:val="20"/>
                <w:color w:val="auto"/>
              </w:rPr>
            </w:pPr>
            <w:r>
              <w:rPr>
                <w:rFonts w:ascii="Arial" w:cs="Arial" w:eastAsia="Arial" w:hAnsi="Arial"/>
                <w:sz w:val="13"/>
                <w:szCs w:val="13"/>
                <w:color w:val="auto"/>
              </w:rPr>
              <w:t>Company Only)</w:t>
            </w: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color w:val="auto"/>
              </w:rPr>
              <w:t>US Airways</w:t>
            </w: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3"/>
                <w:szCs w:val="13"/>
                <w:color w:val="auto"/>
              </w:rPr>
              <w:t>Subsidiaries</w:t>
            </w:r>
          </w:p>
        </w:tc>
        <w:tc>
          <w:tcPr>
            <w:tcW w:w="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3"/>
                <w:szCs w:val="13"/>
                <w:color w:val="auto"/>
              </w:rPr>
              <w:t>Reclassifications</w:t>
            </w:r>
          </w:p>
        </w:tc>
        <w:tc>
          <w:tcPr>
            <w:tcW w:w="10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3"/>
                <w:szCs w:val="13"/>
                <w:color w:val="auto"/>
                <w:w w:val="86"/>
              </w:rPr>
              <w:t>Consolidated</w:t>
            </w:r>
          </w:p>
        </w:tc>
        <w:tc>
          <w:tcPr>
            <w:tcW w:w="0" w:type="dxa"/>
            <w:vAlign w:val="bottom"/>
          </w:tcPr>
          <w:p>
            <w:pPr>
              <w:spacing w:after="0"/>
              <w:rPr>
                <w:sz w:val="1"/>
                <w:szCs w:val="1"/>
                <w:color w:val="auto"/>
              </w:rPr>
            </w:pPr>
          </w:p>
        </w:tc>
      </w:tr>
      <w:tr>
        <w:trPr>
          <w:trHeight w:val="160"/>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840" w:type="dxa"/>
            <w:vAlign w:val="bottom"/>
          </w:tcPr>
          <w:p>
            <w:pPr>
              <w:ind w:left="40"/>
              <w:spacing w:after="0"/>
              <w:rPr>
                <w:sz w:val="20"/>
                <w:szCs w:val="20"/>
                <w:color w:val="auto"/>
              </w:rPr>
            </w:pPr>
            <w:r>
              <w:rPr>
                <w:rFonts w:ascii="Arial" w:cs="Arial" w:eastAsia="Arial" w:hAnsi="Arial"/>
                <w:sz w:val="13"/>
                <w:szCs w:val="13"/>
                <w:b w:val="1"/>
                <w:bCs w:val="1"/>
                <w:color w:val="auto"/>
              </w:rPr>
              <w:t>Current assets</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829</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303</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1,140</w:t>
            </w:r>
          </w:p>
        </w:tc>
        <w:tc>
          <w:tcPr>
            <w:tcW w:w="0" w:type="dxa"/>
            <w:vAlign w:val="bottom"/>
          </w:tcPr>
          <w:p>
            <w:pPr>
              <w:spacing w:after="0"/>
              <w:rPr>
                <w:sz w:val="1"/>
                <w:szCs w:val="1"/>
                <w:color w:val="auto"/>
              </w:rPr>
            </w:pPr>
          </w:p>
        </w:tc>
      </w:tr>
      <w:tr>
        <w:trPr>
          <w:trHeight w:val="97"/>
        </w:trPr>
        <w:tc>
          <w:tcPr>
            <w:tcW w:w="184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40" w:type="dxa"/>
            <w:vAlign w:val="bottom"/>
          </w:tcPr>
          <w:p>
            <w:pPr>
              <w:ind w:left="280"/>
              <w:spacing w:after="0"/>
              <w:rPr>
                <w:sz w:val="20"/>
                <w:szCs w:val="20"/>
                <w:color w:val="auto"/>
              </w:rPr>
            </w:pPr>
            <w:r>
              <w:rPr>
                <w:rFonts w:ascii="Arial" w:cs="Arial" w:eastAsia="Arial" w:hAnsi="Arial"/>
                <w:sz w:val="13"/>
                <w:szCs w:val="13"/>
                <w:color w:val="auto"/>
              </w:rPr>
              <w:t>Short-term investments</w:t>
            </w:r>
          </w:p>
        </w:tc>
        <w:tc>
          <w:tcPr>
            <w:tcW w:w="120" w:type="dxa"/>
            <w:vAlign w:val="bottom"/>
          </w:tcPr>
          <w:p>
            <w:pPr>
              <w:spacing w:after="0"/>
              <w:rPr>
                <w:sz w:val="15"/>
                <w:szCs w:val="15"/>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5,162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2,947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8,111</w:t>
            </w:r>
          </w:p>
        </w:tc>
        <w:tc>
          <w:tcPr>
            <w:tcW w:w="0" w:type="dxa"/>
            <w:vAlign w:val="bottom"/>
          </w:tcPr>
          <w:p>
            <w:pPr>
              <w:spacing w:after="0"/>
              <w:rPr>
                <w:sz w:val="1"/>
                <w:szCs w:val="1"/>
                <w:color w:val="auto"/>
              </w:rPr>
            </w:pPr>
          </w:p>
        </w:tc>
      </w:tr>
      <w:tr>
        <w:trPr>
          <w:trHeight w:val="89"/>
        </w:trPr>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Restricted cash and short-</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term investments</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1,035</w:t>
            </w:r>
          </w:p>
        </w:tc>
        <w:tc>
          <w:tcPr>
            <w:tcW w:w="0" w:type="dxa"/>
            <w:vAlign w:val="bottom"/>
          </w:tcPr>
          <w:p>
            <w:pPr>
              <w:spacing w:after="0"/>
              <w:rPr>
                <w:sz w:val="1"/>
                <w:szCs w:val="1"/>
                <w:color w:val="auto"/>
              </w:rPr>
            </w:pPr>
          </w:p>
        </w:tc>
      </w:tr>
      <w:tr>
        <w:trPr>
          <w:trHeight w:val="173"/>
        </w:trPr>
        <w:tc>
          <w:tcPr>
            <w:tcW w:w="1840" w:type="dxa"/>
            <w:vAlign w:val="bottom"/>
          </w:tcPr>
          <w:p>
            <w:pPr>
              <w:ind w:left="280"/>
              <w:spacing w:after="0"/>
              <w:rPr>
                <w:sz w:val="20"/>
                <w:szCs w:val="20"/>
                <w:color w:val="auto"/>
              </w:rPr>
            </w:pPr>
            <w:r>
              <w:rPr>
                <w:rFonts w:ascii="Arial" w:cs="Arial" w:eastAsia="Arial" w:hAnsi="Arial"/>
                <w:sz w:val="13"/>
                <w:szCs w:val="13"/>
                <w:color w:val="auto"/>
              </w:rPr>
              <w:t>Accounts receivable, net</w:t>
            </w:r>
          </w:p>
        </w:tc>
        <w:tc>
          <w:tcPr>
            <w:tcW w:w="120" w:type="dxa"/>
            <w:vAlign w:val="bottom"/>
          </w:tcPr>
          <w:p>
            <w:pPr>
              <w:spacing w:after="0"/>
              <w:rPr>
                <w:sz w:val="15"/>
                <w:szCs w:val="15"/>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1,186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357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1,560</w:t>
            </w:r>
          </w:p>
        </w:tc>
        <w:tc>
          <w:tcPr>
            <w:tcW w:w="0" w:type="dxa"/>
            <w:vAlign w:val="bottom"/>
          </w:tcPr>
          <w:p>
            <w:pPr>
              <w:spacing w:after="0"/>
              <w:rPr>
                <w:sz w:val="1"/>
                <w:szCs w:val="1"/>
                <w:color w:val="auto"/>
              </w:rPr>
            </w:pPr>
          </w:p>
        </w:tc>
      </w:tr>
      <w:tr>
        <w:trPr>
          <w:trHeight w:val="89"/>
        </w:trPr>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Receivables from related</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parties, net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2,468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840" w:type="dxa"/>
            <w:vAlign w:val="bottom"/>
          </w:tcPr>
          <w:p>
            <w:pPr>
              <w:ind w:left="280"/>
              <w:spacing w:after="0" w:line="148" w:lineRule="exact"/>
              <w:rPr>
                <w:sz w:val="20"/>
                <w:szCs w:val="20"/>
                <w:color w:val="auto"/>
              </w:rPr>
            </w:pPr>
            <w:r>
              <w:rPr>
                <w:rFonts w:ascii="Arial" w:cs="Arial" w:eastAsia="Arial" w:hAnsi="Arial"/>
                <w:sz w:val="13"/>
                <w:szCs w:val="13"/>
                <w:color w:val="auto"/>
              </w:rPr>
              <w:t>Aircraft fuel, spare parts</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40" w:type="dxa"/>
            <w:vAlign w:val="bottom"/>
          </w:tcPr>
          <w:p>
            <w:pPr>
              <w:ind w:left="280"/>
              <w:spacing w:after="0"/>
              <w:rPr>
                <w:sz w:val="20"/>
                <w:szCs w:val="20"/>
                <w:color w:val="auto"/>
              </w:rPr>
            </w:pPr>
            <w:r>
              <w:rPr>
                <w:rFonts w:ascii="Arial" w:cs="Arial" w:eastAsia="Arial" w:hAnsi="Arial"/>
                <w:sz w:val="13"/>
                <w:szCs w:val="13"/>
                <w:color w:val="auto"/>
              </w:rPr>
              <w:t>and supplies, net</w:t>
            </w:r>
          </w:p>
        </w:tc>
        <w:tc>
          <w:tcPr>
            <w:tcW w:w="12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620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1,012</w:t>
            </w:r>
          </w:p>
        </w:tc>
        <w:tc>
          <w:tcPr>
            <w:tcW w:w="0" w:type="dxa"/>
            <w:vAlign w:val="bottom"/>
          </w:tcPr>
          <w:p>
            <w:pPr>
              <w:spacing w:after="0"/>
              <w:rPr>
                <w:sz w:val="1"/>
                <w:szCs w:val="1"/>
                <w:color w:val="auto"/>
              </w:rPr>
            </w:pPr>
          </w:p>
        </w:tc>
      </w:tr>
      <w:tr>
        <w:trPr>
          <w:trHeight w:val="181"/>
        </w:trPr>
        <w:tc>
          <w:tcPr>
            <w:tcW w:w="1840" w:type="dxa"/>
            <w:vAlign w:val="bottom"/>
            <w:shd w:val="clear" w:color="auto" w:fill="CCEEFF"/>
          </w:tcPr>
          <w:p>
            <w:pPr>
              <w:ind w:left="280"/>
              <w:spacing w:after="0"/>
              <w:rPr>
                <w:sz w:val="20"/>
                <w:szCs w:val="20"/>
                <w:color w:val="auto"/>
              </w:rPr>
            </w:pPr>
            <w:r>
              <w:rPr>
                <w:rFonts w:ascii="Arial" w:cs="Arial" w:eastAsia="Arial" w:hAnsi="Arial"/>
                <w:sz w:val="13"/>
                <w:szCs w:val="13"/>
                <w:color w:val="auto"/>
                <w:w w:val="94"/>
              </w:rPr>
              <w:t>Prepaid expenses and other</w:t>
            </w: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702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1,465</w:t>
            </w:r>
          </w:p>
        </w:tc>
        <w:tc>
          <w:tcPr>
            <w:tcW w:w="0" w:type="dxa"/>
            <w:vAlign w:val="bottom"/>
          </w:tcPr>
          <w:p>
            <w:pPr>
              <w:spacing w:after="0"/>
              <w:rPr>
                <w:sz w:val="1"/>
                <w:szCs w:val="1"/>
                <w:color w:val="auto"/>
              </w:rPr>
            </w:pPr>
          </w:p>
        </w:tc>
      </w:tr>
      <w:tr>
        <w:trPr>
          <w:trHeight w:val="97"/>
        </w:trPr>
        <w:tc>
          <w:tcPr>
            <w:tcW w:w="1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840" w:type="dxa"/>
            <w:vAlign w:val="bottom"/>
          </w:tcPr>
          <w:p>
            <w:pPr>
              <w:ind w:left="500"/>
              <w:spacing w:after="0"/>
              <w:rPr>
                <w:sz w:val="20"/>
                <w:szCs w:val="20"/>
                <w:color w:val="auto"/>
              </w:rPr>
            </w:pPr>
            <w:r>
              <w:rPr>
                <w:rFonts w:ascii="Arial" w:cs="Arial" w:eastAsia="Arial" w:hAnsi="Arial"/>
                <w:sz w:val="13"/>
                <w:szCs w:val="13"/>
                <w:color w:val="auto"/>
              </w:rPr>
              <w:t>Total current assets</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2,469</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9,201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5,500</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(3,592)</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14,323</w:t>
            </w:r>
          </w:p>
        </w:tc>
        <w:tc>
          <w:tcPr>
            <w:tcW w:w="0" w:type="dxa"/>
            <w:vAlign w:val="bottom"/>
          </w:tcPr>
          <w:p>
            <w:pPr>
              <w:spacing w:after="0"/>
              <w:rPr>
                <w:sz w:val="1"/>
                <w:szCs w:val="1"/>
                <w:color w:val="auto"/>
              </w:rPr>
            </w:pPr>
          </w:p>
        </w:tc>
      </w:tr>
      <w:tr>
        <w:trPr>
          <w:trHeight w:val="89"/>
        </w:trPr>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Operating property and</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equipment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13,469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5,506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19,259</w:t>
            </w:r>
          </w:p>
        </w:tc>
        <w:tc>
          <w:tcPr>
            <w:tcW w:w="0" w:type="dxa"/>
            <w:vAlign w:val="bottom"/>
          </w:tcPr>
          <w:p>
            <w:pPr>
              <w:spacing w:after="0"/>
              <w:rPr>
                <w:sz w:val="1"/>
                <w:szCs w:val="1"/>
                <w:color w:val="auto"/>
              </w:rPr>
            </w:pPr>
          </w:p>
        </w:tc>
      </w:tr>
      <w:tr>
        <w:trPr>
          <w:trHeight w:val="173"/>
        </w:trPr>
        <w:tc>
          <w:tcPr>
            <w:tcW w:w="1840" w:type="dxa"/>
            <w:vAlign w:val="bottom"/>
          </w:tcPr>
          <w:p>
            <w:pPr>
              <w:ind w:left="40"/>
              <w:spacing w:after="0"/>
              <w:rPr>
                <w:sz w:val="20"/>
                <w:szCs w:val="20"/>
                <w:color w:val="auto"/>
              </w:rPr>
            </w:pPr>
            <w:r>
              <w:rPr>
                <w:rFonts w:ascii="Arial" w:cs="Arial" w:eastAsia="Arial" w:hAnsi="Arial"/>
                <w:sz w:val="13"/>
                <w:szCs w:val="13"/>
                <w:b w:val="1"/>
                <w:bCs w:val="1"/>
                <w:color w:val="auto"/>
              </w:rPr>
              <w:t>Other assets</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 in subsidiaries</w:t>
            </w: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5,317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1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40" w:type="dxa"/>
            <w:vAlign w:val="bottom"/>
          </w:tcPr>
          <w:p>
            <w:pPr>
              <w:ind w:left="280"/>
              <w:spacing w:after="0"/>
              <w:rPr>
                <w:sz w:val="20"/>
                <w:szCs w:val="20"/>
                <w:color w:val="auto"/>
              </w:rPr>
            </w:pPr>
            <w:r>
              <w:rPr>
                <w:rFonts w:ascii="Arial" w:cs="Arial" w:eastAsia="Arial" w:hAnsi="Arial"/>
                <w:sz w:val="13"/>
                <w:szCs w:val="13"/>
                <w:color w:val="auto"/>
              </w:rPr>
              <w:t>Goodwill</w:t>
            </w:r>
          </w:p>
        </w:tc>
        <w:tc>
          <w:tcPr>
            <w:tcW w:w="120" w:type="dxa"/>
            <w:vAlign w:val="bottom"/>
          </w:tcPr>
          <w:p>
            <w:pPr>
              <w:spacing w:after="0"/>
              <w:rPr>
                <w:sz w:val="15"/>
                <w:szCs w:val="15"/>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4,086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4,086</w:t>
            </w:r>
          </w:p>
        </w:tc>
        <w:tc>
          <w:tcPr>
            <w:tcW w:w="0" w:type="dxa"/>
            <w:vAlign w:val="bottom"/>
          </w:tcPr>
          <w:p>
            <w:pPr>
              <w:spacing w:after="0"/>
              <w:rPr>
                <w:sz w:val="1"/>
                <w:szCs w:val="1"/>
                <w:color w:val="auto"/>
              </w:rPr>
            </w:pPr>
          </w:p>
        </w:tc>
      </w:tr>
      <w:tr>
        <w:trPr>
          <w:trHeight w:val="89"/>
        </w:trPr>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Intangibles, net of</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accumulated amortization</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2,311</w:t>
            </w:r>
          </w:p>
        </w:tc>
        <w:tc>
          <w:tcPr>
            <w:tcW w:w="0" w:type="dxa"/>
            <w:vAlign w:val="bottom"/>
          </w:tcPr>
          <w:p>
            <w:pPr>
              <w:spacing w:after="0"/>
              <w:rPr>
                <w:sz w:val="1"/>
                <w:szCs w:val="1"/>
                <w:color w:val="auto"/>
              </w:rPr>
            </w:pPr>
          </w:p>
        </w:tc>
      </w:tr>
      <w:tr>
        <w:trPr>
          <w:trHeight w:val="173"/>
        </w:trPr>
        <w:tc>
          <w:tcPr>
            <w:tcW w:w="1840" w:type="dxa"/>
            <w:vAlign w:val="bottom"/>
          </w:tcPr>
          <w:p>
            <w:pPr>
              <w:ind w:left="280"/>
              <w:spacing w:after="0"/>
              <w:rPr>
                <w:sz w:val="20"/>
                <w:szCs w:val="20"/>
                <w:color w:val="auto"/>
              </w:rPr>
            </w:pPr>
            <w:r>
              <w:rPr>
                <w:rFonts w:ascii="Arial" w:cs="Arial" w:eastAsia="Arial" w:hAnsi="Arial"/>
                <w:sz w:val="13"/>
                <w:szCs w:val="13"/>
                <w:color w:val="auto"/>
              </w:rPr>
              <w:t>Other assets</w:t>
            </w:r>
          </w:p>
        </w:tc>
        <w:tc>
          <w:tcPr>
            <w:tcW w:w="120" w:type="dxa"/>
            <w:vAlign w:val="bottom"/>
          </w:tcPr>
          <w:p>
            <w:pPr>
              <w:spacing w:after="0"/>
              <w:rPr>
                <w:sz w:val="15"/>
                <w:szCs w:val="15"/>
                <w:color w:val="auto"/>
              </w:rPr>
            </w:pPr>
          </w:p>
        </w:tc>
        <w:tc>
          <w:tcPr>
            <w:tcW w:w="960" w:type="dxa"/>
            <w:vAlign w:val="bottom"/>
            <w:vMerge w:val="restart"/>
          </w:tcPr>
          <w:p>
            <w:pPr>
              <w:jc w:val="right"/>
              <w:ind w:right="17"/>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2,130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2,299</w:t>
            </w:r>
          </w:p>
        </w:tc>
        <w:tc>
          <w:tcPr>
            <w:tcW w:w="0" w:type="dxa"/>
            <w:vAlign w:val="bottom"/>
          </w:tcPr>
          <w:p>
            <w:pPr>
              <w:spacing w:after="0"/>
              <w:rPr>
                <w:sz w:val="1"/>
                <w:szCs w:val="1"/>
                <w:color w:val="auto"/>
              </w:rPr>
            </w:pPr>
          </w:p>
        </w:tc>
      </w:tr>
      <w:tr>
        <w:trPr>
          <w:trHeight w:val="91"/>
        </w:trPr>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8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3"/>
                <w:szCs w:val="13"/>
                <w:color w:val="auto"/>
              </w:rPr>
              <w:t>Total other assets</w:t>
            </w: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42</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2,942</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5,317</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5,713</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(5,351)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8,696</w:t>
            </w:r>
          </w:p>
        </w:tc>
        <w:tc>
          <w:tcPr>
            <w:tcW w:w="0" w:type="dxa"/>
            <w:vAlign w:val="bottom"/>
          </w:tcPr>
          <w:p>
            <w:pPr>
              <w:spacing w:after="0"/>
              <w:rPr>
                <w:sz w:val="1"/>
                <w:szCs w:val="1"/>
                <w:color w:val="auto"/>
              </w:rPr>
            </w:pPr>
          </w:p>
        </w:tc>
      </w:tr>
      <w:tr>
        <w:trPr>
          <w:trHeight w:val="97"/>
        </w:trPr>
        <w:tc>
          <w:tcPr>
            <w:tcW w:w="184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840" w:type="dxa"/>
            <w:vAlign w:val="bottom"/>
          </w:tcPr>
          <w:p>
            <w:pPr>
              <w:ind w:left="720"/>
              <w:spacing w:after="0"/>
              <w:rPr>
                <w:sz w:val="20"/>
                <w:szCs w:val="20"/>
                <w:color w:val="auto"/>
              </w:rPr>
            </w:pPr>
            <w:r>
              <w:rPr>
                <w:rFonts w:ascii="Arial" w:cs="Arial" w:eastAsia="Arial" w:hAnsi="Arial"/>
                <w:sz w:val="13"/>
                <w:szCs w:val="13"/>
                <w:b w:val="1"/>
                <w:bCs w:val="1"/>
                <w:color w:val="auto"/>
              </w:rPr>
              <w:t>Total assets</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17"/>
              <w:spacing w:after="0"/>
              <w:rPr>
                <w:sz w:val="20"/>
                <w:szCs w:val="20"/>
                <w:color w:val="auto"/>
              </w:rPr>
            </w:pPr>
            <w:r>
              <w:rPr>
                <w:rFonts w:ascii="Arial" w:cs="Arial" w:eastAsia="Arial" w:hAnsi="Arial"/>
                <w:sz w:val="13"/>
                <w:szCs w:val="13"/>
                <w:color w:val="auto"/>
              </w:rPr>
              <w:t>2,511</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25,612</w:t>
            </w:r>
          </w:p>
        </w:tc>
        <w:tc>
          <w:tcPr>
            <w:tcW w:w="100" w:type="dxa"/>
            <w:vAlign w:val="bottom"/>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ind w:right="16"/>
              <w:spacing w:after="0"/>
              <w:rPr>
                <w:sz w:val="20"/>
                <w:szCs w:val="20"/>
                <w:color w:val="auto"/>
              </w:rPr>
            </w:pPr>
            <w:r>
              <w:rPr>
                <w:rFonts w:ascii="Arial" w:cs="Arial" w:eastAsia="Arial" w:hAnsi="Arial"/>
                <w:sz w:val="13"/>
                <w:szCs w:val="13"/>
                <w:color w:val="auto"/>
              </w:rPr>
              <w:t>5,462</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16,719</w:t>
            </w:r>
          </w:p>
        </w:tc>
        <w:tc>
          <w:tcPr>
            <w:tcW w:w="120" w:type="dxa"/>
            <w:vAlign w:val="bottom"/>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917</w:t>
            </w:r>
          </w:p>
        </w:tc>
        <w:tc>
          <w:tcPr>
            <w:tcW w:w="120" w:type="dxa"/>
            <w:vAlign w:val="bottom"/>
          </w:tcPr>
          <w:p>
            <w:pPr>
              <w:spacing w:after="0"/>
              <w:rPr>
                <w:sz w:val="13"/>
                <w:szCs w:val="13"/>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(8,943)</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42,278</w:t>
            </w:r>
          </w:p>
        </w:tc>
        <w:tc>
          <w:tcPr>
            <w:tcW w:w="0" w:type="dxa"/>
            <w:vAlign w:val="bottom"/>
          </w:tcPr>
          <w:p>
            <w:pPr>
              <w:spacing w:after="0"/>
              <w:rPr>
                <w:sz w:val="1"/>
                <w:szCs w:val="1"/>
                <w:color w:val="auto"/>
              </w:rPr>
            </w:pPr>
          </w:p>
        </w:tc>
      </w:tr>
      <w:tr>
        <w:trPr>
          <w:trHeight w:val="117"/>
        </w:trPr>
        <w:tc>
          <w:tcPr>
            <w:tcW w:w="18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4020" w:type="dxa"/>
            <w:vAlign w:val="bottom"/>
            <w:gridSpan w:val="7"/>
          </w:tcPr>
          <w:p>
            <w:pPr>
              <w:ind w:left="40"/>
              <w:spacing w:after="0"/>
              <w:rPr>
                <w:sz w:val="20"/>
                <w:szCs w:val="20"/>
                <w:color w:val="auto"/>
              </w:rPr>
            </w:pPr>
            <w:r>
              <w:rPr>
                <w:rFonts w:ascii="Arial" w:cs="Arial" w:eastAsia="Arial" w:hAnsi="Arial"/>
                <w:sz w:val="13"/>
                <w:szCs w:val="13"/>
                <w:b w:val="1"/>
                <w:bCs w:val="1"/>
                <w:color w:val="auto"/>
              </w:rPr>
              <w:t>LIABILITIES &amp; STOCKHOLDERS’ EQUITY (DEFICIT)</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Current liabilities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280"/>
              <w:spacing w:after="0" w:line="148" w:lineRule="exact"/>
              <w:rPr>
                <w:sz w:val="20"/>
                <w:szCs w:val="20"/>
                <w:color w:val="auto"/>
              </w:rPr>
            </w:pPr>
            <w:r>
              <w:rPr>
                <w:rFonts w:ascii="Arial" w:cs="Arial" w:eastAsia="Arial" w:hAnsi="Arial"/>
                <w:sz w:val="13"/>
                <w:szCs w:val="13"/>
                <w:color w:val="auto"/>
              </w:rPr>
              <w:t>Current maturities of long-</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40" w:type="dxa"/>
            <w:vAlign w:val="bottom"/>
          </w:tcPr>
          <w:p>
            <w:pPr>
              <w:ind w:left="280"/>
              <w:spacing w:after="0"/>
              <w:rPr>
                <w:sz w:val="20"/>
                <w:szCs w:val="20"/>
                <w:color w:val="auto"/>
              </w:rPr>
            </w:pPr>
            <w:r>
              <w:rPr>
                <w:rFonts w:ascii="Arial" w:cs="Arial" w:eastAsia="Arial" w:hAnsi="Arial"/>
                <w:sz w:val="13"/>
                <w:szCs w:val="13"/>
                <w:color w:val="auto"/>
                <w:w w:val="94"/>
              </w:rPr>
              <w:t>term debt and capital leases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467</w:t>
            </w:r>
          </w:p>
        </w:tc>
        <w:tc>
          <w:tcPr>
            <w:tcW w:w="1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1,446</w:t>
            </w:r>
          </w:p>
        </w:tc>
        <w:tc>
          <w:tcPr>
            <w:tcW w:w="0" w:type="dxa"/>
            <w:vAlign w:val="bottom"/>
          </w:tcPr>
          <w:p>
            <w:pPr>
              <w:spacing w:after="0"/>
              <w:rPr>
                <w:sz w:val="1"/>
                <w:szCs w:val="1"/>
                <w:color w:val="auto"/>
              </w:rPr>
            </w:pPr>
          </w:p>
        </w:tc>
      </w:tr>
      <w:tr>
        <w:trPr>
          <w:trHeight w:val="181"/>
        </w:trPr>
        <w:tc>
          <w:tcPr>
            <w:tcW w:w="1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w:t>
            </w: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1,013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304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1,368</w:t>
            </w:r>
          </w:p>
        </w:tc>
        <w:tc>
          <w:tcPr>
            <w:tcW w:w="0" w:type="dxa"/>
            <w:vAlign w:val="bottom"/>
          </w:tcPr>
          <w:p>
            <w:pPr>
              <w:spacing w:after="0"/>
              <w:rPr>
                <w:sz w:val="1"/>
                <w:szCs w:val="1"/>
                <w:color w:val="auto"/>
              </w:rPr>
            </w:pPr>
          </w:p>
        </w:tc>
      </w:tr>
      <w:tr>
        <w:trPr>
          <w:trHeight w:val="97"/>
        </w:trPr>
        <w:tc>
          <w:tcPr>
            <w:tcW w:w="1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280"/>
              <w:spacing w:after="0" w:line="148" w:lineRule="exact"/>
              <w:rPr>
                <w:sz w:val="20"/>
                <w:szCs w:val="20"/>
                <w:color w:val="auto"/>
              </w:rPr>
            </w:pPr>
            <w:r>
              <w:rPr>
                <w:rFonts w:ascii="Arial" w:cs="Arial" w:eastAsia="Arial" w:hAnsi="Arial"/>
                <w:sz w:val="13"/>
                <w:szCs w:val="13"/>
                <w:color w:val="auto"/>
                <w:w w:val="97"/>
              </w:rPr>
              <w:t>Payables to related parties,</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40" w:type="dxa"/>
            <w:vAlign w:val="bottom"/>
          </w:tcPr>
          <w:p>
            <w:pPr>
              <w:ind w:left="280"/>
              <w:spacing w:after="0"/>
              <w:rPr>
                <w:sz w:val="20"/>
                <w:szCs w:val="20"/>
                <w:color w:val="auto"/>
              </w:rPr>
            </w:pPr>
            <w:r>
              <w:rPr>
                <w:rFonts w:ascii="Arial" w:cs="Arial" w:eastAsia="Arial" w:hAnsi="Arial"/>
                <w:sz w:val="13"/>
                <w:szCs w:val="13"/>
                <w:color w:val="auto"/>
              </w:rPr>
              <w:t>net</w:t>
            </w:r>
          </w:p>
        </w:tc>
        <w:tc>
          <w:tcPr>
            <w:tcW w:w="12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2,807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408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1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Air traffic liability</w:t>
            </w: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3,145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1,235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4,380</w:t>
            </w:r>
          </w:p>
        </w:tc>
        <w:tc>
          <w:tcPr>
            <w:tcW w:w="0" w:type="dxa"/>
            <w:vAlign w:val="bottom"/>
          </w:tcPr>
          <w:p>
            <w:pPr>
              <w:spacing w:after="0"/>
              <w:rPr>
                <w:sz w:val="1"/>
                <w:szCs w:val="1"/>
                <w:color w:val="auto"/>
              </w:rPr>
            </w:pPr>
          </w:p>
        </w:tc>
      </w:tr>
      <w:tr>
        <w:trPr>
          <w:trHeight w:val="97"/>
        </w:trPr>
        <w:tc>
          <w:tcPr>
            <w:tcW w:w="1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40" w:type="dxa"/>
            <w:vAlign w:val="bottom"/>
          </w:tcPr>
          <w:p>
            <w:pPr>
              <w:ind w:left="280"/>
              <w:spacing w:after="0"/>
              <w:rPr>
                <w:sz w:val="20"/>
                <w:szCs w:val="20"/>
                <w:color w:val="auto"/>
              </w:rPr>
            </w:pPr>
            <w:r>
              <w:rPr>
                <w:rFonts w:ascii="Arial" w:cs="Arial" w:eastAsia="Arial" w:hAnsi="Arial"/>
                <w:sz w:val="13"/>
                <w:szCs w:val="13"/>
                <w:color w:val="auto"/>
              </w:rPr>
              <w:t>Frequent flyer liability</w:t>
            </w:r>
          </w:p>
        </w:tc>
        <w:tc>
          <w:tcPr>
            <w:tcW w:w="120" w:type="dxa"/>
            <w:vAlign w:val="bottom"/>
          </w:tcPr>
          <w:p>
            <w:pPr>
              <w:spacing w:after="0"/>
              <w:rPr>
                <w:sz w:val="15"/>
                <w:szCs w:val="15"/>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1,760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1,245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3,005</w:t>
            </w:r>
          </w:p>
        </w:tc>
        <w:tc>
          <w:tcPr>
            <w:tcW w:w="0" w:type="dxa"/>
            <w:vAlign w:val="bottom"/>
          </w:tcPr>
          <w:p>
            <w:pPr>
              <w:spacing w:after="0"/>
              <w:rPr>
                <w:sz w:val="1"/>
                <w:szCs w:val="1"/>
                <w:color w:val="auto"/>
              </w:rPr>
            </w:pPr>
          </w:p>
        </w:tc>
      </w:tr>
      <w:tr>
        <w:trPr>
          <w:trHeight w:val="89"/>
        </w:trPr>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accrued liabilities</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2,237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1,137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3,607</w:t>
            </w:r>
          </w:p>
        </w:tc>
        <w:tc>
          <w:tcPr>
            <w:tcW w:w="0" w:type="dxa"/>
            <w:vAlign w:val="bottom"/>
          </w:tcPr>
          <w:p>
            <w:pPr>
              <w:spacing w:after="0"/>
              <w:rPr>
                <w:sz w:val="1"/>
                <w:szCs w:val="1"/>
                <w:color w:val="auto"/>
              </w:rPr>
            </w:pPr>
          </w:p>
        </w:tc>
      </w:tr>
      <w:tr>
        <w:trPr>
          <w:trHeight w:val="97"/>
        </w:trPr>
        <w:tc>
          <w:tcPr>
            <w:tcW w:w="1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840" w:type="dxa"/>
            <w:vAlign w:val="bottom"/>
          </w:tcPr>
          <w:p>
            <w:pPr>
              <w:ind w:left="500"/>
              <w:spacing w:after="0"/>
              <w:rPr>
                <w:sz w:val="20"/>
                <w:szCs w:val="20"/>
                <w:color w:val="auto"/>
              </w:rPr>
            </w:pPr>
            <w:r>
              <w:rPr>
                <w:rFonts w:ascii="Arial" w:cs="Arial" w:eastAsia="Arial" w:hAnsi="Arial"/>
                <w:sz w:val="13"/>
                <w:szCs w:val="13"/>
                <w:color w:val="auto"/>
              </w:rPr>
              <w:t>Total current liabilities</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11,919</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533</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4,438</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403</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(3,478)</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13,806</w:t>
            </w:r>
          </w:p>
        </w:tc>
        <w:tc>
          <w:tcPr>
            <w:tcW w:w="0" w:type="dxa"/>
            <w:vAlign w:val="bottom"/>
          </w:tcPr>
          <w:p>
            <w:pPr>
              <w:spacing w:after="0"/>
              <w:rPr>
                <w:sz w:val="1"/>
                <w:szCs w:val="1"/>
                <w:color w:val="auto"/>
              </w:rPr>
            </w:pPr>
          </w:p>
        </w:tc>
      </w:tr>
      <w:tr>
        <w:trPr>
          <w:trHeight w:val="89"/>
        </w:trPr>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Noncurrent liabilities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280"/>
              <w:spacing w:after="0" w:line="148" w:lineRule="exact"/>
              <w:rPr>
                <w:sz w:val="20"/>
                <w:szCs w:val="20"/>
                <w:color w:val="auto"/>
              </w:rPr>
            </w:pPr>
            <w:r>
              <w:rPr>
                <w:rFonts w:ascii="Arial" w:cs="Arial" w:eastAsia="Arial" w:hAnsi="Arial"/>
                <w:sz w:val="13"/>
                <w:szCs w:val="13"/>
                <w:color w:val="auto"/>
                <w:w w:val="99"/>
              </w:rPr>
              <w:t>Long-term debt and capital</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80"/>
              <w:spacing w:after="0" w:line="135" w:lineRule="exact"/>
              <w:rPr>
                <w:sz w:val="20"/>
                <w:szCs w:val="20"/>
                <w:color w:val="auto"/>
              </w:rPr>
            </w:pPr>
            <w:r>
              <w:rPr>
                <w:rFonts w:ascii="Arial" w:cs="Arial" w:eastAsia="Arial" w:hAnsi="Arial"/>
                <w:sz w:val="13"/>
                <w:szCs w:val="13"/>
                <w:color w:val="auto"/>
              </w:rPr>
              <w:t>leases, net of current</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840" w:type="dxa"/>
            <w:vAlign w:val="bottom"/>
          </w:tcPr>
          <w:p>
            <w:pPr>
              <w:ind w:left="280"/>
              <w:spacing w:after="0"/>
              <w:rPr>
                <w:sz w:val="20"/>
                <w:szCs w:val="20"/>
                <w:color w:val="auto"/>
              </w:rPr>
            </w:pPr>
            <w:r>
              <w:rPr>
                <w:rFonts w:ascii="Arial" w:cs="Arial" w:eastAsia="Arial" w:hAnsi="Arial"/>
                <w:sz w:val="13"/>
                <w:szCs w:val="13"/>
                <w:color w:val="auto"/>
              </w:rPr>
              <w:t>maturities</w:t>
            </w: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9,852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5,005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15,353</w:t>
            </w: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280"/>
              <w:spacing w:after="0"/>
              <w:rPr>
                <w:sz w:val="20"/>
                <w:szCs w:val="20"/>
                <w:color w:val="auto"/>
              </w:rPr>
            </w:pPr>
            <w:r>
              <w:rPr>
                <w:rFonts w:ascii="Arial" w:cs="Arial" w:eastAsia="Arial" w:hAnsi="Arial"/>
                <w:sz w:val="13"/>
                <w:szCs w:val="13"/>
                <w:color w:val="auto"/>
                <w:w w:val="93"/>
              </w:rPr>
              <w:t>Pensions and postretirement</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benefits</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5,693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5,828</w:t>
            </w:r>
          </w:p>
        </w:tc>
        <w:tc>
          <w:tcPr>
            <w:tcW w:w="0" w:type="dxa"/>
            <w:vAlign w:val="bottom"/>
          </w:tcPr>
          <w:p>
            <w:pPr>
              <w:spacing w:after="0"/>
              <w:rPr>
                <w:sz w:val="1"/>
                <w:szCs w:val="1"/>
                <w:color w:val="auto"/>
              </w:rPr>
            </w:pPr>
          </w:p>
        </w:tc>
      </w:tr>
      <w:tr>
        <w:trPr>
          <w:trHeight w:val="148"/>
        </w:trPr>
        <w:tc>
          <w:tcPr>
            <w:tcW w:w="1840" w:type="dxa"/>
            <w:vAlign w:val="bottom"/>
          </w:tcPr>
          <w:p>
            <w:pPr>
              <w:ind w:left="280"/>
              <w:spacing w:after="0" w:line="148" w:lineRule="exact"/>
              <w:rPr>
                <w:sz w:val="20"/>
                <w:szCs w:val="20"/>
                <w:color w:val="auto"/>
              </w:rPr>
            </w:pPr>
            <w:r>
              <w:rPr>
                <w:rFonts w:ascii="Arial" w:cs="Arial" w:eastAsia="Arial" w:hAnsi="Arial"/>
                <w:sz w:val="13"/>
                <w:szCs w:val="13"/>
                <w:color w:val="auto"/>
              </w:rPr>
              <w:t>Mandatorily convertible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80"/>
              <w:spacing w:after="0" w:line="135" w:lineRule="exact"/>
              <w:rPr>
                <w:sz w:val="20"/>
                <w:szCs w:val="20"/>
                <w:color w:val="auto"/>
              </w:rPr>
            </w:pPr>
            <w:r>
              <w:rPr>
                <w:rFonts w:ascii="Arial" w:cs="Arial" w:eastAsia="Arial" w:hAnsi="Arial"/>
                <w:sz w:val="13"/>
                <w:szCs w:val="13"/>
                <w:color w:val="auto"/>
              </w:rPr>
              <w:t>preferred stock and other</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80"/>
              <w:spacing w:after="0" w:line="135" w:lineRule="exact"/>
              <w:rPr>
                <w:sz w:val="20"/>
                <w:szCs w:val="20"/>
                <w:color w:val="auto"/>
              </w:rPr>
            </w:pPr>
            <w:r>
              <w:rPr>
                <w:rFonts w:ascii="Arial" w:cs="Arial" w:eastAsia="Arial" w:hAnsi="Arial"/>
                <w:sz w:val="13"/>
                <w:szCs w:val="13"/>
                <w:color w:val="auto"/>
              </w:rPr>
              <w:t>bankruptcy settlement</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840" w:type="dxa"/>
            <w:vAlign w:val="bottom"/>
          </w:tcPr>
          <w:p>
            <w:pPr>
              <w:ind w:left="280"/>
              <w:spacing w:after="0"/>
              <w:rPr>
                <w:sz w:val="20"/>
                <w:szCs w:val="20"/>
                <w:color w:val="auto"/>
              </w:rPr>
            </w:pPr>
            <w:r>
              <w:rPr>
                <w:rFonts w:ascii="Arial" w:cs="Arial" w:eastAsia="Arial" w:hAnsi="Arial"/>
                <w:sz w:val="13"/>
                <w:szCs w:val="13"/>
                <w:color w:val="auto"/>
              </w:rPr>
              <w:t>obligations</w:t>
            </w: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435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5,424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5,928</w:t>
            </w: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Negative investment in</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subsidiaries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840" w:type="dxa"/>
            <w:vAlign w:val="bottom"/>
          </w:tcPr>
          <w:p>
            <w:pPr>
              <w:ind w:left="280"/>
              <w:spacing w:after="0"/>
              <w:rPr>
                <w:sz w:val="20"/>
                <w:szCs w:val="20"/>
                <w:color w:val="auto"/>
              </w:rPr>
            </w:pPr>
            <w:r>
              <w:rPr>
                <w:rFonts w:ascii="Arial" w:cs="Arial" w:eastAsia="Arial" w:hAnsi="Arial"/>
                <w:sz w:val="13"/>
                <w:szCs w:val="13"/>
                <w:color w:val="auto"/>
              </w:rPr>
              <w:t>Other liabilities</w:t>
            </w:r>
          </w:p>
        </w:tc>
        <w:tc>
          <w:tcPr>
            <w:tcW w:w="120" w:type="dxa"/>
            <w:vAlign w:val="bottom"/>
          </w:tcPr>
          <w:p>
            <w:pPr>
              <w:spacing w:after="0"/>
              <w:rPr>
                <w:sz w:val="15"/>
                <w:szCs w:val="15"/>
                <w:color w:val="auto"/>
              </w:rPr>
            </w:pPr>
          </w:p>
        </w:tc>
        <w:tc>
          <w:tcPr>
            <w:tcW w:w="96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2,384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1,905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277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4,094</w:t>
            </w:r>
          </w:p>
        </w:tc>
        <w:tc>
          <w:tcPr>
            <w:tcW w:w="0" w:type="dxa"/>
            <w:vAlign w:val="bottom"/>
          </w:tcPr>
          <w:p>
            <w:pPr>
              <w:spacing w:after="0"/>
              <w:rPr>
                <w:sz w:val="1"/>
                <w:szCs w:val="1"/>
                <w:color w:val="auto"/>
              </w:rPr>
            </w:pPr>
          </w:p>
        </w:tc>
      </w:tr>
      <w:tr>
        <w:trPr>
          <w:trHeight w:val="91"/>
        </w:trPr>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840" w:type="dxa"/>
            <w:vAlign w:val="bottom"/>
            <w:tcBorders>
              <w:top w:val="single" w:sz="8" w:color="CCEEFF"/>
            </w:tcBorders>
            <w:shd w:val="clear" w:color="auto" w:fill="CCEEFF"/>
          </w:tcPr>
          <w:p>
            <w:pPr>
              <w:ind w:left="500"/>
              <w:spacing w:after="0" w:line="134" w:lineRule="exact"/>
              <w:rPr>
                <w:sz w:val="20"/>
                <w:szCs w:val="20"/>
                <w:color w:val="auto"/>
              </w:rPr>
            </w:pPr>
            <w:r>
              <w:rPr>
                <w:rFonts w:ascii="Arial" w:cs="Arial" w:eastAsia="Arial" w:hAnsi="Arial"/>
                <w:sz w:val="13"/>
                <w:szCs w:val="13"/>
                <w:color w:val="auto"/>
              </w:rPr>
              <w:t>Total noncurrent</w:t>
            </w:r>
          </w:p>
        </w:tc>
        <w:tc>
          <w:tcPr>
            <w:tcW w:w="1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liabilities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5,251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23,353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7,019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31,203</w:t>
            </w:r>
          </w:p>
        </w:tc>
        <w:tc>
          <w:tcPr>
            <w:tcW w:w="0" w:type="dxa"/>
            <w:vAlign w:val="bottom"/>
          </w:tcPr>
          <w:p>
            <w:pPr>
              <w:spacing w:after="0"/>
              <w:rPr>
                <w:sz w:val="1"/>
                <w:szCs w:val="1"/>
                <w:color w:val="auto"/>
              </w:rPr>
            </w:pPr>
          </w:p>
        </w:tc>
      </w:tr>
      <w:tr>
        <w:trPr>
          <w:trHeight w:val="173"/>
        </w:trPr>
        <w:tc>
          <w:tcPr>
            <w:tcW w:w="1840" w:type="dxa"/>
            <w:vAlign w:val="bottom"/>
          </w:tcPr>
          <w:p>
            <w:pPr>
              <w:ind w:left="40"/>
              <w:spacing w:after="0"/>
              <w:rPr>
                <w:sz w:val="20"/>
                <w:szCs w:val="20"/>
                <w:color w:val="auto"/>
              </w:rPr>
            </w:pPr>
            <w:r>
              <w:rPr>
                <w:rFonts w:ascii="Arial" w:cs="Arial" w:eastAsia="Arial" w:hAnsi="Arial"/>
                <w:sz w:val="13"/>
                <w:szCs w:val="13"/>
                <w:b w:val="1"/>
                <w:bCs w:val="1"/>
                <w:color w:val="auto"/>
                <w:w w:val="99"/>
              </w:rPr>
              <w:t>Stockholders’ equity (deficit)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Common stock</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97"/>
        </w:trPr>
        <w:tc>
          <w:tcPr>
            <w:tcW w:w="1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40" w:type="dxa"/>
            <w:vAlign w:val="bottom"/>
          </w:tcPr>
          <w:p>
            <w:pPr>
              <w:ind w:left="180"/>
              <w:spacing w:after="0"/>
              <w:rPr>
                <w:sz w:val="20"/>
                <w:szCs w:val="20"/>
                <w:color w:val="auto"/>
              </w:rPr>
            </w:pPr>
            <w:r>
              <w:rPr>
                <w:rFonts w:ascii="Arial" w:cs="Arial" w:eastAsia="Arial" w:hAnsi="Arial"/>
                <w:sz w:val="13"/>
                <w:szCs w:val="13"/>
                <w:color w:val="auto"/>
              </w:rPr>
              <w:t>Additional paid-in capital</w:t>
            </w:r>
          </w:p>
        </w:tc>
        <w:tc>
          <w:tcPr>
            <w:tcW w:w="120" w:type="dxa"/>
            <w:vAlign w:val="bottom"/>
          </w:tcPr>
          <w:p>
            <w:pPr>
              <w:spacing w:after="0"/>
              <w:rPr>
                <w:sz w:val="15"/>
                <w:szCs w:val="15"/>
                <w:color w:val="auto"/>
              </w:rPr>
            </w:pPr>
          </w:p>
        </w:tc>
        <w:tc>
          <w:tcPr>
            <w:tcW w:w="960" w:type="dxa"/>
            <w:vAlign w:val="bottom"/>
            <w:vMerge w:val="restart"/>
          </w:tcPr>
          <w:p>
            <w:pPr>
              <w:jc w:val="right"/>
              <w:ind w:right="17"/>
              <w:spacing w:after="0"/>
              <w:rPr>
                <w:sz w:val="20"/>
                <w:szCs w:val="20"/>
                <w:color w:val="auto"/>
              </w:rPr>
            </w:pPr>
            <w:r>
              <w:rPr>
                <w:rFonts w:ascii="Arial" w:cs="Arial" w:eastAsia="Arial" w:hAnsi="Arial"/>
                <w:sz w:val="13"/>
                <w:szCs w:val="13"/>
                <w:color w:val="auto"/>
              </w:rPr>
              <w:t>10,592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5,361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ind w:right="16"/>
              <w:spacing w:after="0"/>
              <w:rPr>
                <w:sz w:val="20"/>
                <w:szCs w:val="20"/>
                <w:color w:val="auto"/>
              </w:rPr>
            </w:pPr>
            <w:r>
              <w:rPr>
                <w:rFonts w:ascii="Arial" w:cs="Arial" w:eastAsia="Arial" w:hAnsi="Arial"/>
                <w:sz w:val="13"/>
                <w:szCs w:val="13"/>
                <w:color w:val="auto"/>
              </w:rPr>
              <w:t>4,602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5,441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(15,530)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10,592</w:t>
            </w:r>
          </w:p>
        </w:tc>
        <w:tc>
          <w:tcPr>
            <w:tcW w:w="0" w:type="dxa"/>
            <w:vAlign w:val="bottom"/>
          </w:tcPr>
          <w:p>
            <w:pPr>
              <w:spacing w:after="0"/>
              <w:rPr>
                <w:sz w:val="1"/>
                <w:szCs w:val="1"/>
                <w:color w:val="auto"/>
              </w:rPr>
            </w:pPr>
          </w:p>
        </w:tc>
      </w:tr>
      <w:tr>
        <w:trPr>
          <w:trHeight w:val="89"/>
        </w:trPr>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Accumulated other</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6"/>
              </w:rPr>
              <w:t>comprehensive income (loss)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(2,032)</w:t>
            </w:r>
          </w:p>
        </w:tc>
        <w:tc>
          <w:tcPr>
            <w:tcW w:w="0" w:type="dxa"/>
            <w:vAlign w:val="bottom"/>
          </w:tcPr>
          <w:p>
            <w:pPr>
              <w:spacing w:after="0"/>
              <w:rPr>
                <w:sz w:val="1"/>
                <w:szCs w:val="1"/>
                <w:color w:val="auto"/>
              </w:rPr>
            </w:pPr>
          </w:p>
        </w:tc>
      </w:tr>
      <w:tr>
        <w:trPr>
          <w:trHeight w:val="173"/>
        </w:trPr>
        <w:tc>
          <w:tcPr>
            <w:tcW w:w="1840" w:type="dxa"/>
            <w:vAlign w:val="bottom"/>
          </w:tcPr>
          <w:p>
            <w:pPr>
              <w:ind w:left="180"/>
              <w:spacing w:after="0"/>
              <w:rPr>
                <w:sz w:val="20"/>
                <w:szCs w:val="20"/>
                <w:color w:val="auto"/>
              </w:rPr>
            </w:pPr>
            <w:r>
              <w:rPr>
                <w:rFonts w:ascii="Arial" w:cs="Arial" w:eastAsia="Arial" w:hAnsi="Arial"/>
                <w:sz w:val="13"/>
                <w:szCs w:val="13"/>
                <w:color w:val="auto"/>
              </w:rPr>
              <w:t>Retained earnings (deficit)</w:t>
            </w: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(11,296)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(12,869)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(191)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restart"/>
          </w:tcPr>
          <w:p>
            <w:pPr>
              <w:jc w:val="right"/>
              <w:ind w:right="17"/>
              <w:spacing w:after="0"/>
              <w:rPr>
                <w:sz w:val="20"/>
                <w:szCs w:val="20"/>
                <w:color w:val="auto"/>
              </w:rPr>
            </w:pPr>
            <w:r>
              <w:rPr>
                <w:rFonts w:ascii="Arial" w:cs="Arial" w:eastAsia="Arial" w:hAnsi="Arial"/>
                <w:sz w:val="13"/>
                <w:szCs w:val="13"/>
                <w:color w:val="auto"/>
              </w:rPr>
              <w:t>13,252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(11,296)</w:t>
            </w:r>
          </w:p>
        </w:tc>
        <w:tc>
          <w:tcPr>
            <w:tcW w:w="0" w:type="dxa"/>
            <w:vAlign w:val="bottom"/>
          </w:tcPr>
          <w:p>
            <w:pPr>
              <w:spacing w:after="0"/>
              <w:rPr>
                <w:sz w:val="1"/>
                <w:szCs w:val="1"/>
                <w:color w:val="auto"/>
              </w:rPr>
            </w:pPr>
          </w:p>
        </w:tc>
      </w:tr>
      <w:tr>
        <w:trPr>
          <w:trHeight w:val="91"/>
        </w:trPr>
        <w:tc>
          <w:tcPr>
            <w:tcW w:w="18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840" w:type="dxa"/>
            <w:vAlign w:val="bottom"/>
            <w:shd w:val="clear" w:color="auto" w:fill="CCEEFF"/>
          </w:tcPr>
          <w:p>
            <w:pPr>
              <w:ind w:left="500"/>
              <w:spacing w:after="0" w:line="134" w:lineRule="exact"/>
              <w:rPr>
                <w:sz w:val="20"/>
                <w:szCs w:val="20"/>
                <w:color w:val="auto"/>
              </w:rPr>
            </w:pPr>
            <w:r>
              <w:rPr>
                <w:rFonts w:ascii="Arial" w:cs="Arial" w:eastAsia="Arial" w:hAnsi="Arial"/>
                <w:sz w:val="13"/>
                <w:szCs w:val="13"/>
                <w:color w:val="auto"/>
              </w:rPr>
              <w:t>Total stockholders’</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equity (deficit)</w:t>
            </w: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(2,731)</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(9,660)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4,406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5,262</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(2,731)</w:t>
            </w:r>
          </w:p>
        </w:tc>
        <w:tc>
          <w:tcPr>
            <w:tcW w:w="0" w:type="dxa"/>
            <w:vAlign w:val="bottom"/>
          </w:tcPr>
          <w:p>
            <w:pPr>
              <w:spacing w:after="0"/>
              <w:rPr>
                <w:sz w:val="1"/>
                <w:szCs w:val="1"/>
                <w:color w:val="auto"/>
              </w:rPr>
            </w:pPr>
          </w:p>
        </w:tc>
      </w:tr>
      <w:tr>
        <w:trPr>
          <w:trHeight w:val="124"/>
        </w:trPr>
        <w:tc>
          <w:tcPr>
            <w:tcW w:w="1840" w:type="dxa"/>
            <w:vAlign w:val="bottom"/>
          </w:tcPr>
          <w:p>
            <w:pPr>
              <w:ind w:left="720"/>
              <w:spacing w:after="0" w:line="124" w:lineRule="exact"/>
              <w:rPr>
                <w:sz w:val="20"/>
                <w:szCs w:val="20"/>
                <w:color w:val="auto"/>
              </w:rPr>
            </w:pPr>
            <w:r>
              <w:rPr>
                <w:rFonts w:ascii="Arial" w:cs="Arial" w:eastAsia="Arial" w:hAnsi="Arial"/>
                <w:sz w:val="13"/>
                <w:szCs w:val="13"/>
                <w:b w:val="1"/>
                <w:bCs w:val="1"/>
                <w:color w:val="auto"/>
              </w:rPr>
              <w:t>Total liabilities</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720"/>
              <w:spacing w:after="0" w:line="135" w:lineRule="exact"/>
              <w:rPr>
                <w:sz w:val="20"/>
                <w:szCs w:val="20"/>
                <w:color w:val="auto"/>
              </w:rPr>
            </w:pPr>
            <w:r>
              <w:rPr>
                <w:rFonts w:ascii="Arial" w:cs="Arial" w:eastAsia="Arial" w:hAnsi="Arial"/>
                <w:sz w:val="13"/>
                <w:szCs w:val="13"/>
                <w:b w:val="1"/>
                <w:bCs w:val="1"/>
                <w:color w:val="auto"/>
                <w:w w:val="98"/>
              </w:rPr>
              <w:t>and stockholders’</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17"/>
              <w:spacing w:after="0"/>
              <w:rPr>
                <w:sz w:val="20"/>
                <w:szCs w:val="20"/>
                <w:color w:val="auto"/>
              </w:rPr>
            </w:pPr>
            <w:r>
              <w:rPr>
                <w:rFonts w:ascii="Arial" w:cs="Arial" w:eastAsia="Arial" w:hAnsi="Arial"/>
                <w:sz w:val="13"/>
                <w:szCs w:val="13"/>
                <w:color w:val="auto"/>
              </w:rPr>
              <w:t>2,511</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25,612</w:t>
            </w:r>
          </w:p>
        </w:tc>
        <w:tc>
          <w:tcPr>
            <w:tcW w:w="10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ind w:right="16"/>
              <w:spacing w:after="0"/>
              <w:rPr>
                <w:sz w:val="20"/>
                <w:szCs w:val="20"/>
                <w:color w:val="auto"/>
              </w:rPr>
            </w:pPr>
            <w:r>
              <w:rPr>
                <w:rFonts w:ascii="Arial" w:cs="Arial" w:eastAsia="Arial" w:hAnsi="Arial"/>
                <w:sz w:val="13"/>
                <w:szCs w:val="13"/>
                <w:color w:val="auto"/>
              </w:rPr>
              <w:t>5,462</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16,719</w:t>
            </w:r>
          </w:p>
        </w:tc>
        <w:tc>
          <w:tcPr>
            <w:tcW w:w="12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917</w:t>
            </w:r>
          </w:p>
        </w:tc>
        <w:tc>
          <w:tcPr>
            <w:tcW w:w="12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(8,943)</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42,278</w:t>
            </w:r>
          </w:p>
        </w:tc>
        <w:tc>
          <w:tcPr>
            <w:tcW w:w="0" w:type="dxa"/>
            <w:vAlign w:val="bottom"/>
          </w:tcPr>
          <w:p>
            <w:pPr>
              <w:spacing w:after="0"/>
              <w:rPr>
                <w:sz w:val="1"/>
                <w:szCs w:val="1"/>
                <w:color w:val="auto"/>
              </w:rPr>
            </w:pPr>
          </w:p>
        </w:tc>
      </w:tr>
      <w:tr>
        <w:trPr>
          <w:trHeight w:val="171"/>
        </w:trPr>
        <w:tc>
          <w:tcPr>
            <w:tcW w:w="1840" w:type="dxa"/>
            <w:vAlign w:val="bottom"/>
          </w:tcPr>
          <w:p>
            <w:pPr>
              <w:ind w:left="720"/>
              <w:spacing w:after="0"/>
              <w:rPr>
                <w:sz w:val="20"/>
                <w:szCs w:val="20"/>
                <w:color w:val="auto"/>
              </w:rPr>
            </w:pPr>
            <w:r>
              <w:rPr>
                <w:rFonts w:ascii="Arial" w:cs="Arial" w:eastAsia="Arial" w:hAnsi="Arial"/>
                <w:sz w:val="13"/>
                <w:szCs w:val="13"/>
                <w:b w:val="1"/>
                <w:bCs w:val="1"/>
                <w:color w:val="auto"/>
              </w:rPr>
              <w:t>equity (deficit)</w:t>
            </w:r>
          </w:p>
        </w:tc>
        <w:tc>
          <w:tcPr>
            <w:tcW w:w="1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5" w:right="1440" w:bottom="919"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219"/>
          </w:cols>
          <w:pgMar w:left="240" w:top="125" w:right="1440" w:bottom="919"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ind w:right="4860"/>
        <w:spacing w:after="0" w:line="261" w:lineRule="auto"/>
        <w:rPr>
          <w:sz w:val="20"/>
          <w:szCs w:val="20"/>
          <w:color w:val="auto"/>
        </w:rPr>
      </w:pPr>
      <w:r>
        <w:rPr>
          <w:rFonts w:ascii="Arial" w:cs="Arial" w:eastAsia="Arial" w:hAnsi="Arial"/>
          <w:sz w:val="18"/>
          <w:szCs w:val="18"/>
          <w:b w:val="1"/>
          <w:bCs w:val="1"/>
          <w:color w:val="auto"/>
        </w:rPr>
        <w:t xml:space="preserve">CONDENSED CONSOLIDATING STATEMENT OF CASH FLOWS </w:t>
      </w:r>
      <w:r>
        <w:rPr>
          <w:rFonts w:ascii="Arial" w:cs="Arial" w:eastAsia="Arial" w:hAnsi="Arial"/>
          <w:sz w:val="18"/>
          <w:szCs w:val="18"/>
          <w:color w:val="auto"/>
        </w:rPr>
        <w:t>(unaudited)(In millions)</w:t>
      </w:r>
    </w:p>
    <w:p>
      <w:pPr>
        <w:spacing w:after="0" w:line="20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Three Months Ended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34925</wp:posOffset>
            </wp:positionV>
            <wp:extent cx="43992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2" w:lineRule="exact"/>
        <w:rPr>
          <w:sz w:val="20"/>
          <w:szCs w:val="20"/>
          <w:color w:val="auto"/>
        </w:rPr>
      </w:pPr>
    </w:p>
    <w:tbl>
      <w:tblPr>
        <w:tblLayout w:type="fixed"/>
        <w:tblInd w:w="1180" w:type="dxa"/>
        <w:tblCellMar>
          <w:top w:w="0" w:type="dxa"/>
          <w:left w:w="0" w:type="dxa"/>
          <w:bottom w:w="0" w:type="dxa"/>
          <w:right w:w="0" w:type="dxa"/>
        </w:tblCellMar>
      </w:tblPr>
      <w:tr>
        <w:trPr>
          <w:trHeight w:val="172"/>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color w:val="auto"/>
                <w:w w:val="94"/>
              </w:rPr>
              <w:t>American</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US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60"/>
              <w:spacing w:after="0" w:line="162" w:lineRule="exact"/>
              <w:rPr>
                <w:sz w:val="20"/>
                <w:szCs w:val="20"/>
                <w:color w:val="auto"/>
              </w:rPr>
            </w:pPr>
            <w:r>
              <w:rPr>
                <w:rFonts w:ascii="Arial" w:cs="Arial" w:eastAsia="Arial" w:hAnsi="Arial"/>
                <w:sz w:val="15"/>
                <w:szCs w:val="15"/>
                <w:color w:val="auto"/>
              </w:rPr>
              <w:t>Airlines</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8"/>
              </w:rPr>
              <w:t>Airways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5"/>
              </w:rPr>
              <w:t>Group</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1"/>
              </w:rPr>
              <w:t>Group</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0"/>
              <w:spacing w:after="0" w:line="162" w:lineRule="exact"/>
              <w:rPr>
                <w:sz w:val="20"/>
                <w:szCs w:val="20"/>
                <w:color w:val="auto"/>
              </w:rPr>
            </w:pPr>
            <w:r>
              <w:rPr>
                <w:rFonts w:ascii="Arial" w:cs="Arial" w:eastAsia="Arial" w:hAnsi="Arial"/>
                <w:sz w:val="15"/>
                <w:szCs w:val="15"/>
                <w:color w:val="auto"/>
                <w:w w:val="94"/>
              </w:rPr>
              <w:t>American</w:t>
            </w:r>
          </w:p>
        </w:tc>
      </w:tr>
      <w:tr>
        <w:trPr>
          <w:trHeight w:val="162"/>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9"/>
              </w:rPr>
              <w:t>(Parent</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89"/>
              </w:rPr>
              <w:t>(Parent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2"/>
              </w:rPr>
              <w:t>Non-</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60"/>
              <w:spacing w:after="0" w:line="162" w:lineRule="exact"/>
              <w:rPr>
                <w:sz w:val="20"/>
                <w:szCs w:val="20"/>
                <w:color w:val="auto"/>
              </w:rPr>
            </w:pPr>
            <w:r>
              <w:rPr>
                <w:rFonts w:ascii="Arial" w:cs="Arial" w:eastAsia="Arial" w:hAnsi="Arial"/>
                <w:sz w:val="15"/>
                <w:szCs w:val="15"/>
                <w:color w:val="auto"/>
              </w:rPr>
              <w:t>Airlines</w:t>
            </w:r>
          </w:p>
        </w:tc>
      </w:tr>
      <w:tr>
        <w:trPr>
          <w:trHeight w:val="162"/>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3"/>
              </w:rPr>
              <w:t>Company</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120"/>
              <w:spacing w:after="0" w:line="162" w:lineRule="exact"/>
              <w:rPr>
                <w:sz w:val="20"/>
                <w:szCs w:val="20"/>
                <w:color w:val="auto"/>
              </w:rPr>
            </w:pPr>
            <w:r>
              <w:rPr>
                <w:rFonts w:ascii="Arial" w:cs="Arial" w:eastAsia="Arial" w:hAnsi="Arial"/>
                <w:sz w:val="15"/>
                <w:szCs w:val="15"/>
                <w:color w:val="auto"/>
                <w:w w:val="90"/>
              </w:rPr>
              <w:t>Company</w:t>
            </w:r>
          </w:p>
        </w:tc>
        <w:tc>
          <w:tcPr>
            <w:tcW w:w="100" w:type="dxa"/>
            <w:vAlign w:val="bottom"/>
          </w:tcPr>
          <w:p>
            <w:pPr>
              <w:spacing w:after="0"/>
              <w:rPr>
                <w:sz w:val="14"/>
                <w:szCs w:val="14"/>
                <w:color w:val="auto"/>
              </w:rPr>
            </w:pPr>
          </w:p>
        </w:tc>
        <w:tc>
          <w:tcPr>
            <w:tcW w:w="76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86"/>
              </w:rPr>
              <w:t>US</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1"/>
              </w:rPr>
              <w:t>Guarantor</w:t>
            </w:r>
          </w:p>
        </w:tc>
        <w:tc>
          <w:tcPr>
            <w:tcW w:w="1320" w:type="dxa"/>
            <w:vAlign w:val="bottom"/>
            <w:gridSpan w:val="3"/>
          </w:tcPr>
          <w:p>
            <w:pPr>
              <w:ind w:left="80"/>
              <w:spacing w:after="0" w:line="162" w:lineRule="exact"/>
              <w:rPr>
                <w:sz w:val="20"/>
                <w:szCs w:val="20"/>
                <w:color w:val="auto"/>
              </w:rPr>
            </w:pPr>
            <w:r>
              <w:rPr>
                <w:rFonts w:ascii="Arial" w:cs="Arial" w:eastAsia="Arial" w:hAnsi="Arial"/>
                <w:sz w:val="15"/>
                <w:szCs w:val="15"/>
                <w:color w:val="auto"/>
              </w:rPr>
              <w:t>Eliminations and</w:t>
            </w:r>
          </w:p>
        </w:tc>
        <w:tc>
          <w:tcPr>
            <w:tcW w:w="120" w:type="dxa"/>
            <w:vAlign w:val="bottom"/>
          </w:tcPr>
          <w:p>
            <w:pPr>
              <w:spacing w:after="0"/>
              <w:rPr>
                <w:sz w:val="14"/>
                <w:szCs w:val="14"/>
                <w:color w:val="auto"/>
              </w:rPr>
            </w:pPr>
          </w:p>
        </w:tc>
        <w:tc>
          <w:tcPr>
            <w:tcW w:w="840" w:type="dxa"/>
            <w:vAlign w:val="bottom"/>
          </w:tcPr>
          <w:p>
            <w:pPr>
              <w:jc w:val="center"/>
              <w:ind w:right="60"/>
              <w:spacing w:after="0" w:line="162" w:lineRule="exact"/>
              <w:rPr>
                <w:sz w:val="20"/>
                <w:szCs w:val="20"/>
                <w:color w:val="auto"/>
              </w:rPr>
            </w:pPr>
            <w:r>
              <w:rPr>
                <w:rFonts w:ascii="Arial" w:cs="Arial" w:eastAsia="Arial" w:hAnsi="Arial"/>
                <w:sz w:val="15"/>
                <w:szCs w:val="15"/>
                <w:color w:val="auto"/>
                <w:w w:val="94"/>
              </w:rPr>
              <w:t>Group Inc.</w:t>
            </w:r>
          </w:p>
        </w:tc>
      </w:tr>
      <w:tr>
        <w:trPr>
          <w:trHeight w:val="198"/>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color w:val="auto"/>
              </w:rPr>
              <w:t>Only)</w:t>
            </w:r>
          </w:p>
        </w:tc>
        <w:tc>
          <w:tcPr>
            <w:tcW w:w="860" w:type="dxa"/>
            <w:vAlign w:val="bottom"/>
            <w:gridSpan w:val="3"/>
          </w:tcPr>
          <w:p>
            <w:pPr>
              <w:ind w:left="80"/>
              <w:spacing w:after="0"/>
              <w:rPr>
                <w:sz w:val="20"/>
                <w:szCs w:val="20"/>
                <w:color w:val="auto"/>
              </w:rPr>
            </w:pPr>
            <w:r>
              <w:rPr>
                <w:rFonts w:ascii="Arial" w:cs="Arial" w:eastAsia="Arial" w:hAnsi="Arial"/>
                <w:sz w:val="15"/>
                <w:szCs w:val="15"/>
                <w:color w:val="auto"/>
              </w:rPr>
              <w:t>American</w:t>
            </w: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5"/>
                <w:szCs w:val="15"/>
                <w:color w:val="auto"/>
              </w:rPr>
              <w:t>Only)</w:t>
            </w:r>
          </w:p>
        </w:tc>
        <w:tc>
          <w:tcPr>
            <w:tcW w:w="10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Airways</w:t>
            </w:r>
          </w:p>
        </w:tc>
        <w:tc>
          <w:tcPr>
            <w:tcW w:w="1020" w:type="dxa"/>
            <w:vAlign w:val="bottom"/>
            <w:gridSpan w:val="3"/>
          </w:tcPr>
          <w:p>
            <w:pPr>
              <w:jc w:val="center"/>
              <w:ind w:right="120"/>
              <w:spacing w:after="0"/>
              <w:rPr>
                <w:sz w:val="20"/>
                <w:szCs w:val="20"/>
                <w:color w:val="auto"/>
              </w:rPr>
            </w:pPr>
            <w:r>
              <w:rPr>
                <w:rFonts w:ascii="Arial" w:cs="Arial" w:eastAsia="Arial" w:hAnsi="Arial"/>
                <w:sz w:val="15"/>
                <w:szCs w:val="15"/>
                <w:color w:val="auto"/>
                <w:w w:val="90"/>
              </w:rPr>
              <w:t>Subsidiaries</w:t>
            </w: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Reclassifications</w:t>
            </w:r>
          </w:p>
        </w:tc>
        <w:tc>
          <w:tcPr>
            <w:tcW w:w="960" w:type="dxa"/>
            <w:vAlign w:val="bottom"/>
            <w:gridSpan w:val="2"/>
          </w:tcPr>
          <w:p>
            <w:pPr>
              <w:jc w:val="center"/>
              <w:spacing w:after="0"/>
              <w:rPr>
                <w:sz w:val="20"/>
                <w:szCs w:val="20"/>
                <w:color w:val="auto"/>
              </w:rPr>
            </w:pPr>
            <w:r>
              <w:rPr>
                <w:rFonts w:ascii="Arial" w:cs="Arial" w:eastAsia="Arial" w:hAnsi="Arial"/>
                <w:sz w:val="15"/>
                <w:szCs w:val="15"/>
                <w:color w:val="auto"/>
                <w:w w:val="93"/>
              </w:rPr>
              <w:t>Consolidated</w:t>
            </w:r>
          </w:p>
        </w:tc>
      </w:tr>
      <w:tr>
        <w:trPr>
          <w:trHeight w:val="200"/>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w:t>
            </w: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23"/>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r>
      <w:tr>
        <w:trPr>
          <w:trHeight w:val="216"/>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activities: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2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Capital expenditures and</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2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aircraft purchase deposits</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r>
      <w:tr>
        <w:trPr>
          <w:trHeight w:val="220"/>
        </w:trPr>
        <w:tc>
          <w:tcPr>
            <w:tcW w:w="2160" w:type="dxa"/>
            <w:vAlign w:val="bottom"/>
          </w:tcPr>
          <w:p>
            <w:pPr>
              <w:ind w:left="260"/>
              <w:spacing w:after="0"/>
              <w:rPr>
                <w:sz w:val="20"/>
                <w:szCs w:val="20"/>
                <w:color w:val="auto"/>
              </w:rPr>
            </w:pPr>
            <w:r>
              <w:rPr>
                <w:rFonts w:ascii="Arial" w:cs="Arial" w:eastAsia="Arial" w:hAnsi="Arial"/>
                <w:sz w:val="16"/>
                <w:szCs w:val="16"/>
                <w:color w:val="auto"/>
              </w:rPr>
              <w:t>Decrease (increase) in</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2160" w:type="dxa"/>
            <w:vAlign w:val="bottom"/>
          </w:tcPr>
          <w:p>
            <w:pPr>
              <w:ind w:left="260"/>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33"/>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216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6"/>
              </w:rPr>
              <w:t>Decrease in restricted cash</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3"/>
        </w:trPr>
        <w:tc>
          <w:tcPr>
            <w:tcW w:w="2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and short-term</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2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investments</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20"/>
        </w:trPr>
        <w:tc>
          <w:tcPr>
            <w:tcW w:w="2160" w:type="dxa"/>
            <w:vAlign w:val="bottom"/>
          </w:tcPr>
          <w:p>
            <w:pPr>
              <w:ind w:left="260"/>
              <w:spacing w:after="0"/>
              <w:rPr>
                <w:sz w:val="20"/>
                <w:szCs w:val="20"/>
                <w:color w:val="auto"/>
              </w:rPr>
            </w:pPr>
            <w:r>
              <w:rPr>
                <w:rFonts w:ascii="Arial" w:cs="Arial" w:eastAsia="Arial" w:hAnsi="Arial"/>
                <w:sz w:val="16"/>
                <w:szCs w:val="16"/>
                <w:color w:val="auto"/>
              </w:rPr>
              <w:t>Net proceeds from slot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2160" w:type="dxa"/>
            <w:vAlign w:val="bottom"/>
          </w:tcPr>
          <w:p>
            <w:pPr>
              <w:ind w:left="260"/>
              <w:spacing w:after="0"/>
              <w:rPr>
                <w:sz w:val="20"/>
                <w:szCs w:val="20"/>
                <w:color w:val="auto"/>
              </w:rPr>
            </w:pPr>
            <w:r>
              <w:rPr>
                <w:rFonts w:ascii="Arial" w:cs="Arial" w:eastAsia="Arial" w:hAnsi="Arial"/>
                <w:sz w:val="16"/>
                <w:szCs w:val="16"/>
                <w:color w:val="auto"/>
              </w:rPr>
              <w:t>transaction</w:t>
            </w: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33"/>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2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Proceeds from sale of</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9"/>
        </w:trPr>
        <w:tc>
          <w:tcPr>
            <w:tcW w:w="2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property and equipment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0"/>
        </w:trPr>
        <w:tc>
          <w:tcPr>
            <w:tcW w:w="2160" w:type="dxa"/>
            <w:vAlign w:val="bottom"/>
          </w:tcPr>
          <w:p>
            <w:pPr>
              <w:ind w:left="260"/>
              <w:spacing w:after="0"/>
              <w:rPr>
                <w:sz w:val="20"/>
                <w:szCs w:val="20"/>
                <w:color w:val="auto"/>
              </w:rPr>
            </w:pPr>
            <w:r>
              <w:rPr>
                <w:rFonts w:ascii="Arial" w:cs="Arial" w:eastAsia="Arial" w:hAnsi="Arial"/>
                <w:sz w:val="16"/>
                <w:szCs w:val="16"/>
                <w:color w:val="auto"/>
              </w:rPr>
              <w:t>Net cash used in investing</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06"/>
        </w:trPr>
        <w:tc>
          <w:tcPr>
            <w:tcW w:w="2160" w:type="dxa"/>
            <w:vAlign w:val="bottom"/>
          </w:tcPr>
          <w:p>
            <w:pPr>
              <w:ind w:left="260"/>
              <w:spacing w:after="0"/>
              <w:rPr>
                <w:sz w:val="20"/>
                <w:szCs w:val="20"/>
                <w:color w:val="auto"/>
              </w:rPr>
            </w:pPr>
            <w:r>
              <w:rPr>
                <w:rFonts w:ascii="Arial" w:cs="Arial" w:eastAsia="Arial" w:hAnsi="Arial"/>
                <w:sz w:val="16"/>
                <w:szCs w:val="16"/>
                <w:color w:val="auto"/>
              </w:rPr>
              <w:t>activities</w:t>
            </w: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(943)</w:t>
            </w:r>
          </w:p>
        </w:tc>
      </w:tr>
      <w:tr>
        <w:trPr>
          <w:trHeight w:val="33"/>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3"/>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activities:</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20"/>
        </w:trPr>
        <w:tc>
          <w:tcPr>
            <w:tcW w:w="2160" w:type="dxa"/>
            <w:vAlign w:val="bottom"/>
          </w:tcPr>
          <w:p>
            <w:pPr>
              <w:ind w:left="260"/>
              <w:spacing w:after="0"/>
              <w:rPr>
                <w:sz w:val="20"/>
                <w:szCs w:val="20"/>
                <w:color w:val="auto"/>
              </w:rPr>
            </w:pPr>
            <w:r>
              <w:rPr>
                <w:rFonts w:ascii="Arial" w:cs="Arial" w:eastAsia="Arial" w:hAnsi="Arial"/>
                <w:sz w:val="16"/>
                <w:szCs w:val="16"/>
                <w:color w:val="auto"/>
              </w:rPr>
              <w:t>Payments on long-term</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2160" w:type="dxa"/>
            <w:vAlign w:val="bottom"/>
          </w:tcPr>
          <w:p>
            <w:pPr>
              <w:ind w:left="260"/>
              <w:spacing w:after="0"/>
              <w:rPr>
                <w:sz w:val="20"/>
                <w:szCs w:val="20"/>
                <w:color w:val="auto"/>
              </w:rPr>
            </w:pPr>
            <w:r>
              <w:rPr>
                <w:rFonts w:ascii="Arial" w:cs="Arial" w:eastAsia="Arial" w:hAnsi="Arial"/>
                <w:sz w:val="16"/>
                <w:szCs w:val="16"/>
                <w:color w:val="auto"/>
              </w:rPr>
              <w:t>debt and capital leases</w:t>
            </w: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(501)</w:t>
            </w:r>
          </w:p>
        </w:tc>
      </w:tr>
      <w:tr>
        <w:trPr>
          <w:trHeight w:val="33"/>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216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9"/>
              </w:rPr>
              <w:t>Proceeds from issuance of</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2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long-term debt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20"/>
        </w:trPr>
        <w:tc>
          <w:tcPr>
            <w:tcW w:w="2160" w:type="dxa"/>
            <w:vAlign w:val="bottom"/>
          </w:tcPr>
          <w:p>
            <w:pPr>
              <w:ind w:left="260"/>
              <w:spacing w:after="0"/>
              <w:rPr>
                <w:sz w:val="20"/>
                <w:szCs w:val="20"/>
                <w:color w:val="auto"/>
              </w:rPr>
            </w:pPr>
            <w:r>
              <w:rPr>
                <w:rFonts w:ascii="Arial" w:cs="Arial" w:eastAsia="Arial" w:hAnsi="Arial"/>
                <w:sz w:val="16"/>
                <w:szCs w:val="16"/>
                <w:color w:val="auto"/>
              </w:rPr>
              <w:t>Payments of employee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3"/>
        </w:trPr>
        <w:tc>
          <w:tcPr>
            <w:tcW w:w="2160" w:type="dxa"/>
            <w:vAlign w:val="bottom"/>
          </w:tcPr>
          <w:p>
            <w:pPr>
              <w:ind w:left="260"/>
              <w:spacing w:after="0"/>
              <w:rPr>
                <w:sz w:val="20"/>
                <w:szCs w:val="20"/>
                <w:color w:val="auto"/>
              </w:rPr>
            </w:pPr>
            <w:r>
              <w:rPr>
                <w:rFonts w:ascii="Arial" w:cs="Arial" w:eastAsia="Arial" w:hAnsi="Arial"/>
                <w:sz w:val="16"/>
                <w:szCs w:val="16"/>
                <w:color w:val="auto"/>
              </w:rPr>
              <w:t>withholding taxes on net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2160" w:type="dxa"/>
            <w:vAlign w:val="bottom"/>
          </w:tcPr>
          <w:p>
            <w:pPr>
              <w:ind w:left="260"/>
              <w:spacing w:after="0"/>
              <w:rPr>
                <w:sz w:val="20"/>
                <w:szCs w:val="20"/>
                <w:color w:val="auto"/>
              </w:rPr>
            </w:pPr>
            <w:r>
              <w:rPr>
                <w:rFonts w:ascii="Arial" w:cs="Arial" w:eastAsia="Arial" w:hAnsi="Arial"/>
                <w:sz w:val="16"/>
                <w:szCs w:val="16"/>
                <w:color w:val="auto"/>
              </w:rPr>
              <w:t>share issuances</w:t>
            </w:r>
          </w:p>
        </w:tc>
        <w:tc>
          <w:tcPr>
            <w:tcW w:w="12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33"/>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2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Funds transferred from</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2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 affiliates</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160" w:type="dxa"/>
            <w:vAlign w:val="bottom"/>
          </w:tcPr>
          <w:p>
            <w:pPr>
              <w:ind w:left="260"/>
              <w:spacing w:after="0"/>
              <w:rPr>
                <w:sz w:val="20"/>
                <w:szCs w:val="20"/>
                <w:color w:val="auto"/>
              </w:rPr>
            </w:pPr>
            <w:r>
              <w:rPr>
                <w:rFonts w:ascii="Arial" w:cs="Arial" w:eastAsia="Arial" w:hAnsi="Arial"/>
                <w:sz w:val="16"/>
                <w:szCs w:val="16"/>
                <w:color w:val="auto"/>
              </w:rPr>
              <w:t>Exercise of stock options</w:t>
            </w:r>
          </w:p>
        </w:tc>
        <w:tc>
          <w:tcPr>
            <w:tcW w:w="12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Deferred financing costs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20"/>
        </w:trPr>
        <w:tc>
          <w:tcPr>
            <w:tcW w:w="2160" w:type="dxa"/>
            <w:vAlign w:val="bottom"/>
          </w:tcPr>
          <w:p>
            <w:pPr>
              <w:ind w:left="260"/>
              <w:spacing w:after="0"/>
              <w:rPr>
                <w:sz w:val="20"/>
                <w:szCs w:val="20"/>
                <w:color w:val="auto"/>
              </w:rPr>
            </w:pPr>
            <w:r>
              <w:rPr>
                <w:rFonts w:ascii="Arial" w:cs="Arial" w:eastAsia="Arial" w:hAnsi="Arial"/>
                <w:sz w:val="16"/>
                <w:szCs w:val="16"/>
                <w:color w:val="auto"/>
              </w:rPr>
              <w:t>Sale-leaseback</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2160" w:type="dxa"/>
            <w:vAlign w:val="bottom"/>
          </w:tcPr>
          <w:p>
            <w:pPr>
              <w:ind w:left="260"/>
              <w:spacing w:after="0"/>
              <w:rPr>
                <w:sz w:val="20"/>
                <w:szCs w:val="20"/>
                <w:color w:val="auto"/>
              </w:rPr>
            </w:pPr>
            <w:r>
              <w:rPr>
                <w:rFonts w:ascii="Arial" w:cs="Arial" w:eastAsia="Arial" w:hAnsi="Arial"/>
                <w:sz w:val="16"/>
                <w:szCs w:val="16"/>
                <w:color w:val="auto"/>
              </w:rPr>
              <w:t>transactions</w:t>
            </w: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33"/>
        </w:trPr>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2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provided by</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(used in) financing</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9"/>
        </w:trPr>
        <w:tc>
          <w:tcPr>
            <w:tcW w:w="2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activities</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00"/>
        </w:trPr>
        <w:tc>
          <w:tcPr>
            <w:tcW w:w="2160" w:type="dxa"/>
            <w:vAlign w:val="bottom"/>
          </w:tcPr>
          <w:p>
            <w:pPr>
              <w:ind w:left="20"/>
              <w:spacing w:after="0"/>
              <w:rPr>
                <w:sz w:val="20"/>
                <w:szCs w:val="20"/>
                <w:color w:val="auto"/>
              </w:rPr>
            </w:pPr>
            <w:r>
              <w:rPr>
                <w:rFonts w:ascii="Arial" w:cs="Arial" w:eastAsia="Arial" w:hAnsi="Arial"/>
                <w:sz w:val="16"/>
                <w:szCs w:val="16"/>
                <w:color w:val="auto"/>
              </w:rPr>
              <w:t>Net increase (decrease) in</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cash</w:t>
            </w: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33"/>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at beginning of period</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r>
      <w:tr>
        <w:trPr>
          <w:trHeight w:val="244"/>
        </w:trPr>
        <w:tc>
          <w:tcPr>
            <w:tcW w:w="2160" w:type="dxa"/>
            <w:vAlign w:val="bottom"/>
          </w:tcPr>
          <w:p>
            <w:pPr>
              <w:ind w:left="20"/>
              <w:spacing w:after="0"/>
              <w:rPr>
                <w:sz w:val="20"/>
                <w:szCs w:val="20"/>
                <w:color w:val="auto"/>
              </w:rPr>
            </w:pPr>
            <w:r>
              <w:rPr>
                <w:rFonts w:ascii="Arial" w:cs="Arial" w:eastAsia="Arial" w:hAnsi="Arial"/>
                <w:sz w:val="16"/>
                <w:szCs w:val="16"/>
                <w:color w:val="auto"/>
              </w:rPr>
              <w:t>Cash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1,259</w:t>
            </w:r>
          </w:p>
        </w:tc>
      </w:tr>
      <w:tr>
        <w:trPr>
          <w:trHeight w:val="20"/>
        </w:trPr>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60"/>
          </w:cols>
          <w:pgMar w:left="240" w:top="125" w:right="13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Conversions of shares of AAG Series A Preferred Stock into shares of AAG Common Stock subsequent to the reporting date consisted of the remaining optional and mandatory conversions through April 8, 2014. These conversions are presented in the table below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ind w:left="60"/>
              <w:spacing w:after="0"/>
              <w:rPr>
                <w:sz w:val="20"/>
                <w:szCs w:val="20"/>
                <w:color w:val="auto"/>
              </w:rPr>
            </w:pPr>
            <w:r>
              <w:rPr>
                <w:rFonts w:ascii="Arial" w:cs="Arial" w:eastAsia="Arial" w:hAnsi="Arial"/>
                <w:sz w:val="18"/>
                <w:szCs w:val="18"/>
                <w:color w:val="auto"/>
                <w:w w:val="98"/>
              </w:rPr>
              <w:t>Increase (decrease) in AAG</w:t>
            </w:r>
          </w:p>
        </w:tc>
        <w:tc>
          <w:tcPr>
            <w:tcW w:w="2160" w:type="dxa"/>
            <w:vAlign w:val="bottom"/>
          </w:tcPr>
          <w:p>
            <w:pPr>
              <w:ind w:left="80"/>
              <w:spacing w:after="0"/>
              <w:rPr>
                <w:sz w:val="20"/>
                <w:szCs w:val="20"/>
                <w:color w:val="auto"/>
              </w:rPr>
            </w:pPr>
            <w:r>
              <w:rPr>
                <w:rFonts w:ascii="Arial" w:cs="Arial" w:eastAsia="Arial" w:hAnsi="Arial"/>
                <w:sz w:val="18"/>
                <w:szCs w:val="18"/>
                <w:color w:val="auto"/>
                <w:w w:val="92"/>
              </w:rPr>
              <w:t>Increase (decrease) in AAG</w:t>
            </w:r>
          </w:p>
        </w:tc>
      </w:tr>
      <w:tr>
        <w:trPr>
          <w:trHeight w:val="23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Conversion date</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Conversion type</w:t>
            </w:r>
          </w:p>
        </w:tc>
        <w:tc>
          <w:tcPr>
            <w:tcW w:w="2300" w:type="dxa"/>
            <w:vAlign w:val="bottom"/>
            <w:gridSpan w:val="2"/>
          </w:tcPr>
          <w:p>
            <w:pPr>
              <w:ind w:left="480"/>
              <w:spacing w:after="0"/>
              <w:rPr>
                <w:sz w:val="20"/>
                <w:szCs w:val="20"/>
                <w:color w:val="auto"/>
              </w:rPr>
            </w:pPr>
            <w:r>
              <w:rPr>
                <w:rFonts w:ascii="Arial" w:cs="Arial" w:eastAsia="Arial" w:hAnsi="Arial"/>
                <w:sz w:val="18"/>
                <w:szCs w:val="18"/>
                <w:color w:val="auto"/>
              </w:rPr>
              <w:t>Shares converted</w:t>
            </w:r>
          </w:p>
        </w:tc>
        <w:tc>
          <w:tcPr>
            <w:tcW w:w="2260" w:type="dxa"/>
            <w:vAlign w:val="bottom"/>
            <w:gridSpan w:val="2"/>
          </w:tcPr>
          <w:p>
            <w:pPr>
              <w:ind w:left="60"/>
              <w:spacing w:after="0"/>
              <w:rPr>
                <w:sz w:val="20"/>
                <w:szCs w:val="20"/>
                <w:color w:val="auto"/>
              </w:rPr>
            </w:pPr>
            <w:r>
              <w:rPr>
                <w:rFonts w:ascii="Arial" w:cs="Arial" w:eastAsia="Arial" w:hAnsi="Arial"/>
                <w:sz w:val="18"/>
                <w:szCs w:val="18"/>
                <w:color w:val="auto"/>
                <w:w w:val="94"/>
              </w:rPr>
              <w:t>preferred shares outstanding</w:t>
            </w:r>
          </w:p>
        </w:tc>
        <w:tc>
          <w:tcPr>
            <w:tcW w:w="2160" w:type="dxa"/>
            <w:vAlign w:val="bottom"/>
          </w:tcPr>
          <w:p>
            <w:pPr>
              <w:ind w:left="80"/>
              <w:spacing w:after="0"/>
              <w:rPr>
                <w:sz w:val="20"/>
                <w:szCs w:val="20"/>
                <w:color w:val="auto"/>
              </w:rPr>
            </w:pPr>
            <w:r>
              <w:rPr>
                <w:rFonts w:ascii="Arial" w:cs="Arial" w:eastAsia="Arial" w:hAnsi="Arial"/>
                <w:sz w:val="18"/>
                <w:szCs w:val="18"/>
                <w:color w:val="auto"/>
                <w:w w:val="91"/>
              </w:rPr>
              <w:t>common shares outstanding</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April 1, 2014</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Optional</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23</w:t>
            </w:r>
          </w:p>
        </w:tc>
      </w:tr>
      <w:tr>
        <w:trPr>
          <w:trHeight w:val="243"/>
        </w:trPr>
        <w:tc>
          <w:tcPr>
            <w:tcW w:w="2880" w:type="dxa"/>
            <w:vAlign w:val="bottom"/>
            <w:gridSpan w:val="2"/>
          </w:tcPr>
          <w:p>
            <w:pPr>
              <w:ind w:left="900"/>
              <w:spacing w:after="0"/>
              <w:rPr>
                <w:sz w:val="20"/>
                <w:szCs w:val="20"/>
                <w:color w:val="auto"/>
              </w:rPr>
            </w:pPr>
            <w:r>
              <w:rPr>
                <w:rFonts w:ascii="Arial" w:cs="Arial" w:eastAsia="Arial" w:hAnsi="Arial"/>
                <w:sz w:val="18"/>
                <w:szCs w:val="18"/>
                <w:color w:val="auto"/>
              </w:rPr>
              <w:t>April 2, 2014</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Optional</w:t>
            </w:r>
          </w:p>
        </w:tc>
        <w:tc>
          <w:tcPr>
            <w:tcW w:w="2180" w:type="dxa"/>
            <w:vAlign w:val="bottom"/>
          </w:tcPr>
          <w:p>
            <w:pPr>
              <w:jc w:val="center"/>
              <w:spacing w:after="0"/>
              <w:rPr>
                <w:sz w:val="20"/>
                <w:szCs w:val="20"/>
                <w:color w:val="auto"/>
              </w:rPr>
            </w:pPr>
            <w:r>
              <w:rPr>
                <w:rFonts w:ascii="Arial" w:cs="Arial" w:eastAsia="Arial" w:hAnsi="Arial"/>
                <w:sz w:val="18"/>
                <w:szCs w:val="18"/>
                <w:color w:val="auto"/>
                <w:w w:val="93"/>
              </w:rPr>
              <w:t>294</w:t>
            </w:r>
          </w:p>
        </w:tc>
        <w:tc>
          <w:tcPr>
            <w:tcW w:w="1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(294)</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222</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8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April 8, 2014</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Mandatory</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17,230</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(17,230)</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13,007</w:t>
            </w: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17,554</w:t>
            </w:r>
          </w:p>
        </w:tc>
        <w:tc>
          <w:tcPr>
            <w:tcW w:w="12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(17,554)</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13,252</w:t>
            </w: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8, 2014, the Company satisfied all of the AAG Series A Preferred Stock obligations, the Single-Dip equity obligations and the majority of the labor related deemed claim. After the April 8, 2014 distribution date, the Company had an obligation recorded related to the accrued Disputed Claims Reserve of approximately $335 million, which includes an amount expected to be issued to labor assuming the fully accrued Disputed Claims Reserve is allowed by the court and distributed. Allowed claims will receive 30.7553 shares, subject to reduction for expenses of the Disputed Claims Reserve, including tax liabilities, for each $1,000 of allowed claims. Accordingly, increases in the trading price of AAG Common Stock after March 31, 2014 could cause an increase in the value of the Disputed Claims Reserve, and vice-versa.</w:t>
      </w:r>
    </w:p>
    <w:p>
      <w:pPr>
        <w:spacing w:after="0" w:line="1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Shares distributed as of April 8, 2014, in settlement of the Company's bankruptcy settlement obligations, are presented in the table below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Legacy</w:t>
            </w:r>
          </w:p>
        </w:tc>
        <w:tc>
          <w:tcPr>
            <w:tcW w:w="21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Preferred</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Single-dip</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Labor</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AAMRQ</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Increase in AAG Common</w:t>
            </w:r>
          </w:p>
        </w:tc>
      </w:tr>
      <w:tr>
        <w:trPr>
          <w:trHeight w:val="230"/>
        </w:trPr>
        <w:tc>
          <w:tcPr>
            <w:tcW w:w="2180" w:type="dxa"/>
            <w:vAlign w:val="bottom"/>
          </w:tcPr>
          <w:p>
            <w:pPr>
              <w:jc w:val="center"/>
              <w:ind w:right="10"/>
              <w:spacing w:after="0"/>
              <w:rPr>
                <w:sz w:val="20"/>
                <w:szCs w:val="20"/>
                <w:color w:val="auto"/>
              </w:rPr>
            </w:pPr>
            <w:r>
              <w:rPr>
                <w:rFonts w:ascii="Arial" w:cs="Arial" w:eastAsia="Arial" w:hAnsi="Arial"/>
                <w:sz w:val="18"/>
                <w:szCs w:val="18"/>
                <w:color w:val="auto"/>
                <w:w w:val="88"/>
              </w:rPr>
              <w:t>Conversion date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conversion</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distribution</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distribution</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holders</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Shares outstanding</w:t>
            </w:r>
          </w:p>
        </w:tc>
      </w:tr>
      <w:tr>
        <w:trPr>
          <w:trHeight w:val="27"/>
        </w:trPr>
        <w:tc>
          <w:tcPr>
            <w:tcW w:w="2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21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4"/>
              </w:rPr>
              <w:t>April 8, 2014</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13,252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48,219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8,902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72,383</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142,756</w:t>
            </w:r>
          </w:p>
        </w:tc>
      </w:tr>
      <w:tr>
        <w:trPr>
          <w:trHeight w:val="635"/>
        </w:trPr>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87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200"/>
        <w:spacing w:after="0"/>
        <w:tabs>
          <w:tab w:leader="none" w:pos="33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8"/>
          <w:szCs w:val="18"/>
          <w:b w:val="1"/>
          <w:bCs w:val="1"/>
          <w:color w:val="auto"/>
        </w:rPr>
        <w:t>AMERICAN AIRLINES, INC. CONDENSED CONSOLIDATED FINANCIAL</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300" w:type="dxa"/>
            <w:vAlign w:val="bottom"/>
            <w:gridSpan w:val="5"/>
          </w:tcPr>
          <w:p>
            <w:pPr>
              <w:jc w:val="right"/>
              <w:ind w:right="39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Mainline passenger</w:t>
            </w:r>
          </w:p>
        </w:tc>
        <w:tc>
          <w:tcPr>
            <w:tcW w:w="37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4,906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Regional passenger</w:t>
            </w:r>
          </w:p>
        </w:tc>
        <w:tc>
          <w:tcPr>
            <w:tcW w:w="2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Cargo</w:t>
            </w:r>
          </w:p>
        </w:tc>
        <w:tc>
          <w:tcPr>
            <w:tcW w:w="2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37"/>
        </w:trPr>
        <w:tc>
          <w:tcPr>
            <w:tcW w:w="5440" w:type="dxa"/>
            <w:vAlign w:val="bottom"/>
          </w:tcPr>
          <w:p>
            <w:pPr>
              <w:ind w:left="500"/>
              <w:spacing w:after="0"/>
              <w:rPr>
                <w:sz w:val="20"/>
                <w:szCs w:val="20"/>
                <w:color w:val="auto"/>
              </w:rPr>
            </w:pPr>
            <w:r>
              <w:rPr>
                <w:rFonts w:ascii="Arial" w:cs="Arial" w:eastAsia="Arial" w:hAnsi="Arial"/>
                <w:sz w:val="18"/>
                <w:szCs w:val="18"/>
                <w:color w:val="auto"/>
              </w:rPr>
              <w:t>Total operating revenues</w:t>
            </w:r>
          </w:p>
        </w:tc>
        <w:tc>
          <w:tcPr>
            <w:tcW w:w="26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6,469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Aircraft fuel and related taxes</w:t>
            </w:r>
          </w:p>
        </w:tc>
        <w:tc>
          <w:tcPr>
            <w:tcW w:w="2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1,871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Salaries, wages and benefits</w:t>
            </w:r>
          </w:p>
        </w:tc>
        <w:tc>
          <w:tcPr>
            <w:tcW w:w="2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Regional expenses</w:t>
            </w:r>
          </w:p>
        </w:tc>
        <w:tc>
          <w:tcPr>
            <w:tcW w:w="2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Maintenance, materials and repairs</w:t>
            </w:r>
          </w:p>
        </w:tc>
        <w:tc>
          <w:tcPr>
            <w:tcW w:w="2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Other rent and landing fees</w:t>
            </w:r>
          </w:p>
        </w:tc>
        <w:tc>
          <w:tcPr>
            <w:tcW w:w="2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Aircraft rent</w:t>
            </w:r>
          </w:p>
        </w:tc>
        <w:tc>
          <w:tcPr>
            <w:tcW w:w="2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Selling expenses</w:t>
            </w:r>
          </w:p>
        </w:tc>
        <w:tc>
          <w:tcPr>
            <w:tcW w:w="2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Special items, net</w:t>
            </w:r>
          </w:p>
        </w:tc>
        <w:tc>
          <w:tcPr>
            <w:tcW w:w="2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37"/>
        </w:trPr>
        <w:tc>
          <w:tcPr>
            <w:tcW w:w="54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6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5,891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Interest expense, net of capitalized interest</w:t>
            </w:r>
          </w:p>
        </w:tc>
        <w:tc>
          <w:tcPr>
            <w:tcW w:w="2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6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Total nonoperating expense, net</w:t>
            </w:r>
          </w:p>
        </w:tc>
        <w:tc>
          <w:tcPr>
            <w:tcW w:w="26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reorganization items, net</w:t>
            </w:r>
          </w:p>
        </w:tc>
        <w:tc>
          <w:tcPr>
            <w:tcW w:w="2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Reorganization items, net</w:t>
            </w:r>
          </w:p>
        </w:tc>
        <w:tc>
          <w:tcPr>
            <w:tcW w:w="2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372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1"/>
              </w:rPr>
              <w:t>See accompanying notes to condensed consolidated financial statements.</w:t>
            </w:r>
          </w:p>
        </w:tc>
        <w:tc>
          <w:tcPr>
            <w:tcW w:w="268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33</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vMerge w:val="continue"/>
          </w:tcPr>
          <w:p>
            <w:pPr>
              <w:spacing w:after="0"/>
              <w:rPr>
                <w:sz w:val="17"/>
                <w:szCs w:val="17"/>
                <w:color w:val="auto"/>
              </w:rPr>
            </w:pPr>
          </w:p>
        </w:tc>
        <w:tc>
          <w:tcPr>
            <w:tcW w:w="26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54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Table of Contents</w:t>
              </w:r>
            </w:hyperlink>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AMERICAN AIRLINES, INC.</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COMPREHENSIVE INCOME (LOSS)</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(In millions)(Unaudited)</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060" w:type="dxa"/>
            <w:vAlign w:val="bottom"/>
            <w:gridSpan w:val="5"/>
          </w:tcPr>
          <w:p>
            <w:pPr>
              <w:jc w:val="right"/>
              <w:ind w:right="27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loss before tax:</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Defined benefit pension plans and retiree medical:</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Amortization of actuarial gain and prior service cost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Derivative financial instruments: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Change in fair value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Reclassification into earnings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Unrealized gain (loss) on investments:</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change in value</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loss before tax</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Non-cash tax provision</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continue"/>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8360" w:type="dxa"/>
            <w:vAlign w:val="bottom"/>
            <w:gridSpan w:val="2"/>
          </w:tcPr>
          <w:p>
            <w:pPr>
              <w:ind w:left="5620"/>
              <w:spacing w:after="0"/>
              <w:rPr>
                <w:sz w:val="20"/>
                <w:szCs w:val="20"/>
                <w:color w:val="auto"/>
              </w:rPr>
            </w:pPr>
            <w:r>
              <w:rPr>
                <w:rFonts w:ascii="Arial" w:cs="Arial" w:eastAsia="Arial" w:hAnsi="Arial"/>
                <w:sz w:val="18"/>
                <w:szCs w:val="18"/>
                <w:color w:val="auto"/>
              </w:rPr>
              <w:t>34</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shares and per share amounts)(Unaudited)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140"/>
              <w:spacing w:after="0"/>
              <w:rPr>
                <w:sz w:val="20"/>
                <w:szCs w:val="20"/>
                <w:color w:val="auto"/>
              </w:rPr>
            </w:pPr>
            <w:r>
              <w:rPr>
                <w:rFonts w:ascii="Arial" w:cs="Arial" w:eastAsia="Arial" w:hAnsi="Arial"/>
                <w:sz w:val="15"/>
                <w:szCs w:val="15"/>
                <w:color w:val="auto"/>
              </w:rPr>
              <w:t>March 31, 2014</w:t>
            </w:r>
          </w:p>
        </w:tc>
        <w:tc>
          <w:tcPr>
            <w:tcW w:w="160" w:type="dxa"/>
            <w:vAlign w:val="bottom"/>
          </w:tcPr>
          <w:p>
            <w:pPr>
              <w:spacing w:after="0"/>
              <w:rPr>
                <w:sz w:val="17"/>
                <w:szCs w:val="17"/>
                <w:color w:val="auto"/>
              </w:rPr>
            </w:pPr>
          </w:p>
        </w:tc>
        <w:tc>
          <w:tcPr>
            <w:tcW w:w="1520" w:type="dxa"/>
            <w:vAlign w:val="bottom"/>
          </w:tcPr>
          <w:p>
            <w:pPr>
              <w:jc w:val="right"/>
              <w:ind w:right="163"/>
              <w:spacing w:after="0"/>
              <w:rPr>
                <w:sz w:val="20"/>
                <w:szCs w:val="20"/>
                <w:color w:val="auto"/>
              </w:rPr>
            </w:pPr>
            <w:r>
              <w:rPr>
                <w:rFonts w:ascii="Arial" w:cs="Arial" w:eastAsia="Arial" w:hAnsi="Arial"/>
                <w:sz w:val="15"/>
                <w:szCs w:val="15"/>
                <w:color w:val="auto"/>
                <w:w w:val="95"/>
              </w:rPr>
              <w:t>December 31, 2013</w:t>
            </w:r>
          </w:p>
        </w:tc>
        <w:tc>
          <w:tcPr>
            <w:tcW w:w="0" w:type="dxa"/>
            <w:vAlign w:val="bottom"/>
          </w:tcPr>
          <w:p>
            <w:pPr>
              <w:spacing w:after="0"/>
              <w:rPr>
                <w:sz w:val="1"/>
                <w:szCs w:val="1"/>
                <w:color w:val="auto"/>
              </w:rPr>
            </w:pPr>
          </w:p>
        </w:tc>
      </w:tr>
      <w:tr>
        <w:trPr>
          <w:trHeight w:val="195"/>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ASSETS</w:t>
            </w: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7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Current assets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Cash</w:t>
            </w:r>
          </w:p>
        </w:tc>
        <w:tc>
          <w:tcPr>
            <w:tcW w:w="240" w:type="dxa"/>
            <w:vAlign w:val="bottom"/>
            <w:vMerge w:val="restart"/>
          </w:tcPr>
          <w:p>
            <w:pPr>
              <w:jc w:val="right"/>
              <w:ind w:right="63"/>
              <w:spacing w:after="0"/>
              <w:rPr>
                <w:sz w:val="20"/>
                <w:szCs w:val="20"/>
                <w:color w:val="auto"/>
              </w:rPr>
            </w:pPr>
            <w:r>
              <w:rPr>
                <w:rFonts w:ascii="Arial" w:cs="Arial" w:eastAsia="Arial" w:hAnsi="Arial"/>
                <w:sz w:val="15"/>
                <w:szCs w:val="15"/>
                <w:color w:val="auto"/>
                <w:w w:val="95"/>
              </w:rPr>
              <w:t>$</w:t>
            </w: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983</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829</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Short-term investments</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4,979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5,162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Restricted cash and short-term investments</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699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702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Accounts receivable, net</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1,521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1,186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Aircraft fuel, spare parts and supplies, net</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664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620</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Prepaid expenses and other</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606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702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500"/>
              <w:spacing w:after="0"/>
              <w:rPr>
                <w:sz w:val="20"/>
                <w:szCs w:val="20"/>
                <w:color w:val="auto"/>
              </w:rPr>
            </w:pPr>
            <w:r>
              <w:rPr>
                <w:rFonts w:ascii="Arial" w:cs="Arial" w:eastAsia="Arial" w:hAnsi="Arial"/>
                <w:sz w:val="15"/>
                <w:szCs w:val="15"/>
                <w:color w:val="auto"/>
              </w:rPr>
              <w:t>Total current assets</w:t>
            </w:r>
          </w:p>
        </w:tc>
        <w:tc>
          <w:tcPr>
            <w:tcW w:w="240" w:type="dxa"/>
            <w:vAlign w:val="bottom"/>
          </w:tcPr>
          <w:p>
            <w:pPr>
              <w:spacing w:after="0"/>
              <w:rPr>
                <w:sz w:val="16"/>
                <w:szCs w:val="16"/>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9,452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9,201</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Operating property and equipment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Flight equipment</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19,182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18,534</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Ground property and equipment</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5,057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5,002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Equipment purchase deposits</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829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847</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property and equipment, at cost</w:t>
            </w:r>
          </w:p>
        </w:tc>
        <w:tc>
          <w:tcPr>
            <w:tcW w:w="2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25,068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24,383</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Less accumulated depreciation and amortization</w:t>
            </w:r>
          </w:p>
        </w:tc>
        <w:tc>
          <w:tcPr>
            <w:tcW w:w="240" w:type="dxa"/>
            <w:vAlign w:val="bottom"/>
          </w:tcPr>
          <w:p>
            <w:pPr>
              <w:spacing w:after="0"/>
              <w:rPr>
                <w:sz w:val="18"/>
                <w:szCs w:val="18"/>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(11,140)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(10,914)</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property and equipment, net</w:t>
            </w:r>
          </w:p>
        </w:tc>
        <w:tc>
          <w:tcPr>
            <w:tcW w:w="2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13,928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13,469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Other assets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Intangibles, net of accumulated amortization of $378 and $375, respectively</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844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812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Other assets</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2,016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2,130</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other assets</w:t>
            </w:r>
          </w:p>
        </w:tc>
        <w:tc>
          <w:tcPr>
            <w:tcW w:w="2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2,860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2,942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7900" w:type="dxa"/>
            <w:vAlign w:val="bottom"/>
            <w:tcBorders>
              <w:bottom w:val="single" w:sz="8" w:color="CCEEFF"/>
            </w:tcBorders>
          </w:tcPr>
          <w:p>
            <w:pPr>
              <w:ind w:left="720"/>
              <w:spacing w:after="0"/>
              <w:rPr>
                <w:sz w:val="20"/>
                <w:szCs w:val="20"/>
                <w:color w:val="auto"/>
              </w:rPr>
            </w:pPr>
            <w:r>
              <w:rPr>
                <w:rFonts w:ascii="Arial" w:cs="Arial" w:eastAsia="Arial" w:hAnsi="Arial"/>
                <w:sz w:val="15"/>
                <w:szCs w:val="15"/>
                <w:b w:val="1"/>
                <w:bCs w:val="1"/>
                <w:color w:val="auto"/>
              </w:rPr>
              <w:t>Total assets</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26,240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25,612</w:t>
            </w:r>
          </w:p>
        </w:tc>
        <w:tc>
          <w:tcPr>
            <w:tcW w:w="0" w:type="dxa"/>
            <w:vAlign w:val="bottom"/>
          </w:tcPr>
          <w:p>
            <w:pPr>
              <w:spacing w:after="0"/>
              <w:rPr>
                <w:sz w:val="1"/>
                <w:szCs w:val="1"/>
                <w:color w:val="auto"/>
              </w:rPr>
            </w:pPr>
          </w:p>
        </w:tc>
      </w:tr>
      <w:tr>
        <w:trPr>
          <w:trHeight w:val="166"/>
        </w:trPr>
        <w:tc>
          <w:tcPr>
            <w:tcW w:w="7900" w:type="dxa"/>
            <w:vAlign w:val="bottom"/>
            <w:shd w:val="clear" w:color="auto" w:fill="CCEEFF"/>
          </w:tcPr>
          <w:p>
            <w:pPr>
              <w:ind w:left="40"/>
              <w:spacing w:after="0" w:line="166" w:lineRule="exact"/>
              <w:rPr>
                <w:sz w:val="20"/>
                <w:szCs w:val="20"/>
                <w:color w:val="auto"/>
              </w:rPr>
            </w:pPr>
            <w:r>
              <w:rPr>
                <w:rFonts w:ascii="Arial" w:cs="Arial" w:eastAsia="Arial" w:hAnsi="Arial"/>
                <w:sz w:val="15"/>
                <w:szCs w:val="15"/>
                <w:b w:val="1"/>
                <w:bCs w:val="1"/>
                <w:color w:val="auto"/>
              </w:rPr>
              <w:t>LIABILITIES AND STOCKHOLDER'S DEFICIT</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79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Current maturities of long-term debt and capital leases</w:t>
            </w: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951</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957</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Accounts payable</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1,230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1,013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Accrued salaries and wages</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659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Air traffic liability</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3,808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3,145</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Frequent flyer liability</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1,761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1,760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Payable to affiliates</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2,843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2,807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 accrued liabilities</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1,439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1,578</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500"/>
              <w:spacing w:after="0"/>
              <w:rPr>
                <w:sz w:val="20"/>
                <w:szCs w:val="20"/>
                <w:color w:val="auto"/>
              </w:rPr>
            </w:pPr>
            <w:r>
              <w:rPr>
                <w:rFonts w:ascii="Arial" w:cs="Arial" w:eastAsia="Arial" w:hAnsi="Arial"/>
                <w:sz w:val="15"/>
                <w:szCs w:val="15"/>
                <w:color w:val="auto"/>
              </w:rPr>
              <w:t>Total current liabilities</w:t>
            </w:r>
          </w:p>
        </w:tc>
        <w:tc>
          <w:tcPr>
            <w:tcW w:w="240" w:type="dxa"/>
            <w:vAlign w:val="bottom"/>
          </w:tcPr>
          <w:p>
            <w:pPr>
              <w:spacing w:after="0"/>
              <w:rPr>
                <w:sz w:val="16"/>
                <w:szCs w:val="16"/>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12,565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11,919</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Noncurrent liabilities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Long-term debt and capital leases, net of current maturities</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9,590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9,852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Pension and postretirement benefits</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5,631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5,693</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Deferred gains and credits, net</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285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Bankruptcy settlement obligations</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2,242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5,424</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Other liabilities</w:t>
            </w:r>
          </w:p>
        </w:tc>
        <w:tc>
          <w:tcPr>
            <w:tcW w:w="240" w:type="dxa"/>
            <w:vAlign w:val="bottom"/>
          </w:tcPr>
          <w:p>
            <w:pPr>
              <w:spacing w:after="0"/>
              <w:rPr>
                <w:sz w:val="18"/>
                <w:szCs w:val="18"/>
                <w:color w:val="auto"/>
              </w:rPr>
            </w:pPr>
          </w:p>
        </w:tc>
        <w:tc>
          <w:tcPr>
            <w:tcW w:w="1480" w:type="dxa"/>
            <w:vAlign w:val="bottom"/>
            <w:vMerge w:val="restart"/>
          </w:tcPr>
          <w:p>
            <w:pPr>
              <w:jc w:val="right"/>
              <w:ind w:right="43"/>
              <w:spacing w:after="0"/>
              <w:rPr>
                <w:sz w:val="20"/>
                <w:szCs w:val="20"/>
                <w:color w:val="auto"/>
              </w:rPr>
            </w:pPr>
            <w:r>
              <w:rPr>
                <w:rFonts w:ascii="Arial" w:cs="Arial" w:eastAsia="Arial" w:hAnsi="Arial"/>
                <w:sz w:val="15"/>
                <w:szCs w:val="15"/>
                <w:color w:val="auto"/>
              </w:rPr>
              <w:t>2,168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2,106</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noncurrent liabilities</w:t>
            </w:r>
          </w:p>
        </w:tc>
        <w:tc>
          <w:tcPr>
            <w:tcW w:w="2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19,916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23,353</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500"/>
              <w:spacing w:after="0"/>
              <w:rPr>
                <w:sz w:val="20"/>
                <w:szCs w:val="20"/>
                <w:color w:val="auto"/>
              </w:rPr>
            </w:pPr>
            <w:r>
              <w:rPr>
                <w:rFonts w:ascii="Arial" w:cs="Arial" w:eastAsia="Arial" w:hAnsi="Arial"/>
                <w:sz w:val="15"/>
                <w:szCs w:val="15"/>
                <w:color w:val="auto"/>
              </w:rPr>
              <w:t>Commitments and contingencies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Stockholder's deficit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80"/>
              <w:spacing w:after="0"/>
              <w:rPr>
                <w:sz w:val="20"/>
                <w:szCs w:val="20"/>
                <w:color w:val="auto"/>
              </w:rPr>
            </w:pPr>
            <w:r>
              <w:rPr>
                <w:rFonts w:ascii="Arial" w:cs="Arial" w:eastAsia="Arial" w:hAnsi="Arial"/>
                <w:sz w:val="15"/>
                <w:szCs w:val="15"/>
                <w:color w:val="auto"/>
              </w:rPr>
              <w:t>Common stock - $1 par value; 1,000 shares authorized, issued and outstanding</w:t>
            </w:r>
          </w:p>
        </w:tc>
        <w:tc>
          <w:tcPr>
            <w:tcW w:w="240" w:type="dxa"/>
            <w:vAlign w:val="bottom"/>
          </w:tcPr>
          <w:p>
            <w:pPr>
              <w:spacing w:after="0"/>
              <w:rPr>
                <w:sz w:val="18"/>
                <w:szCs w:val="18"/>
                <w:color w:val="auto"/>
              </w:rPr>
            </w:pPr>
          </w:p>
        </w:tc>
        <w:tc>
          <w:tcPr>
            <w:tcW w:w="160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Additional paid-in capital</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8,481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5,361</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80"/>
              <w:spacing w:after="0"/>
              <w:rPr>
                <w:sz w:val="20"/>
                <w:szCs w:val="20"/>
                <w:color w:val="auto"/>
              </w:rPr>
            </w:pPr>
            <w:r>
              <w:rPr>
                <w:rFonts w:ascii="Arial" w:cs="Arial" w:eastAsia="Arial" w:hAnsi="Arial"/>
                <w:sz w:val="15"/>
                <w:szCs w:val="15"/>
                <w:color w:val="auto"/>
              </w:rPr>
              <w:t>Accumulated other comprehensive loss</w:t>
            </w:r>
          </w:p>
        </w:tc>
        <w:tc>
          <w:tcPr>
            <w:tcW w:w="240" w:type="dxa"/>
            <w:vAlign w:val="bottom"/>
          </w:tcPr>
          <w:p>
            <w:pPr>
              <w:spacing w:after="0"/>
              <w:rPr>
                <w:sz w:val="18"/>
                <w:szCs w:val="18"/>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(2,254)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(2,152)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Accumulated deficit</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(12,468)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(12,869)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500"/>
              <w:spacing w:after="0"/>
              <w:rPr>
                <w:sz w:val="20"/>
                <w:szCs w:val="20"/>
                <w:color w:val="auto"/>
              </w:rPr>
            </w:pPr>
            <w:r>
              <w:rPr>
                <w:rFonts w:ascii="Arial" w:cs="Arial" w:eastAsia="Arial" w:hAnsi="Arial"/>
                <w:sz w:val="15"/>
                <w:szCs w:val="15"/>
                <w:color w:val="auto"/>
              </w:rPr>
              <w:t>Total stockholder's deficit</w:t>
            </w:r>
          </w:p>
        </w:tc>
        <w:tc>
          <w:tcPr>
            <w:tcW w:w="24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(6,241)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(9,660)</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5"/>
                <w:szCs w:val="15"/>
                <w:b w:val="1"/>
                <w:bCs w:val="1"/>
                <w:color w:val="auto"/>
              </w:rPr>
              <w:t>Total liabilities and stockholder's deficit</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26,240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25,612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ind w:right="198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CASH FLOWS </w:t>
      </w:r>
      <w:r>
        <w:rPr>
          <w:rFonts w:ascii="Arial" w:cs="Arial" w:eastAsia="Arial" w:hAnsi="Arial"/>
          <w:sz w:val="18"/>
          <w:szCs w:val="18"/>
          <w:color w:val="auto"/>
        </w:rPr>
        <w:t>(In millions)(Unaudited)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Net cash provided by operating activities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2092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20" w:type="dxa"/>
            <w:vAlign w:val="bottom"/>
          </w:tcPr>
          <w:p>
            <w:pPr>
              <w:jc w:val="right"/>
              <w:ind w:right="59"/>
              <w:spacing w:after="0"/>
              <w:rPr>
                <w:sz w:val="20"/>
                <w:szCs w:val="20"/>
                <w:color w:val="auto"/>
              </w:rPr>
            </w:pPr>
            <w:r>
              <w:rPr>
                <w:rFonts w:ascii="Arial" w:cs="Arial" w:eastAsia="Arial" w:hAnsi="Arial"/>
                <w:sz w:val="16"/>
                <w:szCs w:val="16"/>
                <w:color w:val="auto"/>
              </w:rPr>
              <w:t>2014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color w:val="auto"/>
              </w:rPr>
              <w:t>2013</w:t>
            </w:r>
          </w:p>
        </w:tc>
      </w:tr>
      <w:tr>
        <w:trPr>
          <w:trHeight w:val="33"/>
        </w:trPr>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696</w:t>
            </w:r>
          </w:p>
        </w:tc>
      </w:tr>
    </w:tbl>
    <w:p>
      <w:pPr>
        <w:spacing w:after="0" w:line="303" w:lineRule="exact"/>
        <w:rPr>
          <w:sz w:val="20"/>
          <w:szCs w:val="20"/>
          <w:color w:val="auto"/>
        </w:rPr>
      </w:pPr>
    </w:p>
    <w:p>
      <w:pPr>
        <w:sectPr>
          <w:pgSz w:w="11900" w:h="16838" w:orient="portrait"/>
          <w:cols w:equalWidth="0" w:num="2">
            <w:col w:w="7400" w:space="720"/>
            <w:col w:w="330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 and aircraft purchase deposits</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Decrease (increase) in short-term investments</w:t>
            </w:r>
          </w:p>
        </w:tc>
        <w:tc>
          <w:tcPr>
            <w:tcW w:w="6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33"/>
        </w:trPr>
        <w:tc>
          <w:tcPr>
            <w:tcW w:w="8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Decrease (increase) in restricted cash and short-term investments</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Net proceeds from slot transaction</w:t>
            </w:r>
          </w:p>
        </w:tc>
        <w:tc>
          <w:tcPr>
            <w:tcW w:w="6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property and equipment</w:t>
            </w: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6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(1,087)</w:t>
            </w:r>
          </w:p>
        </w:tc>
      </w:tr>
      <w:tr>
        <w:trPr>
          <w:trHeight w:val="33"/>
        </w:trPr>
        <w:tc>
          <w:tcPr>
            <w:tcW w:w="8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Payments on long-term debt and capital leases</w:t>
            </w: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(392)</w:t>
            </w:r>
          </w:p>
        </w:tc>
      </w:tr>
      <w:tr>
        <w:trPr>
          <w:trHeight w:val="33"/>
        </w:trPr>
        <w:tc>
          <w:tcPr>
            <w:tcW w:w="8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 of long-term debt</w:t>
            </w: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Funds transferred to affiliates</w:t>
            </w: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financing costs</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Sale-leaseback transactions</w:t>
            </w:r>
          </w:p>
        </w:tc>
        <w:tc>
          <w:tcPr>
            <w:tcW w:w="6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764</w:t>
            </w:r>
          </w:p>
        </w:tc>
      </w:tr>
      <w:tr>
        <w:trPr>
          <w:trHeight w:val="33"/>
        </w:trPr>
        <w:tc>
          <w:tcPr>
            <w:tcW w:w="8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Net increase in cash</w:t>
            </w:r>
          </w:p>
        </w:tc>
        <w:tc>
          <w:tcPr>
            <w:tcW w:w="6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w:t>
            </w:r>
          </w:p>
        </w:tc>
      </w:tr>
      <w:tr>
        <w:trPr>
          <w:trHeight w:val="33"/>
        </w:trPr>
        <w:tc>
          <w:tcPr>
            <w:tcW w:w="8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at beginning of period</w:t>
            </w: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Cash at end of period</w:t>
            </w: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599</w:t>
            </w:r>
          </w:p>
        </w:tc>
      </w:tr>
      <w:tr>
        <w:trPr>
          <w:trHeight w:val="73"/>
        </w:trPr>
        <w:tc>
          <w:tcPr>
            <w:tcW w:w="812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78"/>
        </w:trPr>
        <w:tc>
          <w:tcPr>
            <w:tcW w:w="8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Settlement of bankruptcy settlement obligation</w:t>
            </w: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Supplemental information:</w:t>
            </w: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paid, net of amounts capitalized</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Income tax paid</w:t>
            </w:r>
          </w:p>
        </w:tc>
        <w:tc>
          <w:tcPr>
            <w:tcW w:w="6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AMERICAN AIRLINES, INC.</w:t>
      </w:r>
    </w:p>
    <w:p>
      <w:pPr>
        <w:spacing w:after="0" w:line="63" w:lineRule="exact"/>
        <w:rPr>
          <w:sz w:val="20"/>
          <w:szCs w:val="20"/>
          <w:color w:val="auto"/>
        </w:rPr>
      </w:pPr>
    </w:p>
    <w:p>
      <w:pPr>
        <w:ind w:left="1260" w:right="4280"/>
        <w:spacing w:after="0" w:line="344"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-38735</wp:posOffset>
            </wp:positionV>
            <wp:extent cx="57029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American should be read in conjunction with the consolidated financial statements contained in American's Annual Report on Form 10-K for the year ended December 31, 2013. American is a wholly-owned subsidiary of AAG. Certain prior period amounts have been reclassified to conform to the current year financial statement presentation as described below. All significant intercompany transactions have been eliminated.</w:t>
      </w:r>
    </w:p>
    <w:p>
      <w:pPr>
        <w:spacing w:after="0" w:line="13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long-lived and intangible assets, the frequent traveler program, pensions and retiree medical and other benefits and the deferred tax asset valuation allowance.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Chapter 11 Matters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U.S. Generally Accepted Accounting Principles (GAAP), the Debtors (as defined in Note 2 below) applied ASC 852 "Reorganizations" (ASC 852) in preparing the condensed consolidated financial statements for periods subsequent to the Chapter 11 Cases (as defined in Note 2 below). ASC 852 requires that the financial statements distinguish transactions and events that are directly associated with the reorganization from the ongoing operations of the business. Accordingly, certain revenues, expenses (including professional fees), realized gains and losses and provisions for losses that are realized or incurred in the Chapter 11 Cases for the 2013 period are recorded in Reorganization items, net on the accompanying condensed consolidated statement of operations.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Certain prior period amounts have been reclassified between various financial statement line items to conform to the current year financial statement presentation. These reclassifications do not impact the historic net loss and are comprised principally of the following items:</w:t>
      </w:r>
    </w:p>
    <w:p>
      <w:pPr>
        <w:spacing w:after="0" w:line="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Reclassifications between various operating income line items to conform the presentation of Cargo and Other revenues.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Reclassifications between various operating expense line items to conform the presentation of Regional expenses.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Reclassifications between Other nonoperating income (expense), net and Operating expenses to conform the presentation of foreign currency gains and losses.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historical and revised financial statement amounts for American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right"/>
              <w:ind w:right="270"/>
              <w:spacing w:after="0"/>
              <w:rPr>
                <w:sz w:val="20"/>
                <w:szCs w:val="20"/>
                <w:color w:val="auto"/>
              </w:rPr>
            </w:pPr>
            <w:r>
              <w:rPr>
                <w:rFonts w:ascii="Arial" w:cs="Arial" w:eastAsia="Arial" w:hAnsi="Arial"/>
                <w:sz w:val="18"/>
                <w:szCs w:val="18"/>
                <w:color w:val="auto"/>
              </w:rPr>
              <w:t>Three Months Ended March 31,</w:t>
            </w:r>
          </w:p>
        </w:tc>
      </w:tr>
      <w:tr>
        <w:trPr>
          <w:trHeight w:val="270"/>
        </w:trPr>
        <w:tc>
          <w:tcPr>
            <w:tcW w:w="8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color w:val="auto"/>
              </w:rPr>
              <w:t>2013</w:t>
            </w:r>
          </w:p>
        </w:tc>
        <w:tc>
          <w:tcPr>
            <w:tcW w:w="1220" w:type="dxa"/>
            <w:vAlign w:val="bottom"/>
          </w:tcPr>
          <w:p>
            <w:pPr>
              <w:spacing w:after="0"/>
              <w:rPr>
                <w:sz w:val="23"/>
                <w:szCs w:val="23"/>
                <w:color w:val="auto"/>
              </w:rPr>
            </w:pPr>
          </w:p>
        </w:tc>
      </w:tr>
      <w:tr>
        <w:trPr>
          <w:trHeight w:val="27"/>
        </w:trPr>
        <w:tc>
          <w:tcPr>
            <w:tcW w:w="8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As Reclassified</w:t>
            </w:r>
          </w:p>
        </w:tc>
        <w:tc>
          <w:tcPr>
            <w:tcW w:w="26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Historical</w:t>
            </w:r>
          </w:p>
        </w:tc>
      </w:tr>
      <w:tr>
        <w:trPr>
          <w:trHeight w:val="27"/>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Mainline passenger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4,614</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Regional passenger</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Cargo</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6,085</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Aircraft fuel and related taxes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2,199</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wages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269</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276</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6,019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6,038</w:t>
            </w:r>
          </w:p>
        </w:tc>
      </w:tr>
      <w:tr>
        <w:trPr>
          <w:trHeight w:val="27"/>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Interest expense, net of capitalized interest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Total nonoperating expense,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Emergence From Chapter 11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29, 2011 (the Petition Date), AMR, its principal subsidiary, American Airlines, Inc. (American), and certain of AMR's other direct and indirect domestic subsidiaries (collectively, the Debtors), filed voluntary petitions for relief (the Chapter 11 Cases) under Chapter 11 of the United States Bankruptcy Code (the Bankruptcy Code) in the United States Bankruptcy Court for the Southern District of New York (the Bankruptcy Court). On October 21, 2013, the Bankruptcy Court entered an order (the Confirmation Order) approving and confirming the Debtors' fourth amended joint plan of reorganization (as amended, the Plan).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9, 2013 (the Effective Date), the Debtors consummated their reorganization pursuant to the Plan, principally through the transactions contemplated by that certain Agreement and Plan of Merger (as amended, the Merger Agreement), dated as of February 13, 2013, by and among AAG, AMR Merger Sub, Inc. (Merger Sub) and US Airways Group, Inc. (US Airways Group), pursuant to which Merger Sub merged with and into US Airways Group (the Merger), with US Airways Group surviving as a wholly-owned subsidiary of AAG following the Merger. Pursuant to the Merger Agreement, each share of common stock, par value $0.01 per share, of US Airways Group was converted into the right to receive one share of American Airlines Group common stock (AAG Common Stock), par value $0.01 per share.</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the Petition Date through the Effective Date, pursuant to automatic stay provisions under the Bankruptcy Code and orders granted by the Bankruptcy Court, all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the extent the parties to such litigation have obtained relief from the permanent injunction.</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Plan of Reorganization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Plan implements the Merger and incorporates a compromise and settlement of certain intercreditor and intercompany claim issues.</w:t>
      </w:r>
    </w:p>
    <w:p>
      <w:pPr>
        <w:spacing w:after="0" w:line="1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Plan, all shares of AMR common stock outstanding prior to the Effective Date were canceled. AAG's Certificate of Incorporation, which was approved in connection with the Plan, authorizes the issuance of 1.75 billion new shares of AAG Common Stock, par value $0.01 per share, and 200 million shares of AAG Series A Preferred Stock, par value $0.01 per share. Of the authorized AAG Series A Preferred Stock, approximately 168 million were designated "Series A Convertible Preferred Stock," with a stated value $25.00 per share, and issued in accordance with the Plan. AAG Common Stock is listed on the NASDAQ Global Select Market under the symbol "AAL" and began trading on December 9, 2013. AAG Series A Preferred Stock was listed on the NASDAQ Global Select Market under the symbol "AALCP" from December 9, 2013 until its final mandatory conversion on April 8, 2014. In addition, pursuant to the Plan and the Merger Agreement, up to 40 million shares of AAG Common Stock were authorized for issuance under the 2013 Incentive Award Plan (the 2013 IAP).</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Plan contains the following provisions relating to the treatment of pre-petition claims against the Debtors and other holders of allowed interests in the Debtors including AMR and American:</w:t>
      </w:r>
    </w:p>
    <w:p>
      <w:pPr>
        <w:spacing w:after="0" w:line="11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secured claims against the Debtors have been reinstated;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allowed administrative claims, priority claims and convenience claims have been or will be paid in full in cash;</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holders of allowed pre-petition unsecured claims, holders of allowed interests and certain employees of AMR received or will receive 72% of AAG Common Stock (on a fully converted basis) authorized to be issued pursuant to the Plan and in connection with the Merger under the following provisions:</w:t>
      </w:r>
    </w:p>
    <w:p>
      <w:pPr>
        <w:spacing w:after="0" w:line="127" w:lineRule="exact"/>
        <w:rPr>
          <w:rFonts w:ascii="Arial" w:cs="Arial" w:eastAsia="Arial" w:hAnsi="Arial"/>
          <w:sz w:val="18"/>
          <w:szCs w:val="18"/>
          <w:color w:val="auto"/>
        </w:rPr>
      </w:pPr>
    </w:p>
    <w:p>
      <w:pPr>
        <w:ind w:left="1460" w:hanging="723"/>
        <w:spacing w:after="0" w:line="279" w:lineRule="auto"/>
        <w:tabs>
          <w:tab w:leader="none" w:pos="1055"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creditors holding general unsecured claims against American that are guaranteed by AAG and general unsecured claims against AAG that are guaranteed by American (Double-Dip Unsecured Claims) were treated the same under the Plan. Holders of Double-Dip Unsecured Claims received, at the Effective Date, their recovery in shares of AAG Series A Preferred Stock with a stated amount equal to the allowed amount of their claims, including post-petition interest at the non-default rate;</w:t>
      </w:r>
    </w:p>
    <w:p>
      <w:pPr>
        <w:spacing w:after="0" w:line="117" w:lineRule="exact"/>
        <w:rPr>
          <w:rFonts w:ascii="Arial" w:cs="Arial" w:eastAsia="Arial" w:hAnsi="Arial"/>
          <w:sz w:val="17"/>
          <w:szCs w:val="17"/>
          <w:color w:val="auto"/>
        </w:rPr>
      </w:pPr>
    </w:p>
    <w:p>
      <w:pPr>
        <w:ind w:left="1460" w:hanging="723"/>
        <w:spacing w:after="0" w:line="273" w:lineRule="auto"/>
        <w:tabs>
          <w:tab w:leader="none" w:pos="1055"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creditors holding Single-Dip Unsecured Claims were treated the same regardless of whether the claim was asserted against the AAG Debtors, the American Debtors, or other Debtors. As used herein, "Single-Dip Unsecured Claims" means the general unsecured claims against the Debtors that are not guaranteed by any other Debtor, other than the claims of the Debtors' labor unions representing mainline workers. Holders of Single-Dip Unsecured Claims received, at the Effective Date, a portion of their recovery in shares of AAG Series A Preferred Stock and a right, subject to the trading price of AAG's common stock during the 120-day period after the Effective Date, to receive their remaining recovery in shares of AAG Common Stock 120 days after the Effective Date;</w:t>
      </w:r>
    </w:p>
    <w:p>
      <w:pPr>
        <w:spacing w:after="0" w:line="124" w:lineRule="exact"/>
        <w:rPr>
          <w:rFonts w:ascii="Arial" w:cs="Arial" w:eastAsia="Arial" w:hAnsi="Arial"/>
          <w:sz w:val="17"/>
          <w:szCs w:val="17"/>
          <w:color w:val="auto"/>
        </w:rPr>
      </w:pPr>
    </w:p>
    <w:p>
      <w:pPr>
        <w:ind w:left="1460" w:hanging="723"/>
        <w:spacing w:after="0" w:line="276" w:lineRule="auto"/>
        <w:tabs>
          <w:tab w:leader="none" w:pos="1055" w:val="left"/>
        </w:tabs>
        <w:numPr>
          <w:ilvl w:val="1"/>
          <w:numId w:val="16"/>
        </w:numPr>
        <w:rPr>
          <w:rFonts w:ascii="Arial" w:cs="Arial" w:eastAsia="Arial" w:hAnsi="Arial"/>
          <w:sz w:val="17"/>
          <w:szCs w:val="17"/>
          <w:color w:val="auto"/>
        </w:rPr>
      </w:pPr>
      <w:r>
        <w:rPr>
          <w:rFonts w:ascii="Arial" w:cs="Arial" w:eastAsia="Arial" w:hAnsi="Arial"/>
          <w:sz w:val="17"/>
          <w:szCs w:val="17"/>
          <w:color w:val="auto"/>
        </w:rPr>
        <w:t>holders of certain labor-related deemed claims and certain non-management, non-union employees as specified in the Plan received, at the Effective Date, the right to receive an allocation of shares of AAG Common Stock representing 23.6% of the total number of shares of AAG Common Stock ultimately distributed to holders of pre-petition general unsecured creditors against the Debtors. On the Effective Date, pursuant to the Plan, an initial allocation of approximately 39 million shares of AAG Common Stock was made related to these labor and employee groups, of which approximately 27 million shares were distributed on the Effective Date and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060"/>
        <w:spacing w:after="0" w:line="324" w:lineRule="auto"/>
        <w:rPr>
          <w:sz w:val="20"/>
          <w:szCs w:val="20"/>
          <w:color w:val="auto"/>
        </w:rPr>
      </w:pPr>
      <w:r>
        <w:rPr>
          <w:rFonts w:ascii="Arial" w:cs="Arial" w:eastAsia="Arial" w:hAnsi="Arial"/>
          <w:sz w:val="18"/>
          <w:szCs w:val="18"/>
          <w:color w:val="auto"/>
        </w:rPr>
        <w:t>approximately 13 million shares of which were withheld in connection with American making a cash payment of approximately $300 million for certain required withholding taxes;</w:t>
      </w:r>
    </w:p>
    <w:p>
      <w:pPr>
        <w:spacing w:after="0" w:line="89" w:lineRule="exact"/>
        <w:rPr>
          <w:sz w:val="20"/>
          <w:szCs w:val="20"/>
          <w:color w:val="auto"/>
        </w:rPr>
      </w:pPr>
    </w:p>
    <w:p>
      <w:pPr>
        <w:ind w:left="1460" w:hanging="723"/>
        <w:spacing w:after="0" w:line="276" w:lineRule="auto"/>
        <w:tabs>
          <w:tab w:leader="none" w:pos="10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holders of allowed interests in AMR (primarily holders of AMR common stock existing immediately prior to the Effective Date) received, at the Effective Date, a distribution of approximately 26 million shares of AAG Common Stock representing 3.5% of the total number of shares of AAG Common Stock contemplated for issuance pursuant to the Plan and will receive additional shares of AAG Common Stock if, among other considerations, the trading price of AAG's common stock at various points during the 120-day period after the Effective Date provides for a full recovery to claimholders and other allowed priority interests; and</w:t>
      </w:r>
    </w:p>
    <w:p>
      <w:pPr>
        <w:spacing w:after="0" w:line="118" w:lineRule="exact"/>
        <w:rPr>
          <w:rFonts w:ascii="Arial" w:cs="Arial" w:eastAsia="Arial" w:hAnsi="Arial"/>
          <w:sz w:val="17"/>
          <w:szCs w:val="17"/>
          <w:color w:val="auto"/>
        </w:rPr>
      </w:pPr>
    </w:p>
    <w:p>
      <w:pPr>
        <w:ind w:left="1460" w:hanging="723"/>
        <w:spacing w:after="0" w:line="276" w:lineRule="auto"/>
        <w:tabs>
          <w:tab w:leader="none" w:pos="10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holders of disputed claims at the Effective Date, to the extent such disputed claims become allowed Single-Dip Unsecured Claims after the Effective Date, are eligible to receive shares of AAG Common Stock held in reserve (Disputed Claims Reserve), beginning 120 days after the Effective Date. Disputed claimholders that subsequently become Single-Dip unsecured claimholders will receive, subject to the availability of sufficient shares in the Disputed Claims Reserve, the number of shares of AAG Common Stock that the disputed claimholder would have received had such claimholder been a Single-Dip unsecured claimholder as of the Effective Date.</w:t>
      </w:r>
    </w:p>
    <w:p>
      <w:pPr>
        <w:spacing w:after="0" w:line="1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Plan contemplated the distribution of up to 756 million shares of common stock, however this amount will be reduced by approximately 20 million shares because certain tax withholdings for employees were paid in cash as permitted under the Plan. In accordance with the Plan, AAG issued the remaining shares of AAG Common Stock over the 120-day distribution period, subject to a disputed claims reserve. In addition, pursuant to the Plan, approximately 197 million common shares were distributed to holders of outstanding shares of US Airways Group common stock.</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rulings of the Bankruptcy Court, the Plan has established a disputed claims reserve to hold shares of AAG Series A Preferred Stock and AAG Common Stock reserved for issuance to disputed claimholders that ultimately become allowed Single-Dip general unsecured claimholders after emergence. The shares provided for under the Plan are determined based upon a disputed claims reserve amount of approximately $755 million, representing the maximum amount of additional allowable Single-Dip claims under the Plan's provisions. Approximately 16 million shares of AAG Series A Preferred Stock are reserved for distribution to holders of disputed Single-Dip general unsecured claims whose claims ultimately become allowed. Approximately 18 million of additional new shares of AAG Common Stock were distributed into the reserve on April 10, 2014. As disputed claims are resolved, the claimants will receive distributions of shares from the reserve on the same basis as if such distributions had been made on or about the Effective Date. To the extent that any of the reserved shares remain undistributed upon resolution of the remaining disputed claims, such shares will not be returned to AAG but rather will be distributed by priority first, if necessary, to satisfy unsecured claims or labor-related obligations, and then to former AMR shareholders as of the Effective Date.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AAG is not required to distribute additional shares above the limits contemplated by the Plan described above.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from the Effective Date through March 31, 2014, American made the following cash disbursements under the Plan:</w:t>
      </w:r>
    </w:p>
    <w:p>
      <w:pPr>
        <w:spacing w:after="0" w:line="171" w:lineRule="exact"/>
        <w:rPr>
          <w:sz w:val="20"/>
          <w:szCs w:val="20"/>
          <w:color w:val="auto"/>
        </w:rPr>
      </w:pPr>
    </w:p>
    <w:p>
      <w:pPr>
        <w:ind w:left="660" w:right="2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$385 million in cash to the Pension plans in connection with missed contributions to the pension plans during Chapter 11 and interest and penalty interest thereon;</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$107 million in cash to holders in partial or full satisfaction of their claims, including to holders of administrative claims, and state and local priority tax claims;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$196 million in cure payments to holders of secured debt;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$380 million for payroll taxes associated with equity distributions to employees.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Several parties have filed appeals seeking reconsideration of the Confirmation Order. Refer to Note 14 for more information.</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noted above, the reconciliation process with respect to the remaining claims will take considerable time post-emergence. American's estimates of the amounts of disputed claims that will ultimately become allowed Single-Dip General Unsecured Claims are included in Bankruptcy settlement obligations on American's condensed consolidated balance sheet as of March 31, 2014. As these claims are resolved, or where better information becomes available and is evaluated, American will make adjustments to the liabilities recorded in American's condensed consolidated financial statements as appropriate. Any such adjustments could be material to American's financial position or results of operations in any given period.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Availability and Utilization of Net Operating Losses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Upon emergence from bankruptcy, American experienced an "ownership change" as defined in Section 382 of the Internal Revenue Code which could potentially limit the ability to utilize certain tax attributes including American's substantial net operating losses (NOLs). The general limitation rules for a debtor in a bankruptcy case are liberalized where the ownership change occurs upon emergence from bankruptcy. While American anticipates taking advantage of certain special rules for federal income tax purposes that would permit approximately $9.5 billion of the federal NOL Carryforwards to be utilized without regard to the annual limitation generally imposed by Section 382, there can be no assurance that these special rules will apply.</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Moreover, an ownership change subsequent to American's emergence from bankruptcy may further limit or effectively eliminate the ability to utilize American's NOL Carryforwards and other tax attributes. To reduce the risk of a potential adverse effect on American's ability to utilize the NOL Carryforwards, AAG's Certificate of Incorporation contains transfer restrictions applicable to certain substantial shareholders. Although the purpose of these transfer restrictions is to prevent an ownership change from occurring, there can be no assurance that an ownership change will not occur even with these transfer restrictions. A copy of AAG's Certificate of Incorporation was attached as Exhibit 3.1 to a Current Report on Form 8-K filed by AAG with the Securities and Exchange Commission on December 9, 2013.</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Reorganization Items, Net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in the Chapter 11 Cases. The following table summarizes the components included in reorganization items, net on the condensed consolidated statements of operations for the three months ended March 31, 2013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940" w:type="dxa"/>
            <w:vAlign w:val="bottom"/>
          </w:tcPr>
          <w:p>
            <w:pPr>
              <w:ind w:left="40"/>
              <w:spacing w:after="0"/>
              <w:rPr>
                <w:sz w:val="20"/>
                <w:szCs w:val="20"/>
                <w:color w:val="auto"/>
              </w:rPr>
            </w:pPr>
            <w:r>
              <w:rPr>
                <w:rFonts w:ascii="Arial" w:cs="Arial" w:eastAsia="Arial" w:hAnsi="Arial"/>
                <w:sz w:val="18"/>
                <w:szCs w:val="18"/>
                <w:color w:val="auto"/>
              </w:rPr>
              <w:t xml:space="preserve">Aircraft and facility financing renegotiations and rejections </w:t>
            </w:r>
            <w:r>
              <w:rPr>
                <w:rFonts w:ascii="Arial" w:cs="Arial" w:eastAsia="Arial" w:hAnsi="Arial"/>
                <w:sz w:val="25"/>
                <w:szCs w:val="25"/>
                <w:color w:val="auto"/>
                <w:vertAlign w:val="superscript"/>
              </w:rPr>
              <w:t>(1), (2)</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99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reorganization items, net</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0"/>
        </w:trPr>
        <w:tc>
          <w:tcPr>
            <w:tcW w:w="99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hanging="332"/>
        <w:spacing w:after="0" w:line="248" w:lineRule="auto"/>
        <w:tabs>
          <w:tab w:leader="none" w:pos="34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and the Debtors believed that it was probable the motion would be approved, and there was sufficient information to estimate the claim.</w:t>
      </w:r>
    </w:p>
    <w:p>
      <w:pPr>
        <w:spacing w:after="0" w:line="1" w:lineRule="exact"/>
        <w:rPr>
          <w:rFonts w:ascii="Arial" w:cs="Arial" w:eastAsia="Arial" w:hAnsi="Arial"/>
          <w:sz w:val="24"/>
          <w:szCs w:val="24"/>
          <w:color w:val="auto"/>
          <w:vertAlign w:val="superscript"/>
        </w:rPr>
      </w:pPr>
    </w:p>
    <w:p>
      <w:pPr>
        <w:jc w:val="both"/>
        <w:ind w:left="340" w:hanging="332"/>
        <w:spacing w:after="0" w:line="221"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Pursuant to the Plan, the Debtors agreed to allow certain post-petition unsecured claims on obligations. As a result, during the three months ended March 31, 2013, American recorded reorganization charges to adjust estimated allowed claim amounts previously recorded on rejected special facility revenue bonds of $127 million, which are included in the table above.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Bankruptcy Settlement Obligations</w:t>
      </w:r>
    </w:p>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components of Bankruptcy settlement obligations on American's condensed consolidated balance sheets are as follows (in millions) and reflect those included in AAG's consolidated financial statements. The settlement of these claims through the issuance of AAG common stock will result in an increase in additional paid-in capital for American.</w:t>
      </w:r>
    </w:p>
    <w:p>
      <w:pPr>
        <w:spacing w:after="0" w:line="208"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color w:val="auto"/>
              </w:rPr>
              <w:t>March 31, 2014</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89"/>
              </w:rPr>
              <w:t>December 31, 2013</w:t>
            </w:r>
          </w:p>
        </w:tc>
      </w:tr>
      <w:tr>
        <w:trPr>
          <w:trHeight w:val="27"/>
        </w:trPr>
        <w:tc>
          <w:tcPr>
            <w:tcW w:w="5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Single-Dip and Double-Dip equity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Labor-related deemed claim</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849</w:t>
            </w:r>
          </w:p>
        </w:tc>
      </w:tr>
      <w:tr>
        <w:trPr>
          <w:trHeight w:val="27"/>
        </w:trPr>
        <w:tc>
          <w:tcPr>
            <w:tcW w:w="5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AAG Series A Preferred Stock, while outstanding, voted and participated in accordance with the terms of the underlying Certificate of Designation. One quarter of the shares of AAG Series A Preferred Stock initially issued was mandatorily convertible on each of the 30th, 60th, 90th and 120th days after the Effective Date, subject to additional voluntary conversions. The initial stated value of each share of AAG Series A Preferred Stock is $25.00 and accrues dividends at 6.25% per annum, calculated daily, while outstanding. Additionally, AAG Series A Preferred Stock converts to AAG Common Stock based upon the volume weighted average price of the shares of AAG Common Stock on the five trading days immediately preceding the conversion date, at a 3.5% fixed discount, subject to a conversion price floor of $10.875 per share and a conversion price cap</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 $33.8080 per share, below or above which the conversion rate remains fixed. AAG Series A Preferred Stock outstanding at March 31, 2014 is included within the "Bankruptcy settlement obligations" line on American's condensed consolidated balance sheets. During the three months ended March 31, 2014, 123 million shares of AAG Series A Preferred Stock were converted into 103 million shares of AAG Common Stock in accordance with the Plan in settlement of American's bankruptcy settlement obligations. The AAG Series A Preferred Stock obligation for American was reduced by approximately $3.0 billion, offset in part by an increase in the number of shares of AAG Common Stock issued and expected to be issued to settle the obligation resulting from an increase in the price of AAG's Common Stock exceeding the conversion price cap. As of April 8, 2014, all shares of AAG Series A Preferred Stock had been converted into an aggregate of 124 million shares of AAG Common Stock for settlement of American's bankruptcy settlement obligations.</w:t>
      </w:r>
    </w:p>
    <w:p>
      <w:pPr>
        <w:spacing w:after="0" w:line="194"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8"/>
          <w:szCs w:val="18"/>
          <w:color w:val="auto"/>
        </w:rPr>
        <w:t>The Single-Dip equity obligations, while outstanding, do not vote or participate in accordance with the terms of the Plan. These equity contract obligations, representing the amount of total Single-Dip unsecured creditor obligations not satisfied through the issuance of AAG Series A Preferred Stock at the Effective Date, represent an unconditional obligation to transfer a variable number of shares of AAG Common Stock based predominantly on a fixed monetary amount known at inception, and, as such, are not treated as equity, but rather as liabilities until the 120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emergence. At the 120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emergence, AAG will issue a variable amount of AAG Common Stock necessary to satisfy the obligation amount at emergence, plus accrued dividends of 12% per annum, calculated daily, through the 120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emergence, based on the volume weighted average price of the shares of AAG Common Stock, at a 3.5% discount, as specified in the Plan and subject to there being a sufficient number of shares remaining for issuance to unsecured creditors under the Plan.</w:t>
      </w:r>
    </w:p>
    <w:p>
      <w:pPr>
        <w:spacing w:after="0" w:line="6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exchange for employees' contributions to the successful reorganization of AAG, including agreeing to reductions in pay and benefits, AAG and American agreed in the Plan to provide each employee group a deemed claim which was used to provide a distribution of a portion of the equity of the reorganized entity to those employees. Each employee group received a deemed claim amount based upon a fixed percentage of the distributions to be made to general unsecured claimholders. The fair value based on the expected number of shares to be distributed to satisfy this deemed claim, as adjusted, was approximately $1.5 billion. From the Effective Date through March 31, 2014, AAG has made distributions of $680 million in AAG Common Stock and paid approximately $380 million in cash to cover payroll taxes related to the equity distributions. As of March 31, 2014, the remaining liability to certain AMR labor groups and employees of $474 million is based upon the estimated fair value of the shares expected to be issued in satisfaction of such obligation, measured as if the obligation were settled using the trading price of AAG Common Stock at March 31, 2014. Increases in the trading price of AAG Common Stock after March 31, 2014 could cause a decrease in the fair value measurement of the remaining obligation, and vice-versa. American will record this obligation at fair value primarily through the 120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after emergence, at which time the obligation will be materially settled.</w:t>
      </w:r>
    </w:p>
    <w:p>
      <w:pPr>
        <w:spacing w:after="0" w:line="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March 31, 2014, American reduced the Bankruptcy settlement obligations by approximately $65 million, which is included in Special items, net on the condensed consolidated statements of operations, to reflect the estimated fair value of the shares expected to be issued in satisfaction of the outstanding Bankruptcy settlement obligations, measured as if the obligations were settled using the trading price of AAG Common Stock at March 31, 2014.</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8, 2014, AAG satisfied all of the AAG Series A Preferred Stock obligations, the Single-Dip equity obligations and the majority of the labor related deemed claim. After the April 8, 2014 distribution date, American had an obligation recorded related to the accrued Disputed Claims Reserve of approximately $335 million, which includes an amount expected to be issued to labor assuming the fully accrued Disputed Claims Reserve is allowed by the court and distributed. Allowed claims will receive 30.7553 shares, subject to reduction for expenses of the Disputed Claims Reserve, including tax liabilities, for each $1,000 of allowed claims. Accordingly, increases in the trading price of AAG Common Stock after March 31, 2014 could cause an increase in the value of the Disputed Claims Reserve, and vice-versa.</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Slot Divestiture</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stipulation for the Merger to be approved by the Department of Justice (DOJ), American was required to divest certain slots at Ronald Reagan Washington National Airport (DCA). As of December 31, 2013, the DCA slots to be divested were recorded as assets held for sale and included in Prepaid expenses and other on the consolidated balance sheet. During the three months ended March 31, 2014, American divested the required DCA slots and received $299 million in cash as well as 24 slots at John F. Kennedy Airport. American recognized a gain of $305 million related to the divestiture, which has been included in Special items, net in the condensed consolidated statement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Special Items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items, net on the condensed consolidated statements of operations is as follows (in millions):</w:t>
      </w:r>
    </w:p>
    <w:p>
      <w:pPr>
        <w:spacing w:after="0" w:line="333" w:lineRule="exact"/>
        <w:rPr>
          <w:sz w:val="20"/>
          <w:szCs w:val="20"/>
          <w:color w:val="auto"/>
        </w:rPr>
      </w:pPr>
    </w:p>
    <w:p>
      <w:pPr>
        <w:jc w:val="center"/>
        <w:ind w:left="4080"/>
        <w:spacing w:after="0"/>
        <w:rPr>
          <w:sz w:val="20"/>
          <w:szCs w:val="20"/>
          <w:color w:val="auto"/>
        </w:rPr>
      </w:pPr>
      <w:r>
        <w:rPr>
          <w:rFonts w:ascii="Arial" w:cs="Arial" w:eastAsia="Arial" w:hAnsi="Arial"/>
          <w:sz w:val="18"/>
          <w:szCs w:val="18"/>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16554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57" w:lineRule="exact"/>
        <w:rPr>
          <w:sz w:val="20"/>
          <w:szCs w:val="20"/>
          <w:color w:val="auto"/>
        </w:rPr>
      </w:pPr>
    </w:p>
    <w:p>
      <w:pPr>
        <w:ind w:left="6900"/>
        <w:spacing w:after="0"/>
        <w:tabs>
          <w:tab w:leader="none" w:pos="822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737225"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37225" cy="18034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6440" w:val="left"/>
          <w:tab w:leader="none" w:pos="7260" w:val="left"/>
          <w:tab w:leader="none" w:pos="7820" w:val="left"/>
          <w:tab w:leader="none" w:pos="8780" w:val="left"/>
        </w:tabs>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5"/>
          <w:szCs w:val="25"/>
          <w:color w:val="auto"/>
          <w:vertAlign w:val="superscript"/>
        </w:rPr>
        <w:t>(a)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(216)</w:t>
        <w:tab/>
        <w:t>$</w:t>
      </w:r>
      <w:r>
        <w:rPr>
          <w:sz w:val="20"/>
          <w:szCs w:val="20"/>
          <w:color w:val="auto"/>
        </w:rPr>
        <w:tab/>
      </w:r>
      <w:r>
        <w:rPr>
          <w:rFonts w:ascii="Arial" w:cs="Arial" w:eastAsia="Arial" w:hAnsi="Arial"/>
          <w:sz w:val="16"/>
          <w:szCs w:val="16"/>
          <w:color w:val="auto"/>
        </w:rPr>
        <w:t>71</w:t>
      </w:r>
    </w:p>
    <w:p>
      <w:pPr>
        <w:spacing w:after="0" w:line="20" w:lineRule="exact"/>
        <w:rPr>
          <w:sz w:val="20"/>
          <w:szCs w:val="20"/>
          <w:color w:val="auto"/>
        </w:rPr>
      </w:pPr>
    </w:p>
    <w:p>
      <w:pPr>
        <w:jc w:val="both"/>
        <w:ind w:left="340" w:hanging="332"/>
        <w:spacing w:after="0" w:line="233"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The 2014 first quarter mainline operating special items totaled a net credit of $216 million, which principally included a $305 million gain on the sale of slots at DCA and a net $56 million credit for bankruptcy related items primarily reflecting fair value adjustments for bankruptcy settlement obligations. These special credits were offset in part by $91 million of cash merger integration expenses including amounts related to the pilot memorandum of understanding, information technology, professional fees, severance, re-branding of aircraft and airport facilities, relocation and training as well as $43 million of non-cash compensation expense for merger equity awards.</w:t>
      </w:r>
    </w:p>
    <w:p>
      <w:pPr>
        <w:spacing w:after="0" w:line="41" w:lineRule="exact"/>
        <w:rPr>
          <w:rFonts w:ascii="Arial" w:cs="Arial" w:eastAsia="Arial" w:hAnsi="Arial"/>
          <w:sz w:val="25"/>
          <w:szCs w:val="25"/>
          <w:color w:val="auto"/>
          <w:vertAlign w:val="superscript"/>
        </w:rPr>
      </w:pPr>
    </w:p>
    <w:p>
      <w:pPr>
        <w:ind w:left="340"/>
        <w:spacing w:after="0" w:line="277" w:lineRule="auto"/>
        <w:rPr>
          <w:rFonts w:ascii="Arial" w:cs="Arial" w:eastAsia="Arial" w:hAnsi="Arial"/>
          <w:sz w:val="25"/>
          <w:szCs w:val="25"/>
          <w:color w:val="auto"/>
          <w:vertAlign w:val="superscript"/>
        </w:rPr>
      </w:pPr>
      <w:r>
        <w:rPr>
          <w:rFonts w:ascii="Arial" w:cs="Arial" w:eastAsia="Arial" w:hAnsi="Arial"/>
          <w:sz w:val="18"/>
          <w:szCs w:val="18"/>
          <w:color w:val="auto"/>
        </w:rPr>
        <w:t>The 2013 first quarter mainline operating special items included $28 million in merger related expenses and a $43 million charge for workers' compensation claims.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following additional amounts are also included in the condensed consolidated statements of operations as follows (in millions):</w:t>
      </w:r>
    </w:p>
    <w:p>
      <w:pPr>
        <w:spacing w:after="0" w:line="194"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p>
        </w:tc>
        <w:tc>
          <w:tcPr>
            <w:tcW w:w="2580" w:type="dxa"/>
            <w:vAlign w:val="bottom"/>
            <w:gridSpan w:val="5"/>
          </w:tcPr>
          <w:p>
            <w:pPr>
              <w:jc w:val="right"/>
              <w:ind w:right="50"/>
              <w:spacing w:after="0"/>
              <w:rPr>
                <w:sz w:val="20"/>
                <w:szCs w:val="20"/>
                <w:color w:val="auto"/>
              </w:rPr>
            </w:pPr>
            <w:r>
              <w:rPr>
                <w:rFonts w:ascii="Arial" w:cs="Arial" w:eastAsia="Arial" w:hAnsi="Arial"/>
                <w:sz w:val="18"/>
                <w:szCs w:val="18"/>
                <w:color w:val="auto"/>
                <w:w w:val="95"/>
              </w:rPr>
              <w:t>Three Months Ended March 31,</w:t>
            </w:r>
          </w:p>
        </w:tc>
      </w:tr>
      <w:tr>
        <w:trPr>
          <w:trHeight w:val="27"/>
        </w:trPr>
        <w:tc>
          <w:tcPr>
            <w:tcW w:w="6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27"/>
        </w:trPr>
        <w:tc>
          <w:tcPr>
            <w:tcW w:w="64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Regional operating special items, net</w:t>
            </w: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4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25"/>
                <w:szCs w:val="25"/>
                <w:color w:val="auto"/>
                <w:vertAlign w:val="superscript"/>
              </w:rPr>
              <w:t>(b)</w:t>
            </w:r>
          </w:p>
        </w:tc>
        <w:tc>
          <w:tcPr>
            <w:tcW w:w="9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64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Reorganization items, net </w:t>
            </w:r>
            <w:r>
              <w:rPr>
                <w:rFonts w:ascii="Arial" w:cs="Arial" w:eastAsia="Arial" w:hAnsi="Arial"/>
                <w:sz w:val="25"/>
                <w:szCs w:val="25"/>
                <w:color w:val="auto"/>
                <w:vertAlign w:val="superscript"/>
              </w:rPr>
              <w:t>(c)</w:t>
            </w:r>
          </w:p>
        </w:tc>
        <w:tc>
          <w:tcPr>
            <w:tcW w:w="90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320"/>
        </w:trPr>
        <w:tc>
          <w:tcPr>
            <w:tcW w:w="6460" w:type="dxa"/>
            <w:vAlign w:val="bottom"/>
          </w:tcPr>
          <w:p>
            <w:pPr>
              <w:ind w:left="2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5"/>
                <w:szCs w:val="25"/>
                <w:color w:val="auto"/>
                <w:vertAlign w:val="superscript"/>
              </w:rPr>
              <w:t>(d)</w:t>
            </w:r>
          </w:p>
        </w:tc>
        <w:tc>
          <w:tcPr>
            <w:tcW w:w="9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bl>
    <w:p>
      <w:pPr>
        <w:ind w:left="340" w:right="20" w:hanging="332"/>
        <w:spacing w:after="0" w:line="211"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The 2014 first quarter nonoperating special items of $44 million were principally due to non-cash interest accretion of $27 million on the bankruptcy settlement obligations.</w:t>
      </w:r>
    </w:p>
    <w:p>
      <w:pPr>
        <w:spacing w:after="0" w:line="41" w:lineRule="exact"/>
        <w:rPr>
          <w:rFonts w:ascii="Arial" w:cs="Arial" w:eastAsia="Arial" w:hAnsi="Arial"/>
          <w:sz w:val="25"/>
          <w:szCs w:val="25"/>
          <w:color w:val="auto"/>
          <w:vertAlign w:val="superscript"/>
        </w:rPr>
      </w:pPr>
    </w:p>
    <w:p>
      <w:pPr>
        <w:ind w:left="340"/>
        <w:spacing w:after="0" w:line="277" w:lineRule="auto"/>
        <w:rPr>
          <w:rFonts w:ascii="Arial" w:cs="Arial" w:eastAsia="Arial" w:hAnsi="Arial"/>
          <w:sz w:val="25"/>
          <w:szCs w:val="25"/>
          <w:color w:val="auto"/>
          <w:vertAlign w:val="superscript"/>
        </w:rPr>
      </w:pPr>
      <w:r>
        <w:rPr>
          <w:rFonts w:ascii="Arial" w:cs="Arial" w:eastAsia="Arial" w:hAnsi="Arial"/>
          <w:sz w:val="18"/>
          <w:szCs w:val="18"/>
          <w:color w:val="auto"/>
        </w:rPr>
        <w:t>The 2013 first quarter nonoperating special items consisted of interest charges to recognize post-petition interest expense on unsecured obligations pursuant to the Plan.</w:t>
      </w:r>
    </w:p>
    <w:p>
      <w:pPr>
        <w:spacing w:after="0" w:line="8"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 the 2013 first quarter, American recognized reorganization expenses as a result of the filing of the Chapter 11 Cases. These amounts consisted primarily of estimated allowed claim amounts and professional fees.</w:t>
      </w:r>
    </w:p>
    <w:p>
      <w:pPr>
        <w:spacing w:after="0" w:line="1" w:lineRule="exact"/>
        <w:rPr>
          <w:rFonts w:ascii="Arial" w:cs="Arial" w:eastAsia="Arial" w:hAnsi="Arial"/>
          <w:sz w:val="25"/>
          <w:szCs w:val="25"/>
          <w:color w:val="auto"/>
          <w:vertAlign w:val="superscript"/>
        </w:rPr>
      </w:pPr>
    </w:p>
    <w:p>
      <w:pPr>
        <w:ind w:left="340" w:hanging="332"/>
        <w:spacing w:after="0" w:line="234" w:lineRule="auto"/>
        <w:tabs>
          <w:tab w:leader="none" w:pos="34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The 2014 first quarter included a special $7 million non-cash deferred income tax provision related to certain indefinite-lived intangible assets.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color w:val="auto"/>
              </w:rPr>
              <w:t>March 31,</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ind w:right="57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w w:val="89"/>
              </w:rPr>
              <w:t>December 31, 2013</w:t>
            </w:r>
          </w:p>
        </w:tc>
      </w:tr>
      <w:tr>
        <w:trPr>
          <w:trHeight w:val="33"/>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Secured</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w w:val="99"/>
              </w:rPr>
              <w:t>Secured indebtedness, fixed and variable interest rates ranging from 1.43% to 8.10%, maturing from 2014 to 2023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1,966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2,140</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Aircraft enhanced equipment trust certificates (EETCs), fixed interest rates ranging from 4.00% to 7.00%, maturing from</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 to 2025</w:t>
            </w:r>
          </w:p>
        </w:tc>
        <w:tc>
          <w:tcPr>
            <w:tcW w:w="2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Special facility revenue bonds, fixed interest rates ranging from 7.125% to 8.50%, maturing from 2016 to 2031</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1,313</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7.50% senior secured notes, interest only payments until due in 2016</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Senior secured credit facility, variable interest rate of 3.75%, installments through 2019</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1,886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1,891</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AAdvantage Miles advance purchase, effective rate of 8.30%, installments through 2017</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secured obligations, fixed interest rates ranging from 5.20% to 12.20%, maturing from 2014 to 2035</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380</w:t>
            </w:r>
          </w:p>
        </w:tc>
      </w:tr>
      <w:tr>
        <w:trPr>
          <w:trHeight w:val="33"/>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10,851</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i w:val="1"/>
                <w:iCs w:val="1"/>
                <w:color w:val="auto"/>
              </w:rPr>
              <w:t>Unsecured</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Affiliate unsecured obligations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17"/>
        </w:trPr>
        <w:tc>
          <w:tcPr>
            <w:tcW w:w="8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long-term debt and capital lease obligations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10,878</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Less: total unamortized debt discount</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Less: current maturities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w:t>
            </w: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Long-term debt and capital lease obligations, net of current maturities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9,590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9,852</w:t>
            </w:r>
          </w:p>
        </w:tc>
      </w:tr>
      <w:tr>
        <w:trPr>
          <w:trHeight w:val="33"/>
        </w:trPr>
        <w:tc>
          <w:tcPr>
            <w:tcW w:w="8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Senior Secured Notes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2014, American prepaid $100 million of its 7.50% senior secured notes at a redemption price of 103% of principal amount plus accrued and unpaid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Merger resulted in a statutory "ownership change" on December 9, 2013, as defined in Section 382 of the Internal Revenue Code of 1986, as amended (Section 382), which limits American's future ability to utilize NOLs generated before the ownership change and certain subsequently recognized "built-in" losses and deductions, if any, existing as of the date of the ownership change. The general limitation rules for a debtor in a bankruptcy case are liberalized where an ownership change occurs upon emergence from bankruptcy. American's ability to utilize any new NOLs arising after the ownership change is not affected.</w:t>
      </w:r>
    </w:p>
    <w:p>
      <w:pPr>
        <w:spacing w:after="0" w:line="1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December 31, 2013, American had approximately $9.5 billion of gross NOLs to reduce future federal taxable income, the majority of which are expected to be available for use in 2014, subject to the Section 382 limitation described above. The federal NOLs will expire beginning in 2022 if unused. These NOLs include an unrealized tax benefit of $647 million related to the implementation of share-based compensation accounting guidance that will be recorded in equity when realized. American also had approximately $3.8 billion of gross NOLs to reduce future state taxable income at December 31, 2013, which will expire in years 2014 through 2033 if unused. At December 31, 2013, American had an Alternative Minimum Tax (AMT) credit carryforward of approximately $467 million available for federal income tax purposes, which is available for an indefinite period. American's net deferred tax assets, which include the NOLs, are subject to a full valuation allowance. At December 31, 2013, the federal and state valuation allowances were $4.9 billion and $378 million, respectively. In accordance with GAAP, utilization of the NOLs after December 9, 2013 will result in a corresponding decrease in the valuation allowance and offset American's tax provision dollar for dollar.</w:t>
      </w:r>
    </w:p>
    <w:p>
      <w:pPr>
        <w:spacing w:after="0" w:line="1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2014, American utilized NOLs to reduce its income tax obligation. However, American recorded a special $7 million non-cash deferred income tax provision related to certain indefinite-lived intangible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assets and $4 million of state and international income tax expense related to certain states and countries where NOLs were limited or unavailable to be used.</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2013, American reported a loss before income taxes and recorded an income tax benefit of approximately $30 million as a result of the American Taxpayer Relief Act of 2012.</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profitable, American is ordinarily subject to AMT. However as a result of a special tax election made in 2009, American was able to utilize AMT NOLs to fully offset its AMT taxable income for the three months ended March 31,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American utilizes the market approach to measure fair value for its financial assets and liabilities. The market approach uses prices and other relevant information generated by market transactions involving identical or comparable assets or liabilities. American's short-term investments classified as Level 2 primarily utilize broker quotes in a non-active market for valuation of these securities. American's fuel derivative contracts, which consist primarily of call options, collars (consisting of a purchased call option and a sold put option) and call spreads (consisting of a purchased call option and a sold call option), are valued using energy and commodity market data which is derived by combining raw inputs with quantitative models and processes to generate forward curves and volatilities. Jet fuel, crude oil, and ultra low sulfur diesel are the primary underlying commodities in the hedge portfolio. No changes in valuation techniques or inputs occurred during the three months ended March 31, 2014.</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and liabilities measured at fair value on a recurring basis are summarized below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60" w:type="dxa"/>
            <w:vAlign w:val="bottom"/>
            <w:gridSpan w:val="9"/>
          </w:tcPr>
          <w:p>
            <w:pPr>
              <w:jc w:val="right"/>
              <w:ind w:right="150"/>
              <w:spacing w:after="0"/>
              <w:rPr>
                <w:sz w:val="20"/>
                <w:szCs w:val="20"/>
                <w:color w:val="auto"/>
              </w:rPr>
            </w:pPr>
            <w:r>
              <w:rPr>
                <w:rFonts w:ascii="Arial" w:cs="Arial" w:eastAsia="Arial" w:hAnsi="Arial"/>
                <w:sz w:val="18"/>
                <w:szCs w:val="18"/>
                <w:color w:val="auto"/>
                <w:w w:val="89"/>
              </w:rPr>
              <w:t>Fair Value Measurements as of March 31, 2014</w:t>
            </w:r>
          </w:p>
        </w:tc>
        <w:tc>
          <w:tcPr>
            <w:tcW w:w="11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Description</w:t>
            </w:r>
          </w:p>
        </w:tc>
        <w:tc>
          <w:tcPr>
            <w:tcW w:w="3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Level 3</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5"/>
                <w:szCs w:val="25"/>
                <w:color w:val="auto"/>
                <w:vertAlign w:val="superscript"/>
              </w:rPr>
              <w:t>(1), (2)</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Government agency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Repurchase agreements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Bank notes / Certificates of deposit / Time deposits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70"/>
        </w:trPr>
        <w:tc>
          <w:tcPr>
            <w:tcW w:w="5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Fuel derivative contracts, net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5,728</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4,914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17145</wp:posOffset>
            </wp:positionV>
            <wp:extent cx="39706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3" w:lineRule="exact"/>
        <w:rPr>
          <w:sz w:val="20"/>
          <w:szCs w:val="20"/>
          <w:color w:val="auto"/>
        </w:rPr>
      </w:pPr>
    </w:p>
    <w:p>
      <w:pPr>
        <w:ind w:left="540" w:hanging="532"/>
        <w:spacing w:after="0" w:line="216" w:lineRule="auto"/>
        <w:tabs>
          <w:tab w:leader="none" w:pos="216"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Unrealized gains or losses on short-term investments, restricted cash and short-term investments, and derivatives qualifying for hedge accounting are recorded in Accumulated other comprehensive income (loss) at each measurement date.</w:t>
      </w:r>
    </w:p>
    <w:p>
      <w:pPr>
        <w:spacing w:after="0" w:line="1" w:lineRule="exact"/>
        <w:rPr>
          <w:rFonts w:ascii="Arial" w:cs="Arial" w:eastAsia="Arial" w:hAnsi="Arial"/>
          <w:sz w:val="25"/>
          <w:szCs w:val="25"/>
          <w:color w:val="auto"/>
          <w:vertAlign w:val="superscript"/>
        </w:rPr>
      </w:pPr>
    </w:p>
    <w:p>
      <w:pPr>
        <w:ind w:left="540" w:hanging="532"/>
        <w:spacing w:after="0" w:line="209" w:lineRule="auto"/>
        <w:tabs>
          <w:tab w:leader="none" w:pos="216"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American's short-term investments mature in one year or less except for $441 million of U.S. government agency investments and $2.1 billion of corporate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-555625</wp:posOffset>
            </wp:positionV>
            <wp:extent cx="39706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1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Level 1 to Level 2 transfers during the three months ended March 31, 2014. American's policy regarding the recording of transfers between levels is to reflect any such transfers at the end of the reporting period.</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American's short-term investments are classified as available-for-sale and stated at fair value. Unrealized gains and losses are reflected as a component of Accumulated other comprehensive income (loss).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American is also party to certain interest rate swap agreements that are accounted for as cash flow hedges. Ineffectiveness for these instruments is required to be measured at each reporting period. The ineffectiveness and fair value associated with all of American's interest rate cash flow hedges for all periods presented was not material.</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Venezuela Cash and Short-term Investments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2014, approximately $750 million of the American's unrestricted cash balance was held in Venezuelan bolivars, valued at the weighted average applicable exchange rate of 6.32 bolivars to the dollar. This includes approximately $94 million valued at 4.3 bolivars, approximately $611 million valued at 6.3 bolivars, and approximately $45 million valued at 10.7 bolivars, with the rate depending on the date American submitted its repatriation request to the Venezuelan government. In the first quarter of 2014, the Venezuelan government announced that a newly-implemented system (SICAD I) will determine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exchange rate (which fluctuates as determined by weekly auctions and at March 31, 2014 was 10.7 bolivars to the dollar) for repatriation of cash proceeds from ticket sales after January 1, 2014, and introduced new procedures for approval of repatriation of local currency. American is continuing to work with Venezuelan authorities regarding the timing and exchange rate applicable to the repatriation of funds held in local currency, is monitoring this situation closely and continues to evaluate its holdings of Venezuelan bolivars for potential impairment. See Part II, Item 1A. - Risk Factors "</w:t>
      </w:r>
      <w:r>
        <w:rPr>
          <w:rFonts w:ascii="Arial" w:cs="Arial" w:eastAsia="Arial" w:hAnsi="Arial"/>
          <w:sz w:val="16"/>
          <w:szCs w:val="16"/>
          <w:i w:val="1"/>
          <w:iCs w:val="1"/>
          <w:color w:val="auto"/>
        </w:rPr>
        <w:t>We operate a global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6"/>
          <w:szCs w:val="16"/>
          <w:color w:val="auto"/>
        </w:rPr>
        <w:t>for additional discussion of these and other currency risks.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Debt</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fair values of American’s long-term debt were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and estimated fair values of American’s long-term debt, including current maturities, were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420" w:type="dxa"/>
            <w:vAlign w:val="bottom"/>
          </w:tcPr>
          <w:p>
            <w:pPr>
              <w:jc w:val="right"/>
              <w:spacing w:after="0"/>
              <w:rPr>
                <w:sz w:val="20"/>
                <w:szCs w:val="20"/>
                <w:color w:val="auto"/>
              </w:rPr>
            </w:pPr>
            <w:r>
              <w:rPr>
                <w:rFonts w:ascii="Arial" w:cs="Arial" w:eastAsia="Arial" w:hAnsi="Arial"/>
                <w:sz w:val="18"/>
                <w:szCs w:val="18"/>
                <w:color w:val="auto"/>
                <w:w w:val="89"/>
              </w:rPr>
              <w:t>2014</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4"/>
          </w:tcPr>
          <w:p>
            <w:pPr>
              <w:jc w:val="right"/>
              <w:ind w:right="830"/>
              <w:spacing w:after="0"/>
              <w:rPr>
                <w:sz w:val="20"/>
                <w:szCs w:val="20"/>
                <w:color w:val="auto"/>
              </w:rPr>
            </w:pPr>
            <w:r>
              <w:rPr>
                <w:rFonts w:ascii="Arial" w:cs="Arial" w:eastAsia="Arial" w:hAnsi="Arial"/>
                <w:sz w:val="18"/>
                <w:szCs w:val="18"/>
                <w:color w:val="auto"/>
              </w:rPr>
              <w:t>December 31, 2013</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Fair</w:t>
            </w:r>
          </w:p>
        </w:tc>
        <w:tc>
          <w:tcPr>
            <w:tcW w:w="300" w:type="dxa"/>
            <w:vAlign w:val="bottom"/>
          </w:tcPr>
          <w:p>
            <w:pPr>
              <w:spacing w:after="0"/>
              <w:rPr>
                <w:sz w:val="19"/>
                <w:szCs w:val="19"/>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Carrying</w:t>
            </w:r>
          </w:p>
        </w:tc>
        <w:tc>
          <w:tcPr>
            <w:tcW w:w="360" w:type="dxa"/>
            <w:vAlign w:val="bottom"/>
          </w:tcPr>
          <w:p>
            <w:pPr>
              <w:spacing w:after="0"/>
              <w:rPr>
                <w:sz w:val="19"/>
                <w:szCs w:val="19"/>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color w:val="auto"/>
                <w:w w:val="90"/>
              </w:rPr>
              <w:t>Fair</w:t>
            </w:r>
          </w:p>
        </w:tc>
      </w:tr>
      <w:tr>
        <w:trPr>
          <w:trHeight w:val="230"/>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Value</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center"/>
              <w:ind w:right="660"/>
              <w:spacing w:after="0"/>
              <w:rPr>
                <w:sz w:val="20"/>
                <w:szCs w:val="20"/>
                <w:color w:val="auto"/>
              </w:rPr>
            </w:pPr>
            <w:r>
              <w:rPr>
                <w:rFonts w:ascii="Arial" w:cs="Arial" w:eastAsia="Arial" w:hAnsi="Arial"/>
                <w:sz w:val="18"/>
                <w:szCs w:val="18"/>
                <w:color w:val="auto"/>
                <w:w w:val="86"/>
              </w:rPr>
              <w:t>Value</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Value</w:t>
            </w:r>
          </w:p>
        </w:tc>
        <w:tc>
          <w:tcPr>
            <w:tcW w:w="360" w:type="dxa"/>
            <w:vAlign w:val="bottom"/>
          </w:tcPr>
          <w:p>
            <w:pPr>
              <w:spacing w:after="0"/>
              <w:rPr>
                <w:sz w:val="20"/>
                <w:szCs w:val="20"/>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color w:val="auto"/>
                <w:w w:val="86"/>
              </w:rPr>
              <w:t>Value</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components of net periodic benefit cost for the three months ended March 31, 2014 and 2013 (in millions):</w:t>
      </w:r>
    </w:p>
    <w:p>
      <w:pPr>
        <w:sectPr>
          <w:pgSz w:w="11900" w:h="16838" w:orient="portrait"/>
          <w:cols w:equalWidth="0" w:num="1">
            <w:col w:w="11420"/>
          </w:cols>
          <w:pgMar w:left="240" w:top="125" w:right="239" w:bottom="1440" w:gutter="0" w:footer="0" w:header="0"/>
        </w:sectPr>
      </w:pPr>
    </w:p>
    <w:p>
      <w:pPr>
        <w:spacing w:after="0" w:line="183" w:lineRule="exact"/>
        <w:rPr>
          <w:sz w:val="20"/>
          <w:szCs w:val="20"/>
          <w:color w:val="auto"/>
        </w:rPr>
      </w:pPr>
    </w:p>
    <w:p>
      <w:pPr>
        <w:jc w:val="center"/>
        <w:ind w:left="4600"/>
        <w:spacing w:after="0"/>
        <w:rPr>
          <w:sz w:val="20"/>
          <w:szCs w:val="20"/>
          <w:color w:val="auto"/>
        </w:rPr>
      </w:pPr>
      <w:r>
        <w:rPr>
          <w:rFonts w:ascii="Arial" w:cs="Arial" w:eastAsia="Arial" w:hAnsi="Arial"/>
          <w:sz w:val="18"/>
          <w:szCs w:val="18"/>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31750</wp:posOffset>
            </wp:positionV>
            <wp:extent cx="21437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jc w:val="center"/>
        <w:ind w:left="4600"/>
        <w:spacing w:after="0"/>
        <w:rPr>
          <w:sz w:val="20"/>
          <w:szCs w:val="20"/>
          <w:color w:val="auto"/>
        </w:rPr>
      </w:pPr>
      <w:r>
        <w:rPr>
          <w:rFonts w:ascii="Arial" w:cs="Arial" w:eastAsia="Arial" w:hAnsi="Arial"/>
          <w:sz w:val="16"/>
          <w:szCs w:val="16"/>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46355</wp:posOffset>
            </wp:positionV>
            <wp:extent cx="21437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80" w:lineRule="exact"/>
        <w:rPr>
          <w:sz w:val="20"/>
          <w:szCs w:val="20"/>
          <w:color w:val="auto"/>
        </w:rPr>
      </w:pPr>
    </w:p>
    <w:p>
      <w:pPr>
        <w:ind w:left="5020"/>
        <w:spacing w:after="0"/>
        <w:tabs>
          <w:tab w:leader="none" w:pos="674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Retiree Medical and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46355</wp:posOffset>
            </wp:positionV>
            <wp:extent cx="21609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80"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31750</wp:posOffset>
            </wp:positionV>
            <wp:extent cx="21609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7" w:lineRule="exact"/>
        <w:rPr>
          <w:sz w:val="20"/>
          <w:szCs w:val="20"/>
          <w:color w:val="auto"/>
        </w:rPr>
      </w:pPr>
    </w:p>
    <w:p>
      <w:pPr>
        <w:ind w:left="220"/>
        <w:spacing w:after="0"/>
        <w:tabs>
          <w:tab w:leader="none" w:pos="194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p>
    <w:p>
      <w:pPr>
        <w:spacing w:after="0" w:line="30" w:lineRule="exact"/>
        <w:rPr>
          <w:sz w:val="20"/>
          <w:szCs w:val="20"/>
          <w:color w:val="auto"/>
        </w:rPr>
      </w:pPr>
    </w:p>
    <w:p>
      <w:pPr>
        <w:sectPr>
          <w:pgSz w:w="11900" w:h="16838" w:orient="portrait"/>
          <w:cols w:equalWidth="0" w:num="2">
            <w:col w:w="7580" w:space="720"/>
            <w:col w:w="31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3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Components of net periodic benefit cost:</w:t>
            </w:r>
          </w:p>
        </w:tc>
        <w:tc>
          <w:tcPr>
            <w:tcW w:w="6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61"/>
        </w:trPr>
        <w:tc>
          <w:tcPr>
            <w:tcW w:w="40" w:type="dxa"/>
            <w:vAlign w:val="bottom"/>
          </w:tcPr>
          <w:p>
            <w:pPr>
              <w:spacing w:after="0"/>
              <w:rPr>
                <w:sz w:val="5"/>
                <w:szCs w:val="5"/>
                <w:color w:val="auto"/>
              </w:rPr>
            </w:pPr>
          </w:p>
        </w:tc>
        <w:tc>
          <w:tcPr>
            <w:tcW w:w="2920" w:type="dxa"/>
            <w:vAlign w:val="bottom"/>
            <w:tcBorders>
              <w:top w:val="single" w:sz="8" w:color="auto"/>
            </w:tcBorders>
          </w:tcPr>
          <w:p>
            <w:pPr>
              <w:spacing w:after="0"/>
              <w:rPr>
                <w:sz w:val="5"/>
                <w:szCs w:val="5"/>
                <w:color w:val="auto"/>
              </w:rPr>
            </w:pPr>
          </w:p>
        </w:tc>
        <w:tc>
          <w:tcPr>
            <w:tcW w:w="1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Service cost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color w:val="auto"/>
              </w:rPr>
              <w:t>Interest cost</w:t>
            </w:r>
          </w:p>
        </w:tc>
        <w:tc>
          <w:tcPr>
            <w:tcW w:w="6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Expected return on assets</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43"/>
        </w:trPr>
        <w:tc>
          <w:tcPr>
            <w:tcW w:w="40" w:type="dxa"/>
            <w:vAlign w:val="bottom"/>
          </w:tcPr>
          <w:p>
            <w:pPr>
              <w:spacing w:after="0"/>
              <w:rPr>
                <w:sz w:val="21"/>
                <w:szCs w:val="21"/>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color w:val="auto"/>
              </w:rPr>
              <w:t>Settlements</w:t>
            </w:r>
          </w:p>
        </w:tc>
        <w:tc>
          <w:tcPr>
            <w:tcW w:w="6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340" w:type="dxa"/>
            <w:vAlign w:val="bottom"/>
            <w:gridSpan w:val="2"/>
          </w:tcPr>
          <w:p>
            <w:pPr>
              <w:ind w:left="460"/>
              <w:spacing w:after="0"/>
              <w:rPr>
                <w:sz w:val="20"/>
                <w:szCs w:val="20"/>
                <w:color w:val="auto"/>
              </w:rPr>
            </w:pPr>
            <w:r>
              <w:rPr>
                <w:rFonts w:ascii="Arial" w:cs="Arial" w:eastAsia="Arial" w:hAnsi="Arial"/>
                <w:sz w:val="18"/>
                <w:szCs w:val="18"/>
                <w:color w:val="auto"/>
              </w:rPr>
              <w:t>Prior service cost</w:t>
            </w:r>
          </w:p>
        </w:tc>
        <w:tc>
          <w:tcPr>
            <w:tcW w:w="6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(61)</w:t>
            </w: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3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Unrecognized net loss (gain)</w:t>
            </w: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r>
      <w:tr>
        <w:trPr>
          <w:trHeight w:val="237"/>
        </w:trPr>
        <w:tc>
          <w:tcPr>
            <w:tcW w:w="40" w:type="dxa"/>
            <w:vAlign w:val="bottom"/>
          </w:tcPr>
          <w:p>
            <w:pPr>
              <w:spacing w:after="0"/>
              <w:rPr>
                <w:sz w:val="20"/>
                <w:szCs w:val="20"/>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color w:val="auto"/>
              </w:rPr>
              <w:t>Net periodic benefit cost</w:t>
            </w: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(54)</w:t>
            </w: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November 1, 2012, American's defined benefit pension plans were frozen.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American is required to make minimum contributions to its defined benefit pension plans under the minimum funding requirements of ERISA, the Pension Funding Equity Act of 2004, the Pension Protection Act of 2006, the Pension Relief Act of 2010, and the Moving Ahead for Progress in the 21st Century Act of 2012. During the first three months of 2014, American contributed $34 million to its defined benefit pension plans. On April 15, 2014, American contributed an additional $37 million to its defined benefit pension plans. During the first three months of 2013, American contributed $33 million to its defined benefit plans covering post-petition periods. Prior to emergence from bankruptcy, American made a $385 million contribution to its defined benefit plans in connection with missed contributions during Chapter 11 as well as interest and penalty interest.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7660" w:hanging="652"/>
        <w:spacing w:after="0" w:line="495" w:lineRule="auto"/>
        <w:tabs>
          <w:tab w:leader="none" w:pos="282"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and Risk Management </w:t>
      </w:r>
      <w:r>
        <w:rPr>
          <w:rFonts w:ascii="Arial" w:cs="Arial" w:eastAsia="Arial" w:hAnsi="Arial"/>
          <w:sz w:val="16"/>
          <w:szCs w:val="16"/>
          <w:b w:val="1"/>
          <w:bCs w:val="1"/>
          <w:i w:val="1"/>
          <w:iCs w:val="1"/>
          <w:color w:val="auto"/>
        </w:rPr>
        <w:t>Fuel Price Risk Management</w:t>
      </w:r>
    </w:p>
    <w:p>
      <w:pPr>
        <w:spacing w:after="0" w:line="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2014, American had fuel derivative contracts outstanding covering 15 million barrels of jet fuel that will be settled over the next fifteen months. American does not hold or issue derivative financial instruments for trading purposes. American has not entered into any fuel hedges since the Effective Date, and its current policy is not to do so.</w:t>
      </w:r>
    </w:p>
    <w:p>
      <w:pPr>
        <w:spacing w:after="0" w:line="1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accordance with GAAP, American assesses, both at the inception of each hedge and on an ongoing basis, whether the derivatives that are used in its hedging transactions are highly effective in offsetting changes in cash flows of the hedged items. Derivatives that meet the requirements are granted special hedge accounting treatment and American’s hedges generally meet these requirements. Accordingly, American’s fuel derivative contracts are accounted for as cash flow hedges and the fair value of American’s hedging contracts is recorded in current assets or current liabilities in the accompanying condensed consolidated balance sheets, until the underlying jet fuel is purchased. American determines the ineffective portion of its fuel hedge contracts by comparing the cumulative change in the total value of the fuel hedge contract, or group of fuel hedge contracts, to the cumulative change in a hypothetical jet fuel hedge. If the total cumulative change in value of the fuel hedge contract more than offsets the total cumulative change in a hypothetical jet fuel hedge, the difference is considered ineffective and is immediately recognized as a component of aircraft fuel expense. Effective gains or losses on fuel hedging contracts are deferred in accumulated other comprehensive income (loss) (OCI) and are recognized in earnings as a component of aircraft fuel expense when the underlying jet fuel being hedged is used.</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Ineffectiveness is inherent in hedging jet fuel with derivative positions based in crude oil or other crude oil related commodities. American assesses, both at the inception of each hedge and on an ongoing basis, whether the derivatives that are used in its hedging transactions are highly effective in offsetting changes in cash flows of the hedged items. In doing so, American uses a regression model to determine the correlation of the change in prices of the commodities used to hedge jet fuel (e.g., NY Harbor Ultra Low Sulfur Diesel) to the change in the price of jet fuel. American also monitors the actual dollar offset of the hedges’ market values as compared to hypothetical jet fuel hedges. The fuel hedge contracts are generally deemed to be "highly effective" if the R-squared is greater than 80% and the dollar offset correlation is within 80% to 125%. American discontinues hedge accounting prospectively if it determines that a derivative is no longer expected to be highly effective as a hedge or if it decides to discontinue the hedging relationship. Subsequently, any changes in the fair value of these derivatives are marked to market through earnings in the period of change.</w:t>
      </w:r>
    </w:p>
    <w:p>
      <w:pPr>
        <w:spacing w:after="0" w:line="1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three months ended March 31, 2014 and 2013, American recognized net gains/(losses) of approximately $(2) million and $8 million, respectively, as a component of aircraft fuel expense on the accompanying condensed consolidated statements of operations related to its fuel hedging agreements, including the ineffective portion of the hedges. The net fair value of American’s fuel hedging agreements at March 31, 2014 and December 31, 2013, representing the amount American would receive upon termination of the agreements (net of settled contract assets), totaled $48 million and $107 million, respectively. As of March 31, 2014, American estimates that during the next twelve months it will reclassify from OCI into earnings approximately $3 million in net losses (based on prices as of March 31, 2014) related to its fuel derivative hedges.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impact of aircraft fuel derivative instruments (all cash flow hedges) on American's condensed consolidated statements of operations is depicted below (in millions):</w:t>
      </w:r>
    </w:p>
    <w:p>
      <w:pPr>
        <w:spacing w:after="0" w:line="112" w:lineRule="exact"/>
        <w:rPr>
          <w:sz w:val="20"/>
          <w:szCs w:val="20"/>
          <w:color w:val="auto"/>
        </w:rPr>
      </w:pPr>
    </w:p>
    <w:tbl>
      <w:tblPr>
        <w:tblLayout w:type="fixed"/>
        <w:tblInd w:w="1160" w:type="dxa"/>
        <w:tblCellMar>
          <w:top w:w="0" w:type="dxa"/>
          <w:left w:w="0" w:type="dxa"/>
          <w:bottom w:w="0" w:type="dxa"/>
          <w:right w:w="0" w:type="dxa"/>
        </w:tblCellMar>
      </w:tblPr>
      <w:tr>
        <w:trPr>
          <w:trHeight w:val="194"/>
        </w:trPr>
        <w:tc>
          <w:tcPr>
            <w:tcW w:w="584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Location in</w:t>
            </w:r>
          </w:p>
        </w:tc>
        <w:tc>
          <w:tcPr>
            <w:tcW w:w="1940" w:type="dxa"/>
            <w:vAlign w:val="bottom"/>
            <w:gridSpan w:val="6"/>
          </w:tcPr>
          <w:p>
            <w:pPr>
              <w:jc w:val="center"/>
              <w:spacing w:after="0"/>
              <w:rPr>
                <w:sz w:val="20"/>
                <w:szCs w:val="20"/>
                <w:color w:val="auto"/>
              </w:rPr>
            </w:pPr>
            <w:r>
              <w:rPr>
                <w:rFonts w:ascii="Arial" w:cs="Arial" w:eastAsia="Arial" w:hAnsi="Arial"/>
                <w:sz w:val="16"/>
                <w:szCs w:val="16"/>
                <w:color w:val="auto"/>
                <w:w w:val="92"/>
              </w:rPr>
              <w:t>Three Months Ended March</w:t>
            </w:r>
          </w:p>
        </w:tc>
        <w:tc>
          <w:tcPr>
            <w:tcW w:w="0" w:type="dxa"/>
            <w:vAlign w:val="bottom"/>
          </w:tcPr>
          <w:p>
            <w:pPr>
              <w:spacing w:after="0"/>
              <w:rPr>
                <w:sz w:val="1"/>
                <w:szCs w:val="1"/>
                <w:color w:val="auto"/>
              </w:rPr>
            </w:pPr>
          </w:p>
        </w:tc>
      </w:tr>
      <w:tr>
        <w:trPr>
          <w:trHeight w:val="103"/>
        </w:trPr>
        <w:tc>
          <w:tcPr>
            <w:tcW w:w="5840" w:type="dxa"/>
            <w:vAlign w:val="bottom"/>
          </w:tcPr>
          <w:p>
            <w:pPr>
              <w:spacing w:after="0"/>
              <w:rPr>
                <w:sz w:val="8"/>
                <w:szCs w:val="8"/>
                <w:color w:val="auto"/>
              </w:rPr>
            </w:pPr>
          </w:p>
        </w:tc>
        <w:tc>
          <w:tcPr>
            <w:tcW w:w="1320" w:type="dxa"/>
            <w:vAlign w:val="bottom"/>
            <w:gridSpan w:val="2"/>
          </w:tcPr>
          <w:p>
            <w:pPr>
              <w:jc w:val="center"/>
              <w:ind w:right="120"/>
              <w:spacing w:after="0" w:line="103" w:lineRule="exact"/>
              <w:rPr>
                <w:sz w:val="20"/>
                <w:szCs w:val="20"/>
                <w:color w:val="auto"/>
              </w:rPr>
            </w:pPr>
            <w:r>
              <w:rPr>
                <w:rFonts w:ascii="Arial" w:cs="Arial" w:eastAsia="Arial" w:hAnsi="Arial"/>
                <w:sz w:val="11"/>
                <w:szCs w:val="11"/>
                <w:color w:val="auto"/>
              </w:rPr>
              <w:t>condensed</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w w:val="89"/>
              </w:rPr>
              <w:t>31,</w:t>
            </w: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consolidated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840" w:type="dxa"/>
            <w:vAlign w:val="bottom"/>
          </w:tcPr>
          <w:p>
            <w:pPr>
              <w:spacing w:after="0"/>
              <w:rPr>
                <w:sz w:val="2"/>
                <w:szCs w:val="2"/>
                <w:color w:val="auto"/>
              </w:rPr>
            </w:pPr>
          </w:p>
        </w:tc>
        <w:tc>
          <w:tcPr>
            <w:tcW w:w="13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color w:val="auto"/>
                <w:w w:val="90"/>
              </w:rPr>
              <w:t>statements of</w:t>
            </w: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58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restart"/>
          </w:tcPr>
          <w:p>
            <w:pPr>
              <w:jc w:val="right"/>
              <w:ind w:right="119"/>
              <w:spacing w:after="0"/>
              <w:rPr>
                <w:sz w:val="20"/>
                <w:szCs w:val="20"/>
                <w:color w:val="auto"/>
              </w:rPr>
            </w:pPr>
            <w:r>
              <w:rPr>
                <w:rFonts w:ascii="Arial" w:cs="Arial" w:eastAsia="Arial" w:hAnsi="Arial"/>
                <w:sz w:val="16"/>
                <w:szCs w:val="16"/>
                <w:color w:val="auto"/>
              </w:rPr>
              <w:t>2014</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vMerge w:val="restart"/>
          </w:tcPr>
          <w:p>
            <w:pPr>
              <w:jc w:val="right"/>
              <w:ind w:right="179"/>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188"/>
        </w:trPr>
        <w:tc>
          <w:tcPr>
            <w:tcW w:w="58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operations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Aircraft fuel and</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4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Amount of gain (loss) reclassified from accumulated OCI into income </w:t>
            </w:r>
            <w:r>
              <w:rPr>
                <w:rFonts w:ascii="Arial" w:cs="Arial" w:eastAsia="Arial" w:hAnsi="Arial"/>
                <w:sz w:val="21"/>
                <w:szCs w:val="21"/>
                <w:color w:val="auto"/>
                <w:vertAlign w:val="superscript"/>
              </w:rPr>
              <w:t>(1)</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related taxes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584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Aircraft fuel and</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40"/>
              <w:spacing w:after="0" w:line="239" w:lineRule="exact"/>
              <w:rPr>
                <w:sz w:val="20"/>
                <w:szCs w:val="20"/>
                <w:color w:val="auto"/>
              </w:rPr>
            </w:pPr>
            <w:r>
              <w:rPr>
                <w:rFonts w:ascii="Arial" w:cs="Arial" w:eastAsia="Arial" w:hAnsi="Arial"/>
                <w:sz w:val="16"/>
                <w:szCs w:val="16"/>
                <w:color w:val="auto"/>
              </w:rPr>
              <w:t xml:space="preserve">Amount of gain (loss) recognized in income on derivative </w:t>
            </w:r>
            <w:r>
              <w:rPr>
                <w:rFonts w:ascii="Arial" w:cs="Arial" w:eastAsia="Arial" w:hAnsi="Arial"/>
                <w:sz w:val="21"/>
                <w:szCs w:val="21"/>
                <w:color w:val="auto"/>
                <w:vertAlign w:val="superscript"/>
              </w:rPr>
              <w:t>(2)</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related taxes</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0"/>
        </w:trPr>
        <w:tc>
          <w:tcPr>
            <w:tcW w:w="584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Aircraft fuel and</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840" w:type="dxa"/>
            <w:vAlign w:val="bottom"/>
          </w:tcPr>
          <w:p>
            <w:pPr>
              <w:ind w:left="40"/>
              <w:spacing w:after="0" w:line="235" w:lineRule="exact"/>
              <w:rPr>
                <w:sz w:val="20"/>
                <w:szCs w:val="20"/>
                <w:color w:val="auto"/>
              </w:rPr>
            </w:pPr>
            <w:r>
              <w:rPr>
                <w:rFonts w:ascii="Arial" w:cs="Arial" w:eastAsia="Arial" w:hAnsi="Arial"/>
                <w:sz w:val="16"/>
                <w:szCs w:val="16"/>
                <w:color w:val="auto"/>
                <w:w w:val="91"/>
              </w:rPr>
              <w:t xml:space="preserve">Amount of gain (loss) recognized in condensed consolidated statements of operations </w:t>
            </w:r>
            <w:r>
              <w:rPr>
                <w:rFonts w:ascii="Arial" w:cs="Arial" w:eastAsia="Arial" w:hAnsi="Arial"/>
                <w:sz w:val="21"/>
                <w:szCs w:val="21"/>
                <w:color w:val="auto"/>
                <w:w w:val="91"/>
                <w:vertAlign w:val="superscript"/>
              </w:rPr>
              <w:t>(3)</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related taxes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4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-288290</wp:posOffset>
            </wp:positionV>
            <wp:extent cx="5771515"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71515" cy="291465"/>
                    </a:xfrm>
                    <a:prstGeom prst="rect">
                      <a:avLst/>
                    </a:prstGeom>
                    <a:noFill/>
                  </pic:spPr>
                </pic:pic>
              </a:graphicData>
            </a:graphic>
          </wp:anchor>
        </w:drawing>
      </w:r>
    </w:p>
    <w:p>
      <w:pPr>
        <w:ind w:left="340" w:hanging="332"/>
        <w:spacing w:after="0" w:line="183"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Includes the effective portion of hedge gain (loss)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Includes the ineffective portion of hedge gain (loss)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Includes the effective and ineffective portion of hedge gain (loss)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impact of aircraft fuel derivative instruments (all cash flow hedges) on American's condensed consolidated statements of comprehensive income is depicted below (in millions):</w:t>
      </w:r>
    </w:p>
    <w:p>
      <w:pPr>
        <w:spacing w:after="0" w:line="134" w:lineRule="exact"/>
        <w:rPr>
          <w:sz w:val="20"/>
          <w:szCs w:val="20"/>
          <w:color w:val="auto"/>
        </w:rPr>
      </w:pPr>
    </w:p>
    <w:tbl>
      <w:tblPr>
        <w:tblLayout w:type="fixed"/>
        <w:tblInd w:w="1180" w:type="dxa"/>
        <w:tblCellMar>
          <w:top w:w="0" w:type="dxa"/>
          <w:left w:w="0" w:type="dxa"/>
          <w:bottom w:w="0" w:type="dxa"/>
          <w:right w:w="0" w:type="dxa"/>
        </w:tblCellMar>
      </w:tblPr>
      <w:tr>
        <w:trPr>
          <w:trHeight w:val="206"/>
        </w:trPr>
        <w:tc>
          <w:tcPr>
            <w:tcW w:w="5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jc w:val="right"/>
              <w:spacing w:after="0"/>
              <w:rPr>
                <w:sz w:val="20"/>
                <w:szCs w:val="20"/>
                <w:color w:val="auto"/>
              </w:rPr>
            </w:pPr>
            <w:r>
              <w:rPr>
                <w:rFonts w:ascii="Arial" w:cs="Arial" w:eastAsia="Arial" w:hAnsi="Arial"/>
                <w:sz w:val="16"/>
                <w:szCs w:val="16"/>
                <w:color w:val="auto"/>
                <w:w w:val="94"/>
              </w:rPr>
              <w:t>Three Months Ended March 31,</w:t>
            </w:r>
          </w:p>
        </w:tc>
      </w:tr>
      <w:tr>
        <w:trPr>
          <w:trHeight w:val="33"/>
        </w:trPr>
        <w:tc>
          <w:tcPr>
            <w:tcW w:w="5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Location</w:t>
            </w:r>
          </w:p>
        </w:tc>
        <w:tc>
          <w:tcPr>
            <w:tcW w:w="24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color w:val="auto"/>
              </w:rPr>
              <w:t>2013</w:t>
            </w:r>
          </w:p>
        </w:tc>
      </w:tr>
      <w:tr>
        <w:trPr>
          <w:trHeight w:val="33"/>
        </w:trPr>
        <w:tc>
          <w:tcPr>
            <w:tcW w:w="51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5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Reclassification into</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9"/>
        </w:trPr>
        <w:tc>
          <w:tcPr>
            <w:tcW w:w="516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Amount of (gain) loss reclassified from accumulated OCI into income </w:t>
            </w:r>
            <w:r>
              <w:rPr>
                <w:rFonts w:ascii="Arial" w:cs="Arial" w:eastAsia="Arial" w:hAnsi="Arial"/>
                <w:sz w:val="21"/>
                <w:szCs w:val="21"/>
                <w:color w:val="auto"/>
                <w:vertAlign w:val="superscript"/>
              </w:rPr>
              <w:t>(1)</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earnings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color w:val="auto"/>
              </w:rPr>
              <w:t xml:space="preserve">Amount of gain (loss) recognized in OCI on derivative </w:t>
            </w:r>
            <w:r>
              <w:rPr>
                <w:rFonts w:ascii="Arial" w:cs="Arial" w:eastAsia="Arial" w:hAnsi="Arial"/>
                <w:sz w:val="21"/>
                <w:szCs w:val="21"/>
                <w:color w:val="auto"/>
                <w:vertAlign w:val="superscript"/>
              </w:rPr>
              <w:t>(1)</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Change in fair value</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w:t>
            </w:r>
          </w:p>
        </w:tc>
      </w:tr>
      <w:tr>
        <w:trPr>
          <w:trHeight w:val="200"/>
        </w:trPr>
        <w:tc>
          <w:tcPr>
            <w:tcW w:w="5160" w:type="dxa"/>
            <w:vAlign w:val="bottom"/>
          </w:tcPr>
          <w:p>
            <w:pPr>
              <w:ind w:left="40"/>
              <w:spacing w:after="0"/>
              <w:rPr>
                <w:sz w:val="20"/>
                <w:szCs w:val="20"/>
                <w:color w:val="auto"/>
              </w:rPr>
            </w:pPr>
            <w:r>
              <w:rPr>
                <w:rFonts w:ascii="Arial" w:cs="Arial" w:eastAsia="Arial" w:hAnsi="Arial"/>
                <w:sz w:val="16"/>
                <w:szCs w:val="16"/>
                <w:color w:val="auto"/>
                <w:w w:val="96"/>
              </w:rPr>
              <w:t>Amount of gain (loss) recognized in condensed consolidated statements of</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516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-269875</wp:posOffset>
            </wp:positionV>
            <wp:extent cx="5754370" cy="291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91465"/>
                    </a:xfrm>
                    <a:prstGeom prst="rect">
                      <a:avLst/>
                    </a:prstGeom>
                    <a:noFill/>
                  </pic:spPr>
                </pic:pic>
              </a:graphicData>
            </a:graphic>
          </wp:anchor>
        </w:drawing>
      </w:r>
    </w:p>
    <w:p>
      <w:pPr>
        <w:ind w:left="340" w:hanging="332"/>
        <w:spacing w:after="0" w:line="207"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Includes the effective portion of hedge gain (loss)</w:t>
      </w:r>
    </w:p>
    <w:p>
      <w:pPr>
        <w:spacing w:after="0" w:line="1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While certain of American's fuel derivatives are subject to enforceable master netting agreements with its counterparties, American does not offset its fuel derivative assets and liabilities in its condensed consolidated balance sheets. Certain of these agreements would also allow for the offsetting of fuel derivatives with interest rate derivatives. The impact of aircraft fuel derivative instruments (all cash flow hedges) on American's condensed consolidated balance sheets, and the impact of offsetting aircraft fuel derivative instruments, is depicted below (in millions):</w:t>
      </w:r>
    </w:p>
    <w:p>
      <w:pPr>
        <w:spacing w:after="0" w:line="105" w:lineRule="exact"/>
        <w:rPr>
          <w:sz w:val="20"/>
          <w:szCs w:val="20"/>
          <w:color w:val="auto"/>
        </w:rPr>
      </w:pPr>
    </w:p>
    <w:tbl>
      <w:tblPr>
        <w:tblLayout w:type="fixed"/>
        <w:tblInd w:w="1180" w:type="dxa"/>
        <w:tblCellMar>
          <w:top w:w="0" w:type="dxa"/>
          <w:left w:w="0" w:type="dxa"/>
          <w:bottom w:w="0" w:type="dxa"/>
          <w:right w:w="0" w:type="dxa"/>
        </w:tblCellMar>
      </w:tblPr>
      <w:tr>
        <w:trPr>
          <w:trHeight w:val="220"/>
        </w:trPr>
        <w:tc>
          <w:tcPr>
            <w:tcW w:w="66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31,</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w:t>
            </w:r>
          </w:p>
        </w:tc>
      </w:tr>
      <w:tr>
        <w:trPr>
          <w:trHeight w:val="239"/>
        </w:trPr>
        <w:tc>
          <w:tcPr>
            <w:tcW w:w="66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2014</w:t>
            </w: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2013</w:t>
            </w:r>
          </w:p>
        </w:tc>
      </w:tr>
      <w:tr>
        <w:trPr>
          <w:trHeight w:val="250"/>
        </w:trPr>
        <w:tc>
          <w:tcPr>
            <w:tcW w:w="6680" w:type="dxa"/>
            <w:vAlign w:val="bottom"/>
          </w:tcPr>
          <w:p>
            <w:pPr>
              <w:ind w:left="20"/>
              <w:spacing w:after="0"/>
              <w:rPr>
                <w:sz w:val="20"/>
                <w:szCs w:val="20"/>
                <w:color w:val="auto"/>
              </w:rPr>
            </w:pPr>
            <w:r>
              <w:rPr>
                <w:rFonts w:ascii="Arial" w:cs="Arial" w:eastAsia="Arial" w:hAnsi="Arial"/>
                <w:sz w:val="16"/>
                <w:szCs w:val="16"/>
                <w:color w:val="auto"/>
              </w:rPr>
              <w:t xml:space="preserve">Gross asset </w:t>
            </w:r>
            <w:r>
              <w:rPr>
                <w:rFonts w:ascii="Arial" w:cs="Arial" w:eastAsia="Arial" w:hAnsi="Arial"/>
                <w:sz w:val="21"/>
                <w:szCs w:val="21"/>
                <w:color w:val="auto"/>
                <w:vertAlign w:val="superscript"/>
              </w:rPr>
              <w:t>(1)</w:t>
            </w: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1"/>
                <w:szCs w:val="21"/>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70"/>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Gross liability </w:t>
            </w:r>
            <w:r>
              <w:rPr>
                <w:rFonts w:ascii="Arial" w:cs="Arial" w:eastAsia="Arial" w:hAnsi="Arial"/>
                <w:sz w:val="21"/>
                <w:szCs w:val="21"/>
                <w:color w:val="auto"/>
                <w:vertAlign w:val="superscript"/>
              </w:rPr>
              <w:t>(2)</w:t>
            </w:r>
          </w:p>
        </w:tc>
        <w:tc>
          <w:tcPr>
            <w:tcW w:w="8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680" w:type="dxa"/>
            <w:vAlign w:val="bottom"/>
          </w:tcPr>
          <w:p>
            <w:pPr>
              <w:ind w:left="20"/>
              <w:spacing w:after="0"/>
              <w:rPr>
                <w:sz w:val="20"/>
                <w:szCs w:val="20"/>
                <w:color w:val="auto"/>
              </w:rPr>
            </w:pPr>
            <w:r>
              <w:rPr>
                <w:rFonts w:ascii="Arial" w:cs="Arial" w:eastAsia="Arial" w:hAnsi="Arial"/>
                <w:sz w:val="16"/>
                <w:szCs w:val="16"/>
                <w:color w:val="auto"/>
              </w:rPr>
              <w:t>Net recognized asset (liability) in condensed consolidated balance sheet</w:t>
            </w: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33"/>
        </w:trPr>
        <w:tc>
          <w:tcPr>
            <w:tcW w:w="6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4"/>
        </w:trPr>
        <w:tc>
          <w:tcPr>
            <w:tcW w:w="66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7"/>
        </w:trPr>
        <w:tc>
          <w:tcPr>
            <w:tcW w:w="6680" w:type="dxa"/>
            <w:vAlign w:val="bottom"/>
          </w:tcPr>
          <w:p>
            <w:pPr>
              <w:ind w:left="20"/>
              <w:spacing w:after="0"/>
              <w:rPr>
                <w:sz w:val="20"/>
                <w:szCs w:val="20"/>
                <w:color w:val="auto"/>
              </w:rPr>
            </w:pPr>
            <w:r>
              <w:rPr>
                <w:rFonts w:ascii="Arial" w:cs="Arial" w:eastAsia="Arial" w:hAnsi="Arial"/>
                <w:sz w:val="16"/>
                <w:szCs w:val="16"/>
                <w:color w:val="auto"/>
              </w:rPr>
              <w:t>Gross asset (liability) offset in condensed consolidated balance sheet:</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Financial instruments</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680" w:type="dxa"/>
            <w:vAlign w:val="bottom"/>
          </w:tcPr>
          <w:p>
            <w:pPr>
              <w:ind w:left="20"/>
              <w:spacing w:after="0"/>
              <w:rPr>
                <w:sz w:val="20"/>
                <w:szCs w:val="20"/>
                <w:color w:val="auto"/>
              </w:rPr>
            </w:pPr>
            <w:r>
              <w:rPr>
                <w:rFonts w:ascii="Arial" w:cs="Arial" w:eastAsia="Arial" w:hAnsi="Arial"/>
                <w:sz w:val="16"/>
                <w:szCs w:val="16"/>
                <w:color w:val="auto"/>
              </w:rPr>
              <w:t xml:space="preserve">Cash collateral received (posted) </w:t>
            </w:r>
            <w:r>
              <w:rPr>
                <w:rFonts w:ascii="Arial" w:cs="Arial" w:eastAsia="Arial" w:hAnsi="Arial"/>
                <w:sz w:val="21"/>
                <w:szCs w:val="21"/>
                <w:color w:val="auto"/>
                <w:vertAlign w:val="superscript"/>
              </w:rPr>
              <w:t>(3)</w:t>
            </w:r>
          </w:p>
        </w:tc>
        <w:tc>
          <w:tcPr>
            <w:tcW w:w="860" w:type="dxa"/>
            <w:vAlign w:val="bottom"/>
          </w:tcPr>
          <w:p>
            <w:pPr>
              <w:spacing w:after="0"/>
              <w:rPr>
                <w:sz w:val="23"/>
                <w:szCs w:val="23"/>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680" w:type="dxa"/>
            <w:vAlign w:val="bottom"/>
          </w:tcPr>
          <w:p>
            <w:pPr>
              <w:ind w:left="20"/>
              <w:spacing w:after="0"/>
              <w:rPr>
                <w:sz w:val="20"/>
                <w:szCs w:val="20"/>
                <w:color w:val="auto"/>
              </w:rPr>
            </w:pPr>
            <w:r>
              <w:rPr>
                <w:rFonts w:ascii="Arial" w:cs="Arial" w:eastAsia="Arial" w:hAnsi="Arial"/>
                <w:sz w:val="16"/>
                <w:szCs w:val="16"/>
                <w:color w:val="auto"/>
              </w:rPr>
              <w:t>Net amount</w:t>
            </w: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-149860</wp:posOffset>
            </wp:positionV>
            <wp:extent cx="576326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63260" cy="171450"/>
                    </a:xfrm>
                    <a:prstGeom prst="rect">
                      <a:avLst/>
                    </a:prstGeom>
                    <a:noFill/>
                  </pic:spPr>
                </pic:pic>
              </a:graphicData>
            </a:graphic>
          </wp:anchor>
        </w:drawing>
      </w:r>
    </w:p>
    <w:p>
      <w:pPr>
        <w:ind w:left="340" w:hanging="332"/>
        <w:spacing w:after="0" w:line="207" w:lineRule="auto"/>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Fuel derivative assets are included in prepaid expenses and other on the accompanying condensed consolidated balance sheets.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Fuel derivative liabilities are included in accrued liabilities on the accompanying condensed consolidated balance sheets.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As of March 31, 2014, American had no posted cash collateral.</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American is also exposed to credit losses in the event of non-performance by counterparties to these financial instruments, and although no assurances can be given, American does not expect any of the counterparties to fail to meet their obligations. The credit exposure related to these financial instruments is represented by the fair value of contracts with a positive fair value at the reporting date, reduced by the effects of master netting agreements. To manage credit risks, American selects counterparties based on credit ratings, limits its exposure to a single counterparty under defined guidelines, and monitors the market position of the program and its relative market position with each counterparty. American also maintains industry-standard security agreements with a number of its counterparties which may require American or the counterparty to post collateral if the value of selected instruments exceeds specified mark-to-market thresholds or upon certain changes in credit ratings. The amount of collateral required to be posted from time to time may be substantial.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 (Loss)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accumulated other comprehensive income (loss) are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Unrealized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Income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gain/(loss)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Derivative</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84"/>
              </w:rPr>
              <w:t>tax</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Pension and retiree</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on</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financial</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benefit/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medical liability</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investments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instruments</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87"/>
              </w:rPr>
              <w:t>(expense)</w:t>
            </w:r>
          </w:p>
        </w:tc>
        <w:tc>
          <w:tcPr>
            <w:tcW w:w="260" w:type="dxa"/>
            <w:vAlign w:val="bottom"/>
          </w:tcPr>
          <w:p>
            <w:pPr>
              <w:spacing w:after="0"/>
              <w:rPr>
                <w:sz w:val="17"/>
                <w:szCs w:val="17"/>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color w:val="auto"/>
              </w:rPr>
              <w:t>Total</w:t>
            </w:r>
          </w:p>
        </w:tc>
      </w:tr>
      <w:tr>
        <w:trPr>
          <w:trHeight w:val="33"/>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Amounts reclassified from accumulated other comprehensive</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Net current-period other comprehensive loss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Balance at March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Reclassifications out of accumulated other comprehensive income (loss) for the three months ended March 31, 2014 and 2013 are as follows (in millions):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220" w:right="260"/>
        <w:spacing w:after="0" w:line="264" w:lineRule="auto"/>
        <w:rPr>
          <w:sz w:val="20"/>
          <w:szCs w:val="20"/>
          <w:color w:val="auto"/>
        </w:rPr>
      </w:pPr>
      <w:r>
        <w:rPr>
          <w:rFonts w:ascii="Arial" w:cs="Arial" w:eastAsia="Arial" w:hAnsi="Arial"/>
          <w:sz w:val="18"/>
          <w:szCs w:val="18"/>
          <w:color w:val="auto"/>
        </w:rPr>
        <w:t>Details about accumulated other comprehensive income (loss) components</w:t>
      </w:r>
    </w:p>
    <w:p>
      <w:pPr>
        <w:spacing w:after="0" w:line="33" w:lineRule="exact"/>
        <w:rPr>
          <w:sz w:val="20"/>
          <w:szCs w:val="20"/>
          <w:color w:val="auto"/>
        </w:rPr>
      </w:pPr>
    </w:p>
    <w:p>
      <w:pPr>
        <w:ind w:left="1220"/>
        <w:spacing w:after="0" w:line="277" w:lineRule="auto"/>
        <w:rPr>
          <w:sz w:val="20"/>
          <w:szCs w:val="20"/>
          <w:color w:val="auto"/>
        </w:rPr>
      </w:pPr>
      <w:r>
        <w:rPr>
          <w:rFonts w:ascii="Arial" w:cs="Arial" w:eastAsia="Arial" w:hAnsi="Arial"/>
          <w:sz w:val="18"/>
          <w:szCs w:val="18"/>
          <w:color w:val="auto"/>
        </w:rPr>
        <w:t>Amortization of pension and retiree medical liability:</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Amount reclassified from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-1905</wp:posOffset>
            </wp:positionV>
            <wp:extent cx="22980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31750</wp:posOffset>
            </wp:positionV>
            <wp:extent cx="22294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224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-1969770</wp:posOffset>
            </wp:positionH>
            <wp:positionV relativeFrom="paragraph">
              <wp:posOffset>31750</wp:posOffset>
            </wp:positionV>
            <wp:extent cx="5737225" cy="317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37225"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1220"/>
        <w:spacing w:after="0" w:line="264" w:lineRule="auto"/>
        <w:rPr>
          <w:sz w:val="20"/>
          <w:szCs w:val="20"/>
          <w:color w:val="auto"/>
        </w:rPr>
      </w:pPr>
      <w:r>
        <w:rPr>
          <w:rFonts w:ascii="Arial" w:cs="Arial" w:eastAsia="Arial" w:hAnsi="Arial"/>
          <w:sz w:val="18"/>
          <w:szCs w:val="18"/>
          <w:color w:val="auto"/>
        </w:rPr>
        <w:t>Affected line item in the statement where net income (loss) is presented</w:t>
      </w:r>
    </w:p>
    <w:p>
      <w:pPr>
        <w:spacing w:after="0" w:line="518" w:lineRule="exact"/>
        <w:rPr>
          <w:sz w:val="20"/>
          <w:szCs w:val="20"/>
          <w:color w:val="auto"/>
        </w:rPr>
      </w:pPr>
    </w:p>
    <w:p>
      <w:pPr>
        <w:sectPr>
          <w:pgSz w:w="11900" w:h="16838" w:orient="portrait"/>
          <w:cols w:equalWidth="0" w:num="3">
            <w:col w:w="3800" w:space="500"/>
            <w:col w:w="3220" w:space="220"/>
            <w:col w:w="3680"/>
          </w:cols>
          <w:pgMar w:left="240" w:top="125" w:right="239" w:bottom="1440" w:gutter="0" w:footer="0" w:header="0"/>
          <w:type w:val="continuous"/>
        </w:sectPr>
      </w:pPr>
    </w:p>
    <w:tbl>
      <w:tblPr>
        <w:tblLayout w:type="fixed"/>
        <w:tblInd w:w="1200" w:type="dxa"/>
        <w:tblCellMar>
          <w:top w:w="0" w:type="dxa"/>
          <w:left w:w="0" w:type="dxa"/>
          <w:bottom w:w="0" w:type="dxa"/>
          <w:right w:w="0" w:type="dxa"/>
        </w:tblCellMar>
      </w:tblP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Prior service cost</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2640" w:type="dxa"/>
            <w:vAlign w:val="bottom"/>
          </w:tcPr>
          <w:p>
            <w:pPr>
              <w:ind w:left="140"/>
              <w:spacing w:after="0"/>
              <w:rPr>
                <w:sz w:val="20"/>
                <w:szCs w:val="20"/>
                <w:color w:val="auto"/>
              </w:rPr>
            </w:pPr>
            <w:r>
              <w:rPr>
                <w:rFonts w:ascii="Arial" w:cs="Arial" w:eastAsia="Arial" w:hAnsi="Arial"/>
                <w:sz w:val="18"/>
                <w:szCs w:val="18"/>
                <w:color w:val="auto"/>
              </w:rPr>
              <w:t>Salaries, wages and benefits</w:t>
            </w:r>
          </w:p>
        </w:tc>
      </w:tr>
      <w:tr>
        <w:trPr>
          <w:trHeight w:val="27"/>
        </w:trPr>
        <w:tc>
          <w:tcPr>
            <w:tcW w:w="2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Actuarial loss</w:t>
            </w: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Salaries, wages and benefits</w:t>
            </w: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Derivative financial instruments:</w:t>
            </w: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flow hedges</w:t>
            </w: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Aircraft fuel and related taxes</w:t>
            </w: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Unrealized gain (loss) on</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change in value</w:t>
            </w:r>
          </w:p>
        </w:tc>
        <w:tc>
          <w:tcPr>
            <w:tcW w:w="7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r>
      <w:tr>
        <w:trPr>
          <w:trHeight w:val="257"/>
        </w:trPr>
        <w:tc>
          <w:tcPr>
            <w:tcW w:w="2880" w:type="dxa"/>
            <w:vAlign w:val="bottom"/>
          </w:tcPr>
          <w:p>
            <w:pPr>
              <w:ind w:left="20"/>
              <w:spacing w:after="0"/>
              <w:rPr>
                <w:sz w:val="20"/>
                <w:szCs w:val="20"/>
                <w:color w:val="auto"/>
              </w:rPr>
            </w:pPr>
            <w:r>
              <w:rPr>
                <w:rFonts w:ascii="Arial" w:cs="Arial" w:eastAsia="Arial" w:hAnsi="Arial"/>
                <w:sz w:val="18"/>
                <w:szCs w:val="18"/>
                <w:color w:val="auto"/>
              </w:rPr>
              <w:t>Total reclassifications for the period</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40" w:type="dxa"/>
            <w:vAlign w:val="bottom"/>
          </w:tcPr>
          <w:p>
            <w:pPr>
              <w:spacing w:after="0"/>
              <w:rPr>
                <w:sz w:val="22"/>
                <w:szCs w:val="22"/>
                <w:color w:val="auto"/>
              </w:rPr>
            </w:pPr>
          </w:p>
        </w:tc>
      </w:tr>
      <w:tr>
        <w:trPr>
          <w:trHeight w:val="20"/>
        </w:trPr>
        <w:tc>
          <w:tcPr>
            <w:tcW w:w="2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Regional Expenses</w:t>
      </w:r>
    </w:p>
    <w:p>
      <w:pPr>
        <w:spacing w:after="0" w:line="17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Expenses associated with AAG's wholly-owned regional airline and third-party regional carriers operating under the brand name American Eagle are classified as Regional expenses on the condensed consolidated statements of operations. Regional expenses consist of the following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p>
        </w:tc>
        <w:tc>
          <w:tcPr>
            <w:tcW w:w="2600" w:type="dxa"/>
            <w:vAlign w:val="bottom"/>
            <w:gridSpan w:val="5"/>
          </w:tcPr>
          <w:p>
            <w:pPr>
              <w:jc w:val="right"/>
              <w:ind w:right="50"/>
              <w:spacing w:after="0"/>
              <w:rPr>
                <w:sz w:val="20"/>
                <w:szCs w:val="20"/>
                <w:color w:val="auto"/>
              </w:rPr>
            </w:pPr>
            <w:r>
              <w:rPr>
                <w:rFonts w:ascii="Arial" w:cs="Arial" w:eastAsia="Arial" w:hAnsi="Arial"/>
                <w:sz w:val="18"/>
                <w:szCs w:val="18"/>
                <w:color w:val="auto"/>
                <w:w w:val="96"/>
              </w:rPr>
              <w:t>Three Months Ended March 31,</w:t>
            </w:r>
          </w:p>
        </w:tc>
      </w:tr>
      <w:tr>
        <w:trPr>
          <w:trHeight w:val="27"/>
        </w:trPr>
        <w:tc>
          <w:tcPr>
            <w:tcW w:w="64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27"/>
        </w:trPr>
        <w:tc>
          <w:tcPr>
            <w:tcW w:w="6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purchases from third-party regional carriers</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6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American invests funds, including funds of certain affiliates, if any, in a combined short-term investment portfolio and passes through interest income on such funds at the average rate earned on the portfolio. These amounts are classified as Payable to affiliates on the accompanying condensed consolidated balance sheets.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660"/>
              <w:spacing w:after="0"/>
              <w:rPr>
                <w:sz w:val="20"/>
                <w:szCs w:val="20"/>
                <w:color w:val="auto"/>
              </w:rPr>
            </w:pPr>
            <w:r>
              <w:rPr>
                <w:rFonts w:ascii="Arial" w:cs="Arial" w:eastAsia="Arial" w:hAnsi="Arial"/>
                <w:sz w:val="18"/>
                <w:szCs w:val="18"/>
                <w:color w:val="auto"/>
                <w:w w:val="96"/>
              </w:rPr>
              <w:t>The following represents the net receivables from (payables to) related parties (in millions):</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64"/>
        </w:trPr>
        <w:tc>
          <w:tcPr>
            <w:tcW w:w="7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2"/>
          </w:tcPr>
          <w:p>
            <w:pPr>
              <w:ind w:left="200"/>
              <w:spacing w:after="0"/>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7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w w:val="91"/>
              </w:rPr>
              <w:t>December 31, 2013</w:t>
            </w: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American Airlines Group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Envoy Aviation Group Inc.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American Airlines Group subsidiaries</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37"/>
        </w:trPr>
        <w:tc>
          <w:tcPr>
            <w:tcW w:w="76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17145</wp:posOffset>
            </wp:positionV>
            <wp:extent cx="23837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3" w:lineRule="exact"/>
        <w:rPr>
          <w:sz w:val="20"/>
          <w:szCs w:val="20"/>
          <w:color w:val="auto"/>
        </w:rPr>
      </w:pPr>
    </w:p>
    <w:p>
      <w:pPr>
        <w:ind w:left="540" w:right="700" w:hanging="532"/>
        <w:spacing w:after="0" w:line="216" w:lineRule="auto"/>
        <w:tabs>
          <w:tab w:leader="none" w:pos="216"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Formerly known as AMR Eagle Holding Corporation, the net payable to AAG's wholly-owned regional airline operating under the brand name of American Eagle consists principally of amounts due under regional capacity purchase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-281305</wp:posOffset>
            </wp:positionV>
            <wp:extent cx="23837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Legal Proceedings</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Chapter 11 Cases</w:t>
      </w:r>
      <w:r>
        <w:rPr>
          <w:rFonts w:ascii="Arial" w:cs="Arial" w:eastAsia="Arial" w:hAnsi="Arial"/>
          <w:sz w:val="17"/>
          <w:szCs w:val="17"/>
          <w:color w:val="auto"/>
        </w:rPr>
        <w:t>. As previously disclosed, on the Petition Date, November 29, 2011, the Debtors filed voluntary petitions for relief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Bankruptcy Code. On October 21, 2013, the Bankruptcy Court entered the Confirmation Order approving and confirming the Debtors' Plan. On the Effective Date, December 9, 2013, the Debtors consummated their reorganization pursuant to the Plan, principally through the transactions contemplated by the Merger Agreement pursuant to which Merger Sub merged with and into US Airways Group, with US Airways Group surviving as a wholly-owned subsidiary of AAG. From the Petition Date through the Effective Date, pursuant to automatic stay provisions under the Bankruptcy Code and orders granted by the Bankruptcy Court, all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the extent the parties to such litigation have obtained relief from the permanent injunction.</w:t>
      </w:r>
    </w:p>
    <w:p>
      <w:pPr>
        <w:spacing w:after="0" w:line="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Pursuant to rulings of the Bankruptcy Court, the Plan has established a disputed claims reserve to hold shares of AAG Series A Preferred Stock and AAG Common Stock reserved for issuance to disputed claimholders that ultimately become allowed Single-Dip general unsecured claimholders after emergence. The shares provided for under the Plan are determined based upon a disputed claims reserve amount of approximately $755 million. As disputed claims are resolved, the claimants will receive distributions of shares from the reserve on the same basis as if such distributions had been made on or about the Effective Date. To the extent that any of the reserved shares remain undistributed upon resolution of the remaining disputed claims, such shares will not be returned to AAG but rather will be distributed by priority first, if necessary, to satisfy unsecured claims or labor-related obligations, and then to former AMR shareholders as of the Effective Date. AAG is not required to distribute additional shares above the limits contemplated by the Plan, even if the shares remaining for distribution are not sufficient to fully pay all allowed unsecured claims. However, resolution of disputed claims could have a material effect on Single-Dip creditor recoveries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1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post-employee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American's financial statements presently reflect these retirement programs without giving effect to any modification or termination of benefits that may ultimately be implemented based upon the outcome of this proceeding.</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Government Antitrust Actions</w:t>
      </w:r>
      <w:r>
        <w:rPr>
          <w:rFonts w:ascii="Arial" w:cs="Arial" w:eastAsia="Arial" w:hAnsi="Arial"/>
          <w:sz w:val="18"/>
          <w:szCs w:val="18"/>
          <w:color w:val="auto"/>
        </w:rPr>
        <w:t>. On August 13, 2013, the U.S. government, along with the States of Arizona, Florida, Tennessee and Texas,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Commonwealths of Pennsylvania and Virginia, and the District of Columbia (collectively, the plaintiff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states), filed a complaint against US Airways Group and AMR in the U.S. District Court for the District of Columbia. The plaintiffs alleged, among other things, that the proposed Merger would substantially lessen competition in violation of Section 7 of the Clayton Act and sought to permanently enjoin the transaction. On September 5, 2013, the plaintiffs filed an amended complaint, adding the State of Michigan as a plaintiff. On October 1, 2013, the State of Texas entered into an agreement with US Airways Group and AMR that resolved that state’s objections to the Merger, and its claims were dismissed with prejudice on October 7, 2013. On November 11, 2013, US Airways and American entered into agreements with the U.S. government and the plaintiff states resolving all claims in the litigation. The agreement with the U.S. government requires the carriers to divest assets at certain airports and remains subject to public comment and court approval. In the agreement with the United States government, among other things, we agreed to divest and not reacquire for 10 years certain rights and assets consisting of 52 slot pairs at DCA, and 17 slot pairs at LaGuardia Airport, in each case together with associated gates and related ground facilities necessary to operate those slot pairs, and two gates at each of Boston Logan International Airport, Chicago O’Hare International Airport, Dallas Love Field, Los Angeles International Airport and Miami International Airport. The agreement with the plaintiff states, which was entered by the court on November 12, 2013, requires American and US Airways, subject to certain conditions and exceptions, to maintain certain hub operations in a manner generally consistent with historical operations and to continue to provide scheduled daily service to certain specified communities, both for limited periods of time. In addition, US Airways and American entered into a related settlement with the DOT related to small community service from DCA.</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Merger Class Action</w:t>
      </w:r>
      <w:r>
        <w:rPr>
          <w:rFonts w:ascii="Arial" w:cs="Arial" w:eastAsia="Arial" w:hAnsi="Arial"/>
          <w:sz w:val="16"/>
          <w:szCs w:val="16"/>
          <w:color w:val="auto"/>
        </w:rPr>
        <w:t>. On March 1, 2013, a complaint captioned Plumbers &amp; Steamfitters Local Union No. 248 Pension Fund v. US Airways Group,</w:t>
      </w:r>
      <w:r>
        <w:rPr>
          <w:rFonts w:ascii="Arial" w:cs="Arial" w:eastAsia="Arial" w:hAnsi="Arial"/>
          <w:sz w:val="16"/>
          <w:szCs w:val="16"/>
          <w:i w:val="1"/>
          <w:iCs w:val="1"/>
          <w:color w:val="auto"/>
        </w:rPr>
        <w:t xml:space="preserve"> </w:t>
      </w:r>
      <w:r>
        <w:rPr>
          <w:rFonts w:ascii="Arial" w:cs="Arial" w:eastAsia="Arial" w:hAnsi="Arial"/>
          <w:sz w:val="16"/>
          <w:szCs w:val="16"/>
          <w:color w:val="auto"/>
        </w:rPr>
        <w:t>Inc., et al., No. CV2013-051605, was filed as a putative class action on behalf of the stockholders of US Airways Group in the Superior Court for Maricopa County, Arizona. On July 3, 2013, an amended complaint, captioned Dennis Palkon, et al. v. US Airways Group, Inc., et al., No. CV2013-051605, was filed with the same court. The amended complaint names as defendants US Airways Group and the members of its board of directors, and alleges that the directors failed to maximize the value of US Airways Group in connection with the Merger and that US Airways Group aided and abetted those breaches of fiduciary duty. The relief sought in the amended complaint includes an injunction against the Merger, or rescission in the event it has been consummated. The court in the above-referenced action denied the plaintiff’s motion for a temporary restraining order that had sought to enjoin the US Airways Group Annual Meeting of Stockholders. The above-referenced action was stayed pending the outcome of the antitrust lawsuit filed by the U.S. government and various states on August 13, 2013 (described above). This stay has now been lifted and a motion to dismiss this action filed by US Airways Group is pending before the court. American believes this lawsuit is without merit and intends to vigorously defend against the allegations.</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Private Party Antitrust Action</w:t>
      </w:r>
      <w:r>
        <w:rPr>
          <w:rFonts w:ascii="Arial" w:cs="Arial" w:eastAsia="Arial" w:hAnsi="Arial"/>
          <w:sz w:val="18"/>
          <w:szCs w:val="18"/>
          <w:color w:val="auto"/>
        </w:rPr>
        <w:t>. On July 2, 2013, a lawsuit captioned Carolyn Fjord, et al., v. US Airways Group, Inc., et al., was filed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District Court for the Northern District of California. The complaint names as defendants US Airways Group and US Airways, and alleges that the effect of the Merger may be to substantially lessen competition or tend to create a monopoly in violation of Section 7 of the Clayton Antitrust Act. The relief sought in the complaint includes an injunction against the Merger, or divestiture. On August 6, 2013, the plaintiffs re-filed their complaint in the Bankruptcy Court, adding AMR and American as defendants, and on October 2, 2013, dismissed the initial California action. The Bankruptcy Court denied plaintiffs’ motion to preliminarily enjoin the Merger. On January 10, 2014, the plaintiffs moved to amend their complaint to add additional factual allegations, a claim for money damages and a request for preliminary injunctive relief requiring the carriers to hold separate their assets. On March 14, 2014, the Court allowed plaintiffs to add certain allegations but denied plaintiffs' requests to add a damages claim or seek preliminary injunctive relief requiring the carriers to hold separate their assets. There is currently no trial date set. American believes this lawsuit is without merit and intends to vigorously defend against the allegations.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American is also engaged in other legal proceedings from time to time. Legal proceedings can be complex and take many months, or even</w:t>
      </w:r>
      <w:r>
        <w:rPr>
          <w:rFonts w:ascii="Arial" w:cs="Arial" w:eastAsia="Arial" w:hAnsi="Arial"/>
          <w:sz w:val="18"/>
          <w:szCs w:val="18"/>
          <w:i w:val="1"/>
          <w:iCs w:val="1"/>
          <w:color w:val="auto"/>
        </w:rPr>
        <w:t xml:space="preserve"> </w:t>
      </w:r>
      <w:r>
        <w:rPr>
          <w:rFonts w:ascii="Arial" w:cs="Arial" w:eastAsia="Arial" w:hAnsi="Arial"/>
          <w:sz w:val="18"/>
          <w:szCs w:val="18"/>
          <w:color w:val="auto"/>
        </w:rPr>
        <w:t>years, to reach resolution, with the final outcome depending on a number of variables, some of which are not within the control of American. Therefore, although American will vigorously defend itself in each of the actions described above and such other legal proceedings, their ultimate resolution and potential financial and other impacts on American are uncertain.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2013 (the 2013 Form 10-K). The information contained herein is not a comprehensive discussion and analysis of the financial condition and results of operations of the Company, but rather updates disclosures made in the 2013 Form 10-K.</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American Airlines Group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Following the consummation of the Merger with US Airways Group on December 9, 2013, AAG began moving toward operating under the single brand name of "American Airlines" through its mainline operations, American and US Airways. Until a single operating certificate is issued by the Federal Aviation Administration (FAA) and the operational integration is complete, American and US Airways will continue to operate as separate airlines. This integration process is expected to take 18-24 months. Together with our wholly-owned regional airline subsidiaries and third-party regional carriers operating under the brand names American Eagle and US Airways Express, our airlines operate an average of nearly 6,700 flights per day to 339 destinations in 54 countries from our hubs in Charlotte, Chicago, Dallas/Fort Worth, Los Angeles, Miami, New York, Philadelphia, Phoenix and Washington, D.C. For the three months ended March 31, 2014, we had approximately 47 million passengers boarding our mainline and regional flights. As of March 31, 2014, we operated 977 mainline jets and were supported by our regional airline subsidiaries and third-party regional carriers which operated 560 regional aircraft.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Airline Industry</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first quarter of 2014, the U.S. airline industry was significantly impacted by severe winter weather. The month of February included the highest number of cancellations in the U.S. airline industry in 25 years. Despite these operational challenges, the U.S. airline industry experienced year-over-year growth in passenger revenues driven by strong demand for air travel.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its most recent data available, Airlines for America, the trade association for U.S. airlines, reported the following changes in U.S. industry passenger revenues and yields: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2"/>
          </w:tcPr>
          <w:p>
            <w:pPr>
              <w:ind w:left="40"/>
              <w:spacing w:after="0"/>
              <w:rPr>
                <w:sz w:val="20"/>
                <w:szCs w:val="20"/>
                <w:color w:val="auto"/>
              </w:rPr>
            </w:pPr>
            <w:r>
              <w:rPr>
                <w:rFonts w:ascii="Arial" w:cs="Arial" w:eastAsia="Arial" w:hAnsi="Arial"/>
                <w:sz w:val="18"/>
                <w:szCs w:val="18"/>
                <w:i w:val="1"/>
                <w:iCs w:val="1"/>
                <w:color w:val="auto"/>
              </w:rPr>
              <w:t>2014 vs 2013</w:t>
            </w:r>
          </w:p>
        </w:tc>
        <w:tc>
          <w:tcPr>
            <w:tcW w:w="1640" w:type="dxa"/>
            <w:vAlign w:val="bottom"/>
            <w:gridSpan w:val="2"/>
          </w:tcPr>
          <w:p>
            <w:pPr>
              <w:ind w:left="480"/>
              <w:spacing w:after="0"/>
              <w:rPr>
                <w:sz w:val="20"/>
                <w:szCs w:val="20"/>
                <w:color w:val="auto"/>
              </w:rPr>
            </w:pPr>
            <w:r>
              <w:rPr>
                <w:rFonts w:ascii="Arial" w:cs="Arial" w:eastAsia="Arial" w:hAnsi="Arial"/>
                <w:sz w:val="18"/>
                <w:szCs w:val="18"/>
                <w:color w:val="auto"/>
              </w:rPr>
              <w:t>January</w:t>
            </w:r>
          </w:p>
        </w:tc>
        <w:tc>
          <w:tcPr>
            <w:tcW w:w="1700" w:type="dxa"/>
            <w:vAlign w:val="bottom"/>
            <w:gridSpan w:val="2"/>
          </w:tcPr>
          <w:p>
            <w:pPr>
              <w:ind w:left="480"/>
              <w:spacing w:after="0"/>
              <w:rPr>
                <w:sz w:val="20"/>
                <w:szCs w:val="20"/>
                <w:color w:val="auto"/>
              </w:rPr>
            </w:pPr>
            <w:r>
              <w:rPr>
                <w:rFonts w:ascii="Arial" w:cs="Arial" w:eastAsia="Arial" w:hAnsi="Arial"/>
                <w:sz w:val="18"/>
                <w:szCs w:val="18"/>
                <w:color w:val="auto"/>
              </w:rPr>
              <w:t>February</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March</w:t>
            </w:r>
          </w:p>
        </w:tc>
      </w:tr>
      <w:tr>
        <w:trPr>
          <w:trHeight w:val="27"/>
        </w:trPr>
        <w:tc>
          <w:tcPr>
            <w:tcW w:w="6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650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594"/>
        </w:trPr>
        <w:tc>
          <w:tcPr>
            <w:tcW w:w="6500" w:type="dxa"/>
            <w:vAlign w:val="bottom"/>
            <w:gridSpan w:val="2"/>
          </w:tcPr>
          <w:p>
            <w:pPr>
              <w:ind w:left="40"/>
              <w:spacing w:after="0"/>
              <w:rPr>
                <w:sz w:val="20"/>
                <w:szCs w:val="20"/>
                <w:color w:val="auto"/>
              </w:rPr>
            </w:pPr>
            <w:r>
              <w:rPr>
                <w:rFonts w:ascii="Arial" w:cs="Arial" w:eastAsia="Arial" w:hAnsi="Arial"/>
                <w:sz w:val="18"/>
                <w:szCs w:val="18"/>
                <w:i w:val="1"/>
                <w:iCs w:val="1"/>
                <w:color w:val="auto"/>
              </w:rPr>
              <w:t>2013 vs 2012</w:t>
            </w:r>
          </w:p>
        </w:tc>
        <w:tc>
          <w:tcPr>
            <w:tcW w:w="1640" w:type="dxa"/>
            <w:vAlign w:val="bottom"/>
            <w:gridSpan w:val="2"/>
          </w:tcPr>
          <w:p>
            <w:pPr>
              <w:ind w:left="480"/>
              <w:spacing w:after="0"/>
              <w:rPr>
                <w:sz w:val="20"/>
                <w:szCs w:val="20"/>
                <w:color w:val="auto"/>
              </w:rPr>
            </w:pPr>
            <w:r>
              <w:rPr>
                <w:rFonts w:ascii="Arial" w:cs="Arial" w:eastAsia="Arial" w:hAnsi="Arial"/>
                <w:sz w:val="18"/>
                <w:szCs w:val="18"/>
                <w:color w:val="auto"/>
              </w:rPr>
              <w:t>January</w:t>
            </w:r>
          </w:p>
        </w:tc>
        <w:tc>
          <w:tcPr>
            <w:tcW w:w="1700" w:type="dxa"/>
            <w:vAlign w:val="bottom"/>
            <w:gridSpan w:val="2"/>
          </w:tcPr>
          <w:p>
            <w:pPr>
              <w:ind w:left="480"/>
              <w:spacing w:after="0"/>
              <w:rPr>
                <w:sz w:val="20"/>
                <w:szCs w:val="20"/>
                <w:color w:val="auto"/>
              </w:rPr>
            </w:pPr>
            <w:r>
              <w:rPr>
                <w:rFonts w:ascii="Arial" w:cs="Arial" w:eastAsia="Arial" w:hAnsi="Arial"/>
                <w:sz w:val="18"/>
                <w:szCs w:val="18"/>
                <w:color w:val="auto"/>
              </w:rPr>
              <w:t>February</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March</w:t>
            </w:r>
          </w:p>
        </w:tc>
      </w:tr>
      <w:tr>
        <w:trPr>
          <w:trHeight w:val="27"/>
        </w:trPr>
        <w:tc>
          <w:tcPr>
            <w:tcW w:w="6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43"/>
        </w:trPr>
        <w:tc>
          <w:tcPr>
            <w:tcW w:w="650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1.0 %</w:t>
            </w:r>
          </w:p>
        </w:tc>
      </w:tr>
    </w:tbl>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With respect to international versus domestic performance, Airlines for America reported domestic markets outperformed the Atlantic and Pacific markets while the Latin market experienced higher year-over-year growth in passenger revenues.</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Jet fuel prices continue to follow the price of Brent crude oil more closely than the price of West Texas Intermediate crude oil. On average, fuel costs were lower in the first quarter of 2014 as compared to the first quarter 2013. The average daily spot price for Brent crude oil during the first quarter of 2014 was $108 per barrel as compared to an average daily spot price of $112 per barrel during the first quarter of 2013. On a daily basis, Brent crude oil prices fluctuated during the quarter between a high of $111 per barrel to a low of $106 per barrel at the close of the quarter on March 31, 2014.</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While the U.S. airline industry is currently benefiting from a favorable revenue environment and moderating fuel prices as described above, uncertainty exists regarding the economic conditions driving these factors. See Part II, Item 1A. Risk Factors - </w:t>
      </w:r>
      <w:r>
        <w:rPr>
          <w:rFonts w:ascii="Arial" w:cs="Arial" w:eastAsia="Arial" w:hAnsi="Arial"/>
          <w:sz w:val="16"/>
          <w:szCs w:val="16"/>
          <w:i w:val="1"/>
          <w:iCs w:val="1"/>
          <w:color w:val="auto"/>
        </w:rPr>
        <w:t>"Downturns in economic conditions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affect our business" </w:t>
      </w:r>
      <w:r>
        <w:rPr>
          <w:rFonts w:ascii="Arial" w:cs="Arial" w:eastAsia="Arial" w:hAnsi="Arial"/>
          <w:sz w:val="16"/>
          <w:szCs w:val="16"/>
          <w:color w:val="auto"/>
        </w:rPr>
        <w:t>and</w:t>
      </w:r>
      <w:r>
        <w:rPr>
          <w:rFonts w:ascii="Arial" w:cs="Arial" w:eastAsia="Arial" w:hAnsi="Arial"/>
          <w:sz w:val="16"/>
          <w:szCs w:val="16"/>
          <w:i w:val="1"/>
          <w:iCs w:val="1"/>
          <w:color w:val="auto"/>
        </w:rPr>
        <w:t xml:space="preserve"> "Our business is dependent on the price and availability of aircraft fuel. Continued periods of high volatility in fuel costs, increased fuel prices and significant disruptions in the supply of aircraft fuel could have a significant negative impact on our operating results and liquidity."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2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American Airlines Group</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AAG’s first quarter 2013 results do not include the financial results of US Airways Group as the closing of the Merger occurred on December 9, 2013. Additionally, US Airways Group applied acquisition accounting as of December 9, 2013 and its financial statements after December 9, 2013 are deemed not comparable to its financial statements for periods prior to the Merger. Accordingly, our first quarter 2014 results under U.S. Generally Accepted Accounting Principles (GAAP) are not comparable to the GAAP results for the first quarter of 2013. However, to provide a basis for comparison to prior year results, we have presented in the table below certain "combined" first quarter 2013 financial data which includes the financial results of AAG and US Airways Group, each on a standalone basis. While this is a non-GAAP measure, management believes this presentation provides a more meaningful quarter-over-quarter comparison.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980" w:type="dxa"/>
            <w:vAlign w:val="bottom"/>
            <w:gridSpan w:val="5"/>
          </w:tcPr>
          <w:p>
            <w:pPr>
              <w:ind w:left="120"/>
              <w:spacing w:after="0"/>
              <w:rPr>
                <w:sz w:val="20"/>
                <w:szCs w:val="20"/>
                <w:color w:val="auto"/>
              </w:rPr>
            </w:pPr>
            <w:r>
              <w:rPr>
                <w:rFonts w:ascii="Arial" w:cs="Arial" w:eastAsia="Arial" w:hAnsi="Arial"/>
                <w:sz w:val="18"/>
                <w:szCs w:val="18"/>
                <w:color w:val="auto"/>
                <w:w w:val="95"/>
              </w:rPr>
              <w:t>Three Months Ended March 31, 2013</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color w:val="auto"/>
                <w:w w:val="89"/>
              </w:rPr>
              <w:t>Three Months Ended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w w:val="96"/>
              </w:rPr>
              <w:t>US Airways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w w:val="89"/>
              </w:rPr>
              <w:t>Percent Change</w:t>
            </w:r>
          </w:p>
        </w:tc>
        <w:tc>
          <w:tcPr>
            <w:tcW w:w="0" w:type="dxa"/>
            <w:vAlign w:val="bottom"/>
          </w:tcPr>
          <w:p>
            <w:pPr>
              <w:spacing w:after="0"/>
              <w:rPr>
                <w:sz w:val="1"/>
                <w:szCs w:val="1"/>
                <w:color w:val="auto"/>
              </w:rPr>
            </w:pPr>
          </w:p>
        </w:tc>
      </w:tr>
      <w:tr>
        <w:trPr>
          <w:trHeight w:val="68"/>
        </w:trPr>
        <w:tc>
          <w:tcPr>
            <w:tcW w:w="4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40" w:type="dxa"/>
            <w:vAlign w:val="bottom"/>
            <w:vMerge w:val="restart"/>
          </w:tcPr>
          <w:p>
            <w:pPr>
              <w:jc w:val="right"/>
              <w:ind w:right="330"/>
              <w:spacing w:after="0"/>
              <w:rPr>
                <w:sz w:val="20"/>
                <w:szCs w:val="20"/>
                <w:color w:val="auto"/>
              </w:rPr>
            </w:pPr>
            <w:r>
              <w:rPr>
                <w:rFonts w:ascii="Arial" w:cs="Arial" w:eastAsia="Arial" w:hAnsi="Arial"/>
                <w:sz w:val="18"/>
                <w:szCs w:val="18"/>
                <w:color w:val="auto"/>
              </w:rPr>
              <w:t>March 31, 2014</w:t>
            </w:r>
          </w:p>
        </w:tc>
        <w:tc>
          <w:tcPr>
            <w:tcW w:w="300" w:type="dxa"/>
            <w:vAlign w:val="bottom"/>
          </w:tcPr>
          <w:p>
            <w:pPr>
              <w:spacing w:after="0"/>
              <w:rPr>
                <w:sz w:val="5"/>
                <w:szCs w:val="5"/>
                <w:color w:val="auto"/>
              </w:rPr>
            </w:pPr>
          </w:p>
        </w:tc>
        <w:tc>
          <w:tcPr>
            <w:tcW w:w="980" w:type="dxa"/>
            <w:vAlign w:val="bottom"/>
            <w:vMerge w:val="restart"/>
          </w:tcPr>
          <w:p>
            <w:pPr>
              <w:jc w:val="right"/>
              <w:ind w:right="332"/>
              <w:spacing w:after="0"/>
              <w:rPr>
                <w:sz w:val="20"/>
                <w:szCs w:val="20"/>
                <w:color w:val="auto"/>
              </w:rPr>
            </w:pPr>
            <w:r>
              <w:rPr>
                <w:rFonts w:ascii="Arial" w:cs="Arial" w:eastAsia="Arial" w:hAnsi="Arial"/>
                <w:sz w:val="18"/>
                <w:szCs w:val="18"/>
                <w:color w:val="auto"/>
              </w:rPr>
              <w:t>AAG</w:t>
            </w:r>
          </w:p>
        </w:tc>
        <w:tc>
          <w:tcPr>
            <w:tcW w:w="300" w:type="dxa"/>
            <w:vAlign w:val="bottom"/>
          </w:tcPr>
          <w:p>
            <w:pPr>
              <w:spacing w:after="0"/>
              <w:rPr>
                <w:sz w:val="5"/>
                <w:szCs w:val="5"/>
                <w:color w:val="auto"/>
              </w:rPr>
            </w:pPr>
          </w:p>
        </w:tc>
        <w:tc>
          <w:tcPr>
            <w:tcW w:w="1100" w:type="dxa"/>
            <w:vAlign w:val="bottom"/>
            <w:vMerge w:val="restart"/>
          </w:tcPr>
          <w:p>
            <w:pPr>
              <w:jc w:val="right"/>
              <w:ind w:right="310"/>
              <w:spacing w:after="0"/>
              <w:rPr>
                <w:sz w:val="20"/>
                <w:szCs w:val="20"/>
                <w:color w:val="auto"/>
              </w:rPr>
            </w:pPr>
            <w:r>
              <w:rPr>
                <w:rFonts w:ascii="Arial" w:cs="Arial" w:eastAsia="Arial" w:hAnsi="Arial"/>
                <w:sz w:val="18"/>
                <w:szCs w:val="18"/>
                <w:color w:val="auto"/>
              </w:rPr>
              <w:t>Group</w:t>
            </w:r>
          </w:p>
        </w:tc>
        <w:tc>
          <w:tcPr>
            <w:tcW w:w="320" w:type="dxa"/>
            <w:vAlign w:val="bottom"/>
          </w:tcPr>
          <w:p>
            <w:pPr>
              <w:spacing w:after="0"/>
              <w:rPr>
                <w:sz w:val="5"/>
                <w:szCs w:val="5"/>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8"/>
                <w:szCs w:val="18"/>
                <w:color w:val="auto"/>
              </w:rPr>
              <w:t>Combined</w:t>
            </w: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tcPr>
          <w:p>
            <w:pPr>
              <w:jc w:val="right"/>
              <w:ind w:right="45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Mainline and regional passenger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8,665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5,293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8,253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Total operating revenues</w:t>
            </w:r>
          </w:p>
        </w:tc>
        <w:tc>
          <w:tcPr>
            <w:tcW w:w="120" w:type="dxa"/>
            <w:vAlign w:val="bottom"/>
          </w:tcPr>
          <w:p>
            <w:pPr>
              <w:spacing w:after="0"/>
              <w:rPr>
                <w:sz w:val="21"/>
                <w:szCs w:val="21"/>
                <w:color w:val="auto"/>
              </w:rPr>
            </w:pPr>
          </w:p>
        </w:tc>
        <w:tc>
          <w:tcPr>
            <w:tcW w:w="1740" w:type="dxa"/>
            <w:vAlign w:val="bottom"/>
          </w:tcPr>
          <w:p>
            <w:pPr>
              <w:jc w:val="right"/>
              <w:ind w:right="250"/>
              <w:spacing w:after="0"/>
              <w:rPr>
                <w:sz w:val="20"/>
                <w:szCs w:val="20"/>
                <w:color w:val="auto"/>
              </w:rPr>
            </w:pPr>
            <w:r>
              <w:rPr>
                <w:rFonts w:ascii="Arial" w:cs="Arial" w:eastAsia="Arial" w:hAnsi="Arial"/>
                <w:sz w:val="18"/>
                <w:szCs w:val="18"/>
                <w:color w:val="auto"/>
              </w:rPr>
              <w:t>9,995</w:t>
            </w:r>
          </w:p>
        </w:tc>
        <w:tc>
          <w:tcPr>
            <w:tcW w:w="30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6,098</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3,370</w:t>
            </w: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9,468</w:t>
            </w:r>
          </w:p>
        </w:tc>
        <w:tc>
          <w:tcPr>
            <w:tcW w:w="1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Mainline and regional aircraft fuel and related taxes</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3,211</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2,199</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3,331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1"/>
                <w:szCs w:val="21"/>
                <w:color w:val="auto"/>
              </w:rPr>
            </w:pPr>
          </w:p>
        </w:tc>
        <w:tc>
          <w:tcPr>
            <w:tcW w:w="1740" w:type="dxa"/>
            <w:vAlign w:val="bottom"/>
          </w:tcPr>
          <w:p>
            <w:pPr>
              <w:jc w:val="right"/>
              <w:ind w:right="250"/>
              <w:spacing w:after="0"/>
              <w:rPr>
                <w:sz w:val="20"/>
                <w:szCs w:val="20"/>
                <w:color w:val="auto"/>
              </w:rPr>
            </w:pPr>
            <w:r>
              <w:rPr>
                <w:rFonts w:ascii="Arial" w:cs="Arial" w:eastAsia="Arial" w:hAnsi="Arial"/>
                <w:sz w:val="18"/>
                <w:szCs w:val="18"/>
                <w:color w:val="auto"/>
              </w:rPr>
              <w:t>9,265</w:t>
            </w:r>
          </w:p>
        </w:tc>
        <w:tc>
          <w:tcPr>
            <w:tcW w:w="30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6,027</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3,268</w:t>
            </w: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9,295</w:t>
            </w:r>
          </w:p>
        </w:tc>
        <w:tc>
          <w:tcPr>
            <w:tcW w:w="1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730</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1"/>
                <w:szCs w:val="21"/>
                <w:color w:val="auto"/>
              </w:rPr>
            </w:pPr>
          </w:p>
        </w:tc>
        <w:tc>
          <w:tcPr>
            <w:tcW w:w="1740" w:type="dxa"/>
            <w:vAlign w:val="bottom"/>
          </w:tcPr>
          <w:p>
            <w:pPr>
              <w:jc w:val="right"/>
              <w:ind w:right="250"/>
              <w:spacing w:after="0"/>
              <w:rPr>
                <w:sz w:val="20"/>
                <w:szCs w:val="20"/>
                <w:color w:val="auto"/>
              </w:rPr>
            </w:pPr>
            <w:r>
              <w:rPr>
                <w:rFonts w:ascii="Arial" w:cs="Arial" w:eastAsia="Arial" w:hAnsi="Arial"/>
                <w:sz w:val="18"/>
                <w:szCs w:val="18"/>
                <w:color w:val="auto"/>
              </w:rPr>
              <w:t>480</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(341)</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special charges (credits)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349</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23"/>
          <w:szCs w:val="23"/>
          <w:color w:val="auto"/>
          <w:vertAlign w:val="superscript"/>
        </w:rPr>
      </w:pPr>
      <w:r>
        <w:rPr>
          <w:rFonts w:ascii="Arial" w:cs="Arial" w:eastAsia="Arial" w:hAnsi="Arial"/>
          <w:sz w:val="17"/>
          <w:szCs w:val="17"/>
          <w:color w:val="auto"/>
        </w:rPr>
        <w:t>Percent change is a comparison of the combined results.</w:t>
      </w:r>
    </w:p>
    <w:p>
      <w:pPr>
        <w:spacing w:after="0" w:line="147" w:lineRule="exact"/>
        <w:rPr>
          <w:rFonts w:ascii="Arial" w:cs="Arial" w:eastAsia="Arial" w:hAnsi="Arial"/>
          <w:sz w:val="23"/>
          <w:szCs w:val="23"/>
          <w:color w:val="auto"/>
          <w:vertAlign w:val="superscript"/>
        </w:rPr>
      </w:pPr>
    </w:p>
    <w:p>
      <w:pPr>
        <w:ind w:firstLine="8"/>
        <w:spacing w:after="0" w:line="252" w:lineRule="auto"/>
        <w:tabs>
          <w:tab w:leader="none" w:pos="192"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AAG's first quarter 2013 standalone results were significantly impacted by costs incurred in its Chapter 11 Cases. Included in AAG's standalone net special charges of $349 million for the first quarter of 2013 were $276 million of bankruptcy related reorganization expenses and interest charges.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First Quarter 2014 Results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first quarter of 2014, we realized operating income of $730 million and net income of $480 million. This compares to combined operating income of $173 million and a combined net loss of $297 million in the first quarter of 2013. Our first quarter 2014 net income included net special credits of $78 million, while the first quarter of 2013 included combined net special charges of $359 million. Excluding the effects of net special items, we recognized net income of $402 million in the first quarter of 2014 which is a $340 million improvement as compared to combined net income of $62 million in the first quarter of 2013. See “</w:t>
      </w:r>
      <w:r>
        <w:rPr>
          <w:rFonts w:ascii="Arial" w:cs="Arial" w:eastAsia="Arial" w:hAnsi="Arial"/>
          <w:sz w:val="17"/>
          <w:szCs w:val="17"/>
          <w:i w:val="1"/>
          <w:iCs w:val="1"/>
          <w:color w:val="auto"/>
        </w:rPr>
        <w:t>AAG's Results of Operations”</w:t>
      </w:r>
      <w:r>
        <w:rPr>
          <w:rFonts w:ascii="Arial" w:cs="Arial" w:eastAsia="Arial" w:hAnsi="Arial"/>
          <w:sz w:val="17"/>
          <w:szCs w:val="17"/>
          <w:color w:val="auto"/>
        </w:rPr>
        <w:t xml:space="preserve"> included in Part I, Item 2 of this report for more information on net special items.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Revenue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quarter of 2014, our operations were significantly impacted by severe weather at our hubs in Charlotte, Chicago, Dallas/Fort Worth, New York, Philadelphia, and Washington, D.C. In total, we canceled more than 34,000 flights. We estimate these weather-related cancellations reduced 2014 first quarter revenue by approximately $115 million.</w:t>
      </w:r>
    </w:p>
    <w:p>
      <w:pPr>
        <w:spacing w:after="0" w:line="1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Despite these challenges in the first quarter of 2014, we reported operating revenues of $10.0 billion. Mainline and regional passenger revenues were $8.7 billion, an increase of $412 million, or 5.0%, as compared to the combined first quarter of 2013 passenger revenues of $8.3 billion. The growth in revenues was driven by a 1.7% increase in revenue passenger miles and a 3.2% increase in yield. Our mainline and regional passenger revenue per available seat mile (PRASM) was 13.67 cents in the first quarter of 2014, a 2.9% increase as compared to a combined 13.28 cents in the first quarter of 2013.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26"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i w:val="1"/>
          <w:iCs w:val="1"/>
          <w:u w:val="single" w:color="auto"/>
          <w:color w:val="auto"/>
        </w:rPr>
        <w:t>Fuel</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Mainline and regional fuel expense was $3.2 billion in first quarter of 2014, which was $120 million, or 3.6%, lower as compared to the combined mainline and regional fuel expense in the first quarter of 2013. A 4.7% decrease in the average price per gallon to $3.10 for the first quarter of 2014 from a combined average price per gallon of $3.25 for the first quarter of 2013 drove the reduction in expense. The decrease in average fuel price per gallon was offset in part by a 1.2% increase in consumption. We have not entered into any fuel hedges since the effective date of the Merger, and our current policy is not to do so.</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Capacity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system capacity for the combined company increased 2.0% in the first quarter of 2014 primarily due to more active aircraft, larger gauge aircraft replacing smaller legacy aircraft and longer stage length.</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Cost Control</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remain committed to maintaining a low cost structure, which we believe is necessary in an industry whose economic prospects are heavily dependent upon two variables we cannot control: the health of the economy and the price of fuel. Our 2014 first quarter mainline cost per available seat mile (CASM) excluding special items, fuel and profit sharing was 8.96 cents. When compared to the 2013 first quarter combined results, mainline CASM excluding special items, fuel and profit sharing increased 4.0% in the first quarter of 2014. The increase was primarily due to fewer flown available seat miles (ASMs) as a result of weather-related conditions, higher salaries, wages and benefits driven by our Merger Pilot Memorandum of Understanding (MOU) that was effective upon the closing of the Merger and newly implemented FAA rules on pilot and flight attendant duty times. Expenses associated with certain stock-based compensation programs also contributed to the increase, as our stock price rose from $25.25 to $36.60 per share during the first quarter of 2014. See below for the </w:t>
      </w:r>
      <w:r>
        <w:rPr>
          <w:rFonts w:ascii="Arial" w:cs="Arial" w:eastAsia="Arial" w:hAnsi="Arial"/>
          <w:sz w:val="17"/>
          <w:szCs w:val="17"/>
          <w:i w:val="1"/>
          <w:iCs w:val="1"/>
          <w:color w:val="auto"/>
        </w:rPr>
        <w:t>"Reconciliation of GAAP Financial Information to Non-GAAP Financial Information."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Customer Service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committed to consistently delivering safe, reliable and convenient service to our customers in every aspect of our operation. As previously discussed, our operations in the first quarter of 2014 were impacted by severe winter weather conditions resulting in the cancellation of more than 34,000 flights. The severe weather conditions impacted the entire U.S. airline industry. As reported through February 2014, the most recent period for which the Department of Transportation (DOT) has published its Air Travel Consumer Report, we ranked first in on-time arrivals among our big hub-and-spoke carrier peers on a year-to-date basis.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reported the following combined operating statistics to the DOT for mainline operations for the first quarter of 2014 and 2013:</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2013(a)</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80" w:type="dxa"/>
            <w:vAlign w:val="bottom"/>
            <w:gridSpan w:val="9"/>
          </w:tcPr>
          <w:p>
            <w:pPr>
              <w:ind w:left="480"/>
              <w:spacing w:after="0"/>
              <w:rPr>
                <w:sz w:val="20"/>
                <w:szCs w:val="20"/>
                <w:color w:val="auto"/>
              </w:rPr>
            </w:pPr>
            <w:r>
              <w:rPr>
                <w:rFonts w:ascii="Arial" w:cs="Arial" w:eastAsia="Arial" w:hAnsi="Arial"/>
                <w:sz w:val="14"/>
                <w:szCs w:val="14"/>
                <w:b w:val="1"/>
                <w:bCs w:val="1"/>
                <w:color w:val="auto"/>
              </w:rPr>
              <w:t>Better (Worse) 2014-2013</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40" w:type="dxa"/>
            <w:vAlign w:val="bottom"/>
          </w:tcPr>
          <w:p>
            <w:pPr>
              <w:spacing w:after="0"/>
              <w:rPr>
                <w:sz w:val="12"/>
                <w:szCs w:val="12"/>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January</w:t>
            </w:r>
          </w:p>
        </w:tc>
        <w:tc>
          <w:tcPr>
            <w:tcW w:w="106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February</w:t>
            </w: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March</w:t>
            </w:r>
          </w:p>
        </w:tc>
        <w:tc>
          <w:tcPr>
            <w:tcW w:w="1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w w:val="88"/>
              </w:rPr>
              <w:t>(f)</w:t>
            </w:r>
          </w:p>
        </w:tc>
        <w:tc>
          <w:tcPr>
            <w:tcW w:w="500" w:type="dxa"/>
            <w:vAlign w:val="bottom"/>
            <w:vMerge w:val="restart"/>
          </w:tcPr>
          <w:p>
            <w:pPr>
              <w:spacing w:after="0"/>
              <w:rPr>
                <w:sz w:val="12"/>
                <w:szCs w:val="12"/>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January</w:t>
            </w:r>
          </w:p>
        </w:tc>
        <w:tc>
          <w:tcPr>
            <w:tcW w:w="110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February</w:t>
            </w:r>
          </w:p>
        </w:tc>
        <w:tc>
          <w:tcPr>
            <w:tcW w:w="660" w:type="dxa"/>
            <w:vAlign w:val="bottom"/>
            <w:gridSpan w:val="2"/>
            <w:vMerge w:val="restart"/>
          </w:tcPr>
          <w:p>
            <w:pPr>
              <w:jc w:val="center"/>
              <w:ind w:left="174"/>
              <w:spacing w:after="0"/>
              <w:rPr>
                <w:sz w:val="20"/>
                <w:szCs w:val="20"/>
                <w:color w:val="auto"/>
              </w:rPr>
            </w:pPr>
            <w:r>
              <w:rPr>
                <w:rFonts w:ascii="Arial" w:cs="Arial" w:eastAsia="Arial" w:hAnsi="Arial"/>
                <w:sz w:val="14"/>
                <w:szCs w:val="14"/>
                <w:b w:val="1"/>
                <w:bCs w:val="1"/>
                <w:color w:val="auto"/>
                <w:w w:val="96"/>
              </w:rPr>
              <w:t>March</w:t>
            </w:r>
          </w:p>
        </w:tc>
        <w:tc>
          <w:tcPr>
            <w:tcW w:w="580" w:type="dxa"/>
            <w:vAlign w:val="bottom"/>
            <w:vMerge w:val="restart"/>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January</w:t>
            </w:r>
          </w:p>
        </w:tc>
        <w:tc>
          <w:tcPr>
            <w:tcW w:w="10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February</w:t>
            </w:r>
          </w:p>
        </w:tc>
        <w:tc>
          <w:tcPr>
            <w:tcW w:w="360" w:type="dxa"/>
            <w:vAlign w:val="bottom"/>
          </w:tcPr>
          <w:p>
            <w:pPr>
              <w:spacing w:after="0"/>
              <w:rPr>
                <w:sz w:val="12"/>
                <w:szCs w:val="12"/>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March</w:t>
            </w: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060" w:type="dxa"/>
            <w:vAlign w:val="bottom"/>
            <w:gridSpan w:val="5"/>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100" w:type="dxa"/>
            <w:vAlign w:val="bottom"/>
            <w:gridSpan w:val="5"/>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On-time performance </w:t>
            </w:r>
            <w:r>
              <w:rPr>
                <w:rFonts w:ascii="Arial" w:cs="Arial" w:eastAsia="Arial" w:hAnsi="Arial"/>
                <w:sz w:val="8"/>
                <w:szCs w:val="8"/>
                <w:color w:val="auto"/>
              </w:rPr>
              <w:t>(b)</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76.5</w:t>
            </w:r>
          </w:p>
        </w:tc>
        <w:tc>
          <w:tcPr>
            <w:tcW w:w="240" w:type="dxa"/>
            <w:vAlign w:val="bottom"/>
            <w:shd w:val="clear" w:color="auto" w:fill="CCEEFF"/>
          </w:tcPr>
          <w:p>
            <w:pPr>
              <w:spacing w:after="0"/>
              <w:rPr>
                <w:sz w:val="23"/>
                <w:szCs w:val="23"/>
                <w:color w:val="auto"/>
              </w:rPr>
            </w:pPr>
          </w:p>
        </w:tc>
        <w:tc>
          <w:tcPr>
            <w:tcW w:w="820" w:type="dxa"/>
            <w:vAlign w:val="bottom"/>
            <w:gridSpan w:val="4"/>
            <w:shd w:val="clear" w:color="auto" w:fill="CCEEFF"/>
          </w:tcPr>
          <w:p>
            <w:pPr>
              <w:jc w:val="center"/>
              <w:ind w:left="176"/>
              <w:spacing w:after="0"/>
              <w:rPr>
                <w:sz w:val="20"/>
                <w:szCs w:val="20"/>
                <w:color w:val="auto"/>
              </w:rPr>
            </w:pPr>
            <w:r>
              <w:rPr>
                <w:rFonts w:ascii="Arial" w:cs="Arial" w:eastAsia="Arial" w:hAnsi="Arial"/>
                <w:sz w:val="18"/>
                <w:szCs w:val="18"/>
                <w:color w:val="auto"/>
                <w:w w:val="91"/>
              </w:rPr>
              <w:t>73.9</w:t>
            </w:r>
          </w:p>
        </w:tc>
        <w:tc>
          <w:tcPr>
            <w:tcW w:w="2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80.9</w:t>
            </w:r>
          </w:p>
        </w:tc>
        <w:tc>
          <w:tcPr>
            <w:tcW w:w="24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center"/>
              <w:ind w:left="234"/>
              <w:spacing w:after="0"/>
              <w:rPr>
                <w:sz w:val="20"/>
                <w:szCs w:val="20"/>
                <w:color w:val="auto"/>
              </w:rPr>
            </w:pPr>
            <w:r>
              <w:rPr>
                <w:rFonts w:ascii="Arial" w:cs="Arial" w:eastAsia="Arial" w:hAnsi="Arial"/>
                <w:sz w:val="18"/>
                <w:szCs w:val="18"/>
                <w:color w:val="auto"/>
                <w:w w:val="91"/>
              </w:rPr>
              <w:t>80.2</w:t>
            </w: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1"/>
              </w:rPr>
              <w:t>81.9</w:t>
            </w:r>
          </w:p>
        </w:tc>
        <w:tc>
          <w:tcPr>
            <w:tcW w:w="1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(4.4) pts</w:t>
            </w:r>
          </w:p>
        </w:tc>
        <w:tc>
          <w:tcPr>
            <w:tcW w:w="1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(6.3) pts</w:t>
            </w:r>
          </w:p>
        </w:tc>
        <w:tc>
          <w:tcPr>
            <w:tcW w:w="11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(1.4) pts</w:t>
            </w:r>
          </w:p>
        </w:tc>
        <w:tc>
          <w:tcPr>
            <w:tcW w:w="0" w:type="dxa"/>
            <w:vAlign w:val="bottom"/>
          </w:tcPr>
          <w:p>
            <w:pPr>
              <w:spacing w:after="0"/>
              <w:rPr>
                <w:sz w:val="1"/>
                <w:szCs w:val="1"/>
                <w:color w:val="auto"/>
              </w:rPr>
            </w:pPr>
          </w:p>
        </w:tc>
      </w:tr>
      <w:tr>
        <w:trPr>
          <w:trHeight w:val="264"/>
        </w:trPr>
        <w:tc>
          <w:tcPr>
            <w:tcW w:w="2440" w:type="dxa"/>
            <w:vAlign w:val="bottom"/>
          </w:tcPr>
          <w:p>
            <w:pPr>
              <w:ind w:left="20"/>
              <w:spacing w:after="0"/>
              <w:rPr>
                <w:sz w:val="20"/>
                <w:szCs w:val="20"/>
                <w:color w:val="auto"/>
              </w:rPr>
            </w:pPr>
            <w:r>
              <w:rPr>
                <w:rFonts w:ascii="Arial" w:cs="Arial" w:eastAsia="Arial" w:hAnsi="Arial"/>
                <w:sz w:val="14"/>
                <w:szCs w:val="14"/>
                <w:color w:val="auto"/>
              </w:rPr>
              <w:t xml:space="preserve">Completion factor </w:t>
            </w:r>
            <w:r>
              <w:rPr>
                <w:rFonts w:ascii="Arial" w:cs="Arial" w:eastAsia="Arial" w:hAnsi="Arial"/>
                <w:sz w:val="8"/>
                <w:szCs w:val="8"/>
                <w:color w:val="auto"/>
              </w:rPr>
              <w:t>(c)</w:t>
            </w: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96.7</w:t>
            </w:r>
          </w:p>
        </w:tc>
        <w:tc>
          <w:tcPr>
            <w:tcW w:w="240" w:type="dxa"/>
            <w:vAlign w:val="bottom"/>
          </w:tcPr>
          <w:p>
            <w:pPr>
              <w:spacing w:after="0"/>
              <w:rPr>
                <w:sz w:val="22"/>
                <w:szCs w:val="22"/>
                <w:color w:val="auto"/>
              </w:rPr>
            </w:pPr>
          </w:p>
        </w:tc>
        <w:tc>
          <w:tcPr>
            <w:tcW w:w="820" w:type="dxa"/>
            <w:vAlign w:val="bottom"/>
            <w:gridSpan w:val="4"/>
          </w:tcPr>
          <w:p>
            <w:pPr>
              <w:jc w:val="center"/>
              <w:ind w:left="176"/>
              <w:spacing w:after="0"/>
              <w:rPr>
                <w:sz w:val="20"/>
                <w:szCs w:val="20"/>
                <w:color w:val="auto"/>
              </w:rPr>
            </w:pPr>
            <w:r>
              <w:rPr>
                <w:rFonts w:ascii="Arial" w:cs="Arial" w:eastAsia="Arial" w:hAnsi="Arial"/>
                <w:sz w:val="18"/>
                <w:szCs w:val="18"/>
                <w:color w:val="auto"/>
                <w:w w:val="91"/>
              </w:rPr>
              <w:t>94.4</w:t>
            </w:r>
          </w:p>
        </w:tc>
        <w:tc>
          <w:tcPr>
            <w:tcW w:w="24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98.6</w:t>
            </w:r>
          </w:p>
        </w:tc>
        <w:tc>
          <w:tcPr>
            <w:tcW w:w="240" w:type="dxa"/>
            <w:vAlign w:val="bottom"/>
          </w:tcPr>
          <w:p>
            <w:pPr>
              <w:spacing w:after="0"/>
              <w:rPr>
                <w:sz w:val="22"/>
                <w:szCs w:val="22"/>
                <w:color w:val="auto"/>
              </w:rPr>
            </w:pPr>
          </w:p>
        </w:tc>
        <w:tc>
          <w:tcPr>
            <w:tcW w:w="7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98.1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gridSpan w:val="2"/>
          </w:tcPr>
          <w:p>
            <w:pPr>
              <w:jc w:val="center"/>
              <w:ind w:left="174"/>
              <w:spacing w:after="0"/>
              <w:rPr>
                <w:sz w:val="20"/>
                <w:szCs w:val="20"/>
                <w:color w:val="auto"/>
              </w:rPr>
            </w:pPr>
            <w:r>
              <w:rPr>
                <w:rFonts w:ascii="Arial" w:cs="Arial" w:eastAsia="Arial" w:hAnsi="Arial"/>
                <w:sz w:val="18"/>
                <w:szCs w:val="18"/>
                <w:color w:val="auto"/>
                <w:w w:val="91"/>
              </w:rPr>
              <w:t>98.9</w:t>
            </w:r>
          </w:p>
        </w:tc>
        <w:tc>
          <w:tcPr>
            <w:tcW w:w="1220" w:type="dxa"/>
            <w:vAlign w:val="bottom"/>
            <w:gridSpan w:val="3"/>
          </w:tcPr>
          <w:p>
            <w:pPr>
              <w:ind w:left="340"/>
              <w:spacing w:after="0"/>
              <w:rPr>
                <w:sz w:val="20"/>
                <w:szCs w:val="20"/>
                <w:color w:val="auto"/>
              </w:rPr>
            </w:pPr>
            <w:r>
              <w:rPr>
                <w:rFonts w:ascii="Arial" w:cs="Arial" w:eastAsia="Arial" w:hAnsi="Arial"/>
                <w:sz w:val="18"/>
                <w:szCs w:val="18"/>
                <w:color w:val="auto"/>
              </w:rPr>
              <w:t>(1.9) pts</w:t>
            </w:r>
          </w:p>
        </w:tc>
        <w:tc>
          <w:tcPr>
            <w:tcW w:w="1040" w:type="dxa"/>
            <w:vAlign w:val="bottom"/>
            <w:gridSpan w:val="3"/>
          </w:tcPr>
          <w:p>
            <w:pPr>
              <w:ind w:left="140"/>
              <w:spacing w:after="0"/>
              <w:rPr>
                <w:sz w:val="20"/>
                <w:szCs w:val="20"/>
                <w:color w:val="auto"/>
              </w:rPr>
            </w:pPr>
            <w:r>
              <w:rPr>
                <w:rFonts w:ascii="Arial" w:cs="Arial" w:eastAsia="Arial" w:hAnsi="Arial"/>
                <w:sz w:val="18"/>
                <w:szCs w:val="18"/>
                <w:color w:val="auto"/>
              </w:rPr>
              <w:t>(3.7) pts</w:t>
            </w:r>
          </w:p>
        </w:tc>
        <w:tc>
          <w:tcPr>
            <w:tcW w:w="1100" w:type="dxa"/>
            <w:vAlign w:val="bottom"/>
            <w:gridSpan w:val="4"/>
          </w:tcPr>
          <w:p>
            <w:pPr>
              <w:ind w:left="120"/>
              <w:spacing w:after="0"/>
              <w:rPr>
                <w:sz w:val="20"/>
                <w:szCs w:val="20"/>
                <w:color w:val="auto"/>
              </w:rPr>
            </w:pPr>
            <w:r>
              <w:rPr>
                <w:rFonts w:ascii="Arial" w:cs="Arial" w:eastAsia="Arial" w:hAnsi="Arial"/>
                <w:sz w:val="18"/>
                <w:szCs w:val="18"/>
                <w:color w:val="auto"/>
              </w:rPr>
              <w:t>(0.8) pts</w:t>
            </w:r>
          </w:p>
        </w:tc>
        <w:tc>
          <w:tcPr>
            <w:tcW w:w="0" w:type="dxa"/>
            <w:vAlign w:val="bottom"/>
          </w:tcPr>
          <w:p>
            <w:pPr>
              <w:spacing w:after="0"/>
              <w:rPr>
                <w:sz w:val="1"/>
                <w:szCs w:val="1"/>
                <w:color w:val="auto"/>
              </w:rPr>
            </w:pPr>
          </w:p>
        </w:tc>
      </w:tr>
      <w:tr>
        <w:trPr>
          <w:trHeight w:val="27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Mishandled baggage </w:t>
            </w:r>
            <w:r>
              <w:rPr>
                <w:rFonts w:ascii="Arial" w:cs="Arial" w:eastAsia="Arial" w:hAnsi="Arial"/>
                <w:sz w:val="8"/>
                <w:szCs w:val="8"/>
                <w:color w:val="auto"/>
              </w:rPr>
              <w:t>(d)</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4.37</w:t>
            </w:r>
          </w:p>
        </w:tc>
        <w:tc>
          <w:tcPr>
            <w:tcW w:w="240" w:type="dxa"/>
            <w:vAlign w:val="bottom"/>
            <w:shd w:val="clear" w:color="auto" w:fill="CCEEFF"/>
          </w:tcPr>
          <w:p>
            <w:pPr>
              <w:spacing w:after="0"/>
              <w:rPr>
                <w:sz w:val="24"/>
                <w:szCs w:val="24"/>
                <w:color w:val="auto"/>
              </w:rPr>
            </w:pPr>
          </w:p>
        </w:tc>
        <w:tc>
          <w:tcPr>
            <w:tcW w:w="820" w:type="dxa"/>
            <w:vAlign w:val="bottom"/>
            <w:gridSpan w:val="4"/>
            <w:shd w:val="clear" w:color="auto" w:fill="CCEEFF"/>
          </w:tcPr>
          <w:p>
            <w:pPr>
              <w:jc w:val="center"/>
              <w:ind w:left="176"/>
              <w:spacing w:after="0"/>
              <w:rPr>
                <w:sz w:val="20"/>
                <w:szCs w:val="20"/>
                <w:color w:val="auto"/>
              </w:rPr>
            </w:pPr>
            <w:r>
              <w:rPr>
                <w:rFonts w:ascii="Arial" w:cs="Arial" w:eastAsia="Arial" w:hAnsi="Arial"/>
                <w:sz w:val="18"/>
                <w:szCs w:val="18"/>
                <w:color w:val="auto"/>
                <w:w w:val="91"/>
              </w:rPr>
              <w:t>3.86</w:t>
            </w:r>
          </w:p>
        </w:tc>
        <w:tc>
          <w:tcPr>
            <w:tcW w:w="2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3.11</w:t>
            </w:r>
          </w:p>
        </w:tc>
        <w:tc>
          <w:tcPr>
            <w:tcW w:w="24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ind w:left="234"/>
              <w:spacing w:after="0"/>
              <w:rPr>
                <w:sz w:val="20"/>
                <w:szCs w:val="20"/>
                <w:color w:val="auto"/>
              </w:rPr>
            </w:pPr>
            <w:r>
              <w:rPr>
                <w:rFonts w:ascii="Arial" w:cs="Arial" w:eastAsia="Arial" w:hAnsi="Arial"/>
                <w:sz w:val="18"/>
                <w:szCs w:val="18"/>
                <w:color w:val="auto"/>
                <w:w w:val="91"/>
              </w:rPr>
              <w:t>2.74</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1"/>
              </w:rPr>
              <w:t>2.47</w:t>
            </w:r>
          </w:p>
        </w:tc>
        <w:tc>
          <w:tcPr>
            <w:tcW w:w="10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(48.6)%</w:t>
            </w:r>
          </w:p>
        </w:tc>
        <w:tc>
          <w:tcPr>
            <w:tcW w:w="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40" w:type="dxa"/>
            <w:vAlign w:val="bottom"/>
          </w:tcPr>
          <w:p>
            <w:pPr>
              <w:ind w:left="20"/>
              <w:spacing w:after="0"/>
              <w:rPr>
                <w:sz w:val="20"/>
                <w:szCs w:val="20"/>
                <w:color w:val="auto"/>
              </w:rPr>
            </w:pPr>
            <w:r>
              <w:rPr>
                <w:rFonts w:ascii="Arial" w:cs="Arial" w:eastAsia="Arial" w:hAnsi="Arial"/>
                <w:sz w:val="14"/>
                <w:szCs w:val="14"/>
                <w:color w:val="auto"/>
              </w:rPr>
              <w:t xml:space="preserve">Customer complaints </w:t>
            </w:r>
            <w:r>
              <w:rPr>
                <w:rFonts w:ascii="Arial" w:cs="Arial" w:eastAsia="Arial" w:hAnsi="Arial"/>
                <w:sz w:val="8"/>
                <w:szCs w:val="8"/>
                <w:color w:val="auto"/>
              </w:rPr>
              <w:t>(e)</w:t>
            </w: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2.60</w:t>
            </w:r>
          </w:p>
        </w:tc>
        <w:tc>
          <w:tcPr>
            <w:tcW w:w="240" w:type="dxa"/>
            <w:vAlign w:val="bottom"/>
          </w:tcPr>
          <w:p>
            <w:pPr>
              <w:spacing w:after="0"/>
              <w:rPr>
                <w:sz w:val="22"/>
                <w:szCs w:val="22"/>
                <w:color w:val="auto"/>
              </w:rPr>
            </w:pPr>
          </w:p>
        </w:tc>
        <w:tc>
          <w:tcPr>
            <w:tcW w:w="820" w:type="dxa"/>
            <w:vAlign w:val="bottom"/>
            <w:gridSpan w:val="4"/>
          </w:tcPr>
          <w:p>
            <w:pPr>
              <w:jc w:val="center"/>
              <w:ind w:left="176"/>
              <w:spacing w:after="0"/>
              <w:rPr>
                <w:sz w:val="20"/>
                <w:szCs w:val="20"/>
                <w:color w:val="auto"/>
              </w:rPr>
            </w:pPr>
            <w:r>
              <w:rPr>
                <w:rFonts w:ascii="Arial" w:cs="Arial" w:eastAsia="Arial" w:hAnsi="Arial"/>
                <w:sz w:val="18"/>
                <w:szCs w:val="18"/>
                <w:color w:val="auto"/>
                <w:w w:val="91"/>
              </w:rPr>
              <w:t>2.24</w:t>
            </w:r>
          </w:p>
        </w:tc>
        <w:tc>
          <w:tcPr>
            <w:tcW w:w="24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2.05</w:t>
            </w:r>
          </w:p>
        </w:tc>
        <w:tc>
          <w:tcPr>
            <w:tcW w:w="240" w:type="dxa"/>
            <w:vAlign w:val="bottom"/>
          </w:tcPr>
          <w:p>
            <w:pPr>
              <w:spacing w:after="0"/>
              <w:rPr>
                <w:sz w:val="22"/>
                <w:szCs w:val="22"/>
                <w:color w:val="auto"/>
              </w:rPr>
            </w:pPr>
          </w:p>
        </w:tc>
        <w:tc>
          <w:tcPr>
            <w:tcW w:w="76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1.64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gridSpan w:val="2"/>
          </w:tcPr>
          <w:p>
            <w:pPr>
              <w:jc w:val="center"/>
              <w:ind w:left="174"/>
              <w:spacing w:after="0"/>
              <w:rPr>
                <w:sz w:val="20"/>
                <w:szCs w:val="20"/>
                <w:color w:val="auto"/>
              </w:rPr>
            </w:pPr>
            <w:r>
              <w:rPr>
                <w:rFonts w:ascii="Arial" w:cs="Arial" w:eastAsia="Arial" w:hAnsi="Arial"/>
                <w:sz w:val="18"/>
                <w:szCs w:val="18"/>
                <w:color w:val="auto"/>
                <w:w w:val="91"/>
              </w:rPr>
              <w:t>1.35</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22"/>
                <w:szCs w:val="22"/>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2"/>
                <w:szCs w:val="22"/>
                <w:color w:val="auto"/>
              </w:rPr>
            </w:pPr>
          </w:p>
        </w:tc>
        <w:tc>
          <w:tcPr>
            <w:tcW w:w="800" w:type="dxa"/>
            <w:vAlign w:val="bottom"/>
            <w:gridSpan w:val="3"/>
          </w:tcPr>
          <w:p>
            <w:pPr>
              <w:ind w:left="120"/>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23"/>
          <w:szCs w:val="23"/>
          <w:color w:val="auto"/>
          <w:vertAlign w:val="superscript"/>
        </w:rPr>
      </w:pPr>
      <w:r>
        <w:rPr>
          <w:rFonts w:ascii="Arial" w:cs="Arial" w:eastAsia="Arial" w:hAnsi="Arial"/>
          <w:sz w:val="17"/>
          <w:szCs w:val="17"/>
          <w:color w:val="auto"/>
        </w:rPr>
        <w:t>Represents the combined historical operating statistics for American and US Airways.</w:t>
      </w:r>
    </w:p>
    <w:p>
      <w:pPr>
        <w:spacing w:after="0" w:line="55"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9"/>
        </w:numPr>
        <w:rPr>
          <w:rFonts w:ascii="Arial" w:cs="Arial" w:eastAsia="Arial" w:hAnsi="Arial"/>
          <w:sz w:val="23"/>
          <w:szCs w:val="23"/>
          <w:color w:val="auto"/>
          <w:vertAlign w:val="superscript"/>
        </w:rPr>
      </w:pPr>
      <w:r>
        <w:rPr>
          <w:rFonts w:ascii="Arial" w:cs="Arial" w:eastAsia="Arial" w:hAnsi="Arial"/>
          <w:sz w:val="17"/>
          <w:szCs w:val="17"/>
          <w:color w:val="auto"/>
        </w:rPr>
        <w:t>Percentage of reported flight operations arriving on time as defined by the DOT.</w:t>
      </w:r>
    </w:p>
    <w:p>
      <w:pPr>
        <w:spacing w:after="0" w:line="56" w:lineRule="exact"/>
        <w:rPr>
          <w:rFonts w:ascii="Arial" w:cs="Arial" w:eastAsia="Arial" w:hAnsi="Arial"/>
          <w:sz w:val="23"/>
          <w:szCs w:val="23"/>
          <w:color w:val="auto"/>
          <w:vertAlign w:val="superscript"/>
        </w:rPr>
      </w:pPr>
    </w:p>
    <w:p>
      <w:pPr>
        <w:ind w:left="200" w:hanging="192"/>
        <w:spacing w:after="0" w:line="186" w:lineRule="auto"/>
        <w:tabs>
          <w:tab w:leader="none" w:pos="20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Percentage of scheduled flight operations completed.</w:t>
      </w:r>
    </w:p>
    <w:p>
      <w:pPr>
        <w:spacing w:after="0" w:line="56" w:lineRule="exact"/>
        <w:rPr>
          <w:rFonts w:ascii="Arial" w:cs="Arial" w:eastAsia="Arial" w:hAnsi="Arial"/>
          <w:sz w:val="24"/>
          <w:szCs w:val="24"/>
          <w:color w:val="auto"/>
          <w:vertAlign w:val="superscript"/>
        </w:rPr>
      </w:pPr>
    </w:p>
    <w:p>
      <w:pPr>
        <w:ind w:left="200" w:hanging="192"/>
        <w:spacing w:after="0" w:line="194" w:lineRule="auto"/>
        <w:tabs>
          <w:tab w:leader="none" w:pos="200" w:val="left"/>
        </w:tabs>
        <w:numPr>
          <w:ilvl w:val="0"/>
          <w:numId w:val="29"/>
        </w:numPr>
        <w:rPr>
          <w:rFonts w:ascii="Arial" w:cs="Arial" w:eastAsia="Arial" w:hAnsi="Arial"/>
          <w:sz w:val="23"/>
          <w:szCs w:val="23"/>
          <w:color w:val="auto"/>
          <w:vertAlign w:val="superscript"/>
        </w:rPr>
      </w:pPr>
      <w:r>
        <w:rPr>
          <w:rFonts w:ascii="Arial" w:cs="Arial" w:eastAsia="Arial" w:hAnsi="Arial"/>
          <w:sz w:val="17"/>
          <w:szCs w:val="17"/>
          <w:color w:val="auto"/>
        </w:rPr>
        <w:t>Rate of mishandled baggage reports per 1,000 passengers.</w:t>
      </w:r>
    </w:p>
    <w:p>
      <w:pPr>
        <w:spacing w:after="0" w:line="56"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9"/>
        </w:numPr>
        <w:rPr>
          <w:rFonts w:ascii="Arial" w:cs="Arial" w:eastAsia="Arial" w:hAnsi="Arial"/>
          <w:sz w:val="23"/>
          <w:szCs w:val="23"/>
          <w:color w:val="auto"/>
          <w:vertAlign w:val="superscript"/>
        </w:rPr>
      </w:pPr>
      <w:r>
        <w:rPr>
          <w:rFonts w:ascii="Arial" w:cs="Arial" w:eastAsia="Arial" w:hAnsi="Arial"/>
          <w:sz w:val="17"/>
          <w:szCs w:val="17"/>
          <w:color w:val="auto"/>
        </w:rPr>
        <w:t>Rate of customer complaints filed with the DOT per 100,000 enplanements.</w:t>
      </w:r>
    </w:p>
    <w:p>
      <w:pPr>
        <w:spacing w:after="0" w:line="56" w:lineRule="exact"/>
        <w:rPr>
          <w:rFonts w:ascii="Arial" w:cs="Arial" w:eastAsia="Arial" w:hAnsi="Arial"/>
          <w:sz w:val="23"/>
          <w:szCs w:val="23"/>
          <w:color w:val="auto"/>
          <w:vertAlign w:val="superscript"/>
        </w:rPr>
      </w:pPr>
    </w:p>
    <w:p>
      <w:pPr>
        <w:ind w:left="180" w:hanging="172"/>
        <w:spacing w:after="0" w:line="186" w:lineRule="auto"/>
        <w:tabs>
          <w:tab w:leader="none" w:pos="18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March 2014 operating statistics are preliminary as the DOT has not issued its March 2014 Air Travel Consumer Report as of the date of this filing.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30"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i w:val="1"/>
          <w:iCs w:val="1"/>
          <w:u w:val="single" w:color="auto"/>
          <w:color w:val="auto"/>
        </w:rPr>
        <w:t>Liquidity Position</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2014, AAG's total cash and short-term investments was $10.6 billion, of which $947 million was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100330</wp:posOffset>
            </wp:positionV>
            <wp:extent cx="16465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March 31,</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w w:val="95"/>
              </w:rPr>
              <w:t>December 31,</w:t>
            </w:r>
          </w:p>
        </w:tc>
      </w:tr>
      <w:tr>
        <w:trPr>
          <w:trHeight w:val="230"/>
        </w:trPr>
        <w:tc>
          <w:tcPr>
            <w:tcW w:w="6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3"/>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w w:val="99"/>
              </w:rPr>
              <w:t>2013</w:t>
            </w:r>
          </w:p>
        </w:tc>
      </w:tr>
      <w:tr>
        <w:trPr>
          <w:trHeight w:val="27"/>
        </w:trPr>
        <w:tc>
          <w:tcPr>
            <w:tcW w:w="6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21"/>
                <w:szCs w:val="21"/>
                <w:color w:val="auto"/>
              </w:rPr>
            </w:pPr>
          </w:p>
        </w:tc>
      </w:tr>
      <w:tr>
        <w:trPr>
          <w:trHeight w:val="256"/>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9,251</w:t>
            </w:r>
          </w:p>
        </w:tc>
      </w:tr>
      <w:tr>
        <w:trPr>
          <w:trHeight w:val="270"/>
        </w:trPr>
        <w:tc>
          <w:tcPr>
            <w:tcW w:w="64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r>
      <w:tr>
        <w:trPr>
          <w:trHeight w:val="237"/>
        </w:trPr>
        <w:tc>
          <w:tcPr>
            <w:tcW w:w="6460" w:type="dxa"/>
            <w:vAlign w:val="bottom"/>
          </w:tcPr>
          <w:p>
            <w:pPr>
              <w:ind w:left="40"/>
              <w:spacing w:after="0"/>
              <w:rPr>
                <w:sz w:val="20"/>
                <w:szCs w:val="20"/>
                <w:color w:val="auto"/>
              </w:rPr>
            </w:pPr>
            <w:r>
              <w:rPr>
                <w:rFonts w:ascii="Arial" w:cs="Arial" w:eastAsia="Arial" w:hAnsi="Arial"/>
                <w:sz w:val="18"/>
                <w:szCs w:val="18"/>
                <w:color w:val="auto"/>
              </w:rPr>
              <w:t>Total cash and short-term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5737225"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37225" cy="180340"/>
                    </a:xfrm>
                    <a:prstGeom prst="rect">
                      <a:avLst/>
                    </a:prstGeom>
                    <a:noFill/>
                  </pic:spPr>
                </pic:pic>
              </a:graphicData>
            </a:graphic>
          </wp:anchor>
        </w:drawing>
      </w:r>
    </w:p>
    <w:p>
      <w:pPr>
        <w:ind w:left="340" w:hanging="332"/>
        <w:spacing w:after="0" w:line="202" w:lineRule="auto"/>
        <w:tabs>
          <w:tab w:leader="none" w:pos="34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Restricted cash and investments primarily include cash collateral to secure workers’ compensation claims.</w:t>
      </w:r>
    </w:p>
    <w:p>
      <w:pPr>
        <w:spacing w:after="0" w:line="1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improvement in our liquidity in the first quarter of 2014 was due primarily to our first quarter profitability and proceeds from our slot divestitures at Ronald Reagan Washington National Airport (DCA) in connection with our settlement of antitrust litigation brought by the DOJ related to our Merger.</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first quarter of 2014, we paid $84 million in cash for tax withholdings for employees in lieu of issuing 2.5 million shares of AAG Common Stock under the Plan. In April 2014, we paid an additional $162 million in cash for tax withholdings for employees in lieu of issuing 4.5 million shares of AAG Common Stock under the Plan. This brings the total cash paid since the Effective Date for tax withholdings in lieu of the issuance of approximately 20 million shares of AAG Common Stock under the Plan to $542 million.</w:t>
      </w:r>
    </w:p>
    <w:p>
      <w:pPr>
        <w:spacing w:after="0" w:line="1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Additionally, in March 2014, we notified the holders of US Airways Group's 7.25% convertible notes that we have elected to settle solely in cash instead of shares of AAG Common Stock all conversions during the period beginning on March 15, 2014 and ending on, and including, the second scheduled trading day immediately preceding the maturity date of May 15, 2014. This will reduce our diluted share count by approximately 4 million shares.</w:t>
      </w:r>
    </w:p>
    <w:p>
      <w:pPr>
        <w:spacing w:after="0" w:line="3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of March 31, 2014, approximately $750 million of our unrestricted cash balance was held in Venezuelan bolivars, valued at the weighted average applicable exchange rate of 6.32 bolivars to the dollar. This includes approximately $94 million valued at 4.3 bolivars, approximately $611 million valued at 6.3 bolivars, and approximately $45 million valued at 10.7 bolivars, with the rate depending on the date we submitted our repatriation request to the Venezuelan government. In the first quarter 2014, the Venezuelan government announced that a newly-implemented system (SICAD I) will determine the exchange rate (which fluctuates as determined by weekly auctions and at March 31, 2014 was 10.7 bolivars to the dollar) for repatriation of cash proceeds from ticket sales after January 1, 2014, and introduced new procedures for approval of repatriation of local currency. We are continuing to work with Venezuelan authorities regarding the timing and exchange rate applicable to the repatriation of funds held in local currency, are monitoring this situation closely and continue to evaluate our holdings of Venezuelan bolivars for potential impairment. See Part II, Item 1A. - Risk Factors "</w:t>
      </w:r>
      <w:r>
        <w:rPr>
          <w:rFonts w:ascii="Arial" w:cs="Arial" w:eastAsia="Arial" w:hAnsi="Arial"/>
          <w:sz w:val="16"/>
          <w:szCs w:val="16"/>
          <w:i w:val="1"/>
          <w:iCs w:val="1"/>
          <w:color w:val="auto"/>
        </w:rPr>
        <w:t>We operate a global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6"/>
          <w:szCs w:val="16"/>
          <w:color w:val="auto"/>
        </w:rPr>
        <w:t>for additional discussion of these and other currency risks.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2014 Outlook</w:t>
      </w:r>
    </w:p>
    <w:p>
      <w:pPr>
        <w:spacing w:after="0" w:line="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taken significant actions in the last year, including the completion of our restructuring and the Merger with US Airways Group, to restore our competitiveness. Although it is difficult to predict the price of oil or the strength of the economy, we believe that our first quarter financial results are evidence of the strong foundation we have in place and can build 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30"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i w:val="1"/>
          <w:iCs w:val="1"/>
          <w:u w:val="single" w:color="auto"/>
          <w:color w:val="auto"/>
        </w:rPr>
        <w:t>Reconciliation of GAAP Financial Information to Non-GAAP Financial Information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believe that the presentation of mainline CASM excluding fuel is useful to investors as both the cost and availability of fuel are subject to many economic and political factors beyond our control, and the exclusion of special items and profit sharing provides investors the ability to measure financial performance in a way that is more indicative of our ongoing performance and is more comparable to measures reported by other major airlines. Management uses mainline CASM excluding special items, fuel and profit sharing to evaluate our operating performance. Amounts may not recalculate due to rounding.</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gridSpan w:val="7"/>
          </w:tcPr>
          <w:p>
            <w:pPr>
              <w:jc w:val="center"/>
              <w:ind w:right="130"/>
              <w:spacing w:after="0"/>
              <w:rPr>
                <w:sz w:val="20"/>
                <w:szCs w:val="20"/>
                <w:color w:val="auto"/>
              </w:rPr>
            </w:pPr>
            <w:r>
              <w:rPr>
                <w:rFonts w:ascii="Arial" w:cs="Arial" w:eastAsia="Arial" w:hAnsi="Arial"/>
                <w:sz w:val="18"/>
                <w:szCs w:val="18"/>
                <w:color w:val="auto"/>
                <w:w w:val="91"/>
              </w:rPr>
              <w:t>Three Months Ended March 31, 2013</w:t>
            </w:r>
          </w:p>
        </w:tc>
        <w:tc>
          <w:tcPr>
            <w:tcW w:w="0" w:type="dxa"/>
            <w:vAlign w:val="bottom"/>
          </w:tcPr>
          <w:p>
            <w:pPr>
              <w:spacing w:after="0"/>
              <w:rPr>
                <w:sz w:val="1"/>
                <w:szCs w:val="1"/>
                <w:color w:val="auto"/>
              </w:rPr>
            </w:pPr>
          </w:p>
        </w:tc>
      </w:tr>
      <w:tr>
        <w:trPr>
          <w:trHeight w:val="27"/>
        </w:trPr>
        <w:tc>
          <w:tcPr>
            <w:tcW w:w="570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1"/>
              </w:rPr>
              <w:t>Reconciliation of Operating Cost per ASM Excluding Special Items, Fuel</w:t>
            </w: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w w:val="89"/>
              </w:rPr>
              <w:t>Three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US Airways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and Profit Sharing - Mainline Only</w:t>
            </w:r>
          </w:p>
        </w:tc>
        <w:tc>
          <w:tcPr>
            <w:tcW w:w="140" w:type="dxa"/>
            <w:vAlign w:val="bottom"/>
          </w:tcPr>
          <w:p>
            <w:pPr>
              <w:spacing w:after="0"/>
              <w:rPr>
                <w:sz w:val="20"/>
                <w:szCs w:val="20"/>
                <w:color w:val="auto"/>
              </w:rPr>
            </w:pP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March 31, 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AAG</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Group</w:t>
            </w:r>
          </w:p>
        </w:tc>
        <w:tc>
          <w:tcPr>
            <w:tcW w:w="14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2"/>
              </w:rPr>
              <w:t>Combined</w:t>
            </w:r>
          </w:p>
        </w:tc>
        <w:tc>
          <w:tcPr>
            <w:tcW w:w="0" w:type="dxa"/>
            <w:vAlign w:val="bottom"/>
          </w:tcPr>
          <w:p>
            <w:pPr>
              <w:spacing w:after="0"/>
              <w:rPr>
                <w:sz w:val="1"/>
                <w:szCs w:val="1"/>
                <w:color w:val="auto"/>
              </w:rPr>
            </w:pPr>
          </w:p>
        </w:tc>
      </w:tr>
      <w:tr>
        <w:trPr>
          <w:trHeight w:val="27"/>
        </w:trPr>
        <w:tc>
          <w:tcPr>
            <w:tcW w:w="5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gridSpan w:val="8"/>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40" w:type="dxa"/>
            <w:vAlign w:val="bottom"/>
            <w:gridSpan w:val="8"/>
          </w:tcPr>
          <w:p>
            <w:pPr>
              <w:ind w:left="1360"/>
              <w:spacing w:after="0"/>
              <w:rPr>
                <w:sz w:val="20"/>
                <w:szCs w:val="20"/>
                <w:color w:val="auto"/>
              </w:rPr>
            </w:pPr>
            <w:r>
              <w:rPr>
                <w:rFonts w:ascii="Arial" w:cs="Arial" w:eastAsia="Arial" w:hAnsi="Arial"/>
                <w:sz w:val="16"/>
                <w:szCs w:val="16"/>
                <w:color w:val="auto"/>
              </w:rPr>
              <w:t>(In millions, except per ASM amounts)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Less regional expenses:</w:t>
            </w: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Fuel</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43"/>
        </w:trPr>
        <w:tc>
          <w:tcPr>
            <w:tcW w:w="5700" w:type="dxa"/>
            <w:vAlign w:val="bottom"/>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mainline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r>
        <w:trPr>
          <w:trHeight w:val="243"/>
        </w:trPr>
        <w:tc>
          <w:tcPr>
            <w:tcW w:w="5700" w:type="dxa"/>
            <w:vAlign w:val="bottom"/>
          </w:tcPr>
          <w:p>
            <w:pPr>
              <w:ind w:left="160"/>
              <w:spacing w:after="0"/>
              <w:rPr>
                <w:sz w:val="20"/>
                <w:szCs w:val="20"/>
                <w:color w:val="auto"/>
              </w:rPr>
            </w:pPr>
            <w:r>
              <w:rPr>
                <w:rFonts w:ascii="Arial" w:cs="Arial" w:eastAsia="Arial" w:hAnsi="Arial"/>
                <w:sz w:val="18"/>
                <w:szCs w:val="18"/>
                <w:color w:val="auto"/>
              </w:rPr>
              <w:t>Less: Special items, net</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Mainline operating expenses, excluding special items</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7,573</w:t>
            </w:r>
          </w:p>
        </w:tc>
        <w:tc>
          <w:tcPr>
            <w:tcW w:w="0" w:type="dxa"/>
            <w:vAlign w:val="bottom"/>
          </w:tcPr>
          <w:p>
            <w:pPr>
              <w:spacing w:after="0"/>
              <w:rPr>
                <w:sz w:val="1"/>
                <w:szCs w:val="1"/>
                <w:color w:val="auto"/>
              </w:rPr>
            </w:pPr>
          </w:p>
        </w:tc>
      </w:tr>
      <w:tr>
        <w:trPr>
          <w:trHeight w:val="243"/>
        </w:trPr>
        <w:tc>
          <w:tcPr>
            <w:tcW w:w="5700" w:type="dxa"/>
            <w:vAlign w:val="bottom"/>
          </w:tcPr>
          <w:p>
            <w:pPr>
              <w:ind w:left="160"/>
              <w:spacing w:after="0"/>
              <w:rPr>
                <w:sz w:val="20"/>
                <w:szCs w:val="20"/>
                <w:color w:val="auto"/>
              </w:rPr>
            </w:pPr>
            <w:r>
              <w:rPr>
                <w:rFonts w:ascii="Arial" w:cs="Arial" w:eastAsia="Arial" w:hAnsi="Arial"/>
                <w:sz w:val="18"/>
                <w:szCs w:val="18"/>
                <w:color w:val="auto"/>
              </w:rPr>
              <w:t>Less: Aircraft fuel and related taxes</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Mainline operating expenses, excluding special items and fuel</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43"/>
        </w:trPr>
        <w:tc>
          <w:tcPr>
            <w:tcW w:w="5700" w:type="dxa"/>
            <w:vAlign w:val="bottom"/>
          </w:tcPr>
          <w:p>
            <w:pPr>
              <w:ind w:left="160"/>
              <w:spacing w:after="0"/>
              <w:rPr>
                <w:sz w:val="20"/>
                <w:szCs w:val="20"/>
                <w:color w:val="auto"/>
              </w:rPr>
            </w:pPr>
            <w:r>
              <w:rPr>
                <w:rFonts w:ascii="Arial" w:cs="Arial" w:eastAsia="Arial" w:hAnsi="Arial"/>
                <w:sz w:val="18"/>
                <w:szCs w:val="18"/>
                <w:color w:val="auto"/>
              </w:rPr>
              <w:t>Less: Profit sharing</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Mainline operating expenses, excluding special items, fuel and profit sharing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5,092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Seat Miles (ASM)</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55,354</w:t>
            </w:r>
          </w:p>
        </w:tc>
        <w:tc>
          <w:tcPr>
            <w:tcW w:w="0" w:type="dxa"/>
            <w:vAlign w:val="bottom"/>
          </w:tcPr>
          <w:p>
            <w:pPr>
              <w:spacing w:after="0"/>
              <w:rPr>
                <w:sz w:val="1"/>
                <w:szCs w:val="1"/>
                <w:color w:val="auto"/>
              </w:rPr>
            </w:pPr>
          </w:p>
        </w:tc>
      </w:tr>
      <w:tr>
        <w:trPr>
          <w:trHeight w:val="324"/>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(In cents)</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Mainline operating expenses per ASM</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Special items, net per ASM</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Mainline operating expenses per ASM, excluding special items</w:t>
            </w: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Aircraft fuel and related taxes per ASM</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w w:val="99"/>
              </w:rPr>
              <w:t>Mainline operating expenses per ASM, excluding special items and fuel</w:t>
            </w: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Profit sharing per ASM</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Arial" w:cs="Arial" w:eastAsia="Arial" w:hAnsi="Arial"/>
                <w:sz w:val="18"/>
                <w:szCs w:val="18"/>
                <w:color w:val="auto"/>
                <w:w w:val="98"/>
              </w:rPr>
              <w:t>Mainline operating expenses per ASM, excluding special items, fuel and</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42"/>
        </w:trPr>
        <w:tc>
          <w:tcPr>
            <w:tcW w:w="5700" w:type="dxa"/>
            <w:vAlign w:val="bottom"/>
          </w:tcPr>
          <w:p>
            <w:pPr>
              <w:ind w:left="20"/>
              <w:spacing w:after="0"/>
              <w:rPr>
                <w:sz w:val="20"/>
                <w:szCs w:val="20"/>
                <w:color w:val="auto"/>
              </w:rPr>
            </w:pPr>
            <w:r>
              <w:rPr>
                <w:rFonts w:ascii="Arial" w:cs="Arial" w:eastAsia="Arial" w:hAnsi="Arial"/>
                <w:sz w:val="18"/>
                <w:szCs w:val="18"/>
                <w:color w:val="auto"/>
              </w:rPr>
              <w:t>profit sharing</w:t>
            </w:r>
          </w:p>
        </w:tc>
        <w:tc>
          <w:tcPr>
            <w:tcW w:w="140" w:type="dxa"/>
            <w:vAlign w:val="bottom"/>
            <w:tcBorders>
              <w:bottom w:val="single" w:sz="8" w:color="auto"/>
            </w:tcBorders>
            <w:vMerge w:val="continue"/>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5500"/>
              <w:spacing w:after="0"/>
              <w:rPr>
                <w:sz w:val="20"/>
                <w:szCs w:val="20"/>
                <w:color w:val="auto"/>
              </w:rPr>
            </w:pPr>
            <w:r>
              <w:rPr>
                <w:rFonts w:ascii="Arial" w:cs="Arial" w:eastAsia="Arial" w:hAnsi="Arial"/>
                <w:sz w:val="18"/>
                <w:szCs w:val="18"/>
                <w:color w:val="auto"/>
                <w:w w:val="89"/>
              </w:rPr>
              <w:t>56</w:t>
            </w: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AAG's Results of Operations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quarter of 2014, we realized operating income of $730 million and net income of $480 million. Our first quarter 2014 net income included net special operating credits of $133 million and total net special credits of $78 million. Excluding the effects of these special credits, we realized operating income of $597 million and net income of $402 million.</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GAAP, AAG’s results do not include the financial results of US Airways Group prior to the closing of the Merger. Accordingly, our first quarter 2014 GAAP results are not comparable to the GAAP results for the first quarter of 2013 as the 2013 period excludes the results of US Airways Group. When compared to the combined separate company results of AMR and US Airways Group for the first quarter of 2013, our first quarter 2014 net income excluding net special items improved $340 million. In the first quarter of 2013, on a standalone basis, AMR reported a net loss of $341 million and US Airways Group reported net income of $44 million. Excluding the effects of net special charges, AMR and US Airways Group reported net income of $8 million and $54 million, respectively.</w:t>
      </w:r>
    </w:p>
    <w:p>
      <w:pPr>
        <w:spacing w:after="0" w:line="1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components of our net special charges (credits) included in our accompanying condensed consolidated statements of operations are as follows (in millions):</w:t>
      </w:r>
    </w:p>
    <w:p>
      <w:pPr>
        <w:spacing w:after="0" w:line="116" w:lineRule="exact"/>
        <w:rPr>
          <w:sz w:val="20"/>
          <w:szCs w:val="20"/>
          <w:color w:val="auto"/>
        </w:rPr>
      </w:pPr>
    </w:p>
    <w:p>
      <w:pPr>
        <w:jc w:val="center"/>
        <w:ind w:left="7040"/>
        <w:spacing w:after="0"/>
        <w:rPr>
          <w:sz w:val="20"/>
          <w:szCs w:val="20"/>
          <w:color w:val="auto"/>
        </w:rPr>
      </w:pPr>
      <w:r>
        <w:rPr>
          <w:rFonts w:ascii="Arial" w:cs="Arial" w:eastAsia="Arial" w:hAnsi="Arial"/>
          <w:sz w:val="18"/>
          <w:szCs w:val="18"/>
          <w:color w:val="auto"/>
        </w:rPr>
        <w:t>Three Months Ended March</w:t>
      </w:r>
    </w:p>
    <w:p>
      <w:pPr>
        <w:spacing w:after="0" w:line="23" w:lineRule="exact"/>
        <w:rPr>
          <w:sz w:val="20"/>
          <w:szCs w:val="20"/>
          <w:color w:val="auto"/>
        </w:rPr>
      </w:pPr>
    </w:p>
    <w:p>
      <w:pPr>
        <w:jc w:val="center"/>
        <w:ind w:left="70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22860</wp:posOffset>
            </wp:positionV>
            <wp:extent cx="13462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42"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2013</w:t>
            </w: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70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Regional operating special items, net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0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70"/>
        </w:trPr>
        <w:tc>
          <w:tcPr>
            <w:tcW w:w="70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Reorganization items, net </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0"/>
        </w:trPr>
        <w:tc>
          <w:tcPr>
            <w:tcW w:w="70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5"/>
                <w:szCs w:val="25"/>
                <w:color w:val="auto"/>
                <w:vertAlign w:val="superscript"/>
              </w:rPr>
              <w:t>(4)</w:t>
            </w: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000" w:type="dxa"/>
            <w:vAlign w:val="bottom"/>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hanging="332"/>
        <w:spacing w:after="0" w:line="235" w:lineRule="auto"/>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The 2014 first quarter mainline operating special items totaled a net credit of $137 million, which principally included a $309 million gain on the sale of slots at DCA and a net $32 million credit for bankruptcy related items primarily reflecting fair value adjustments for bankruptcy settlement obligations. These special credits were offset in part by $142 million of cash merger integration expenses including amounts related to the Merger Pilot MOU, information technology, professional fees, severance, re-branding of aircraft and airport facilities, relocation and training as well as $60 million of non-cash compensation expense for merger equity awards.</w:t>
      </w:r>
    </w:p>
    <w:p>
      <w:pPr>
        <w:spacing w:after="0" w:line="42" w:lineRule="exact"/>
        <w:rPr>
          <w:sz w:val="20"/>
          <w:szCs w:val="20"/>
          <w:color w:val="auto"/>
        </w:rPr>
      </w:pPr>
    </w:p>
    <w:p>
      <w:pPr>
        <w:ind w:left="340" w:firstLine="648"/>
        <w:spacing w:after="0" w:line="277" w:lineRule="auto"/>
        <w:rPr>
          <w:sz w:val="20"/>
          <w:szCs w:val="20"/>
          <w:color w:val="auto"/>
        </w:rPr>
      </w:pPr>
      <w:r>
        <w:rPr>
          <w:rFonts w:ascii="Arial" w:cs="Arial" w:eastAsia="Arial" w:hAnsi="Arial"/>
          <w:sz w:val="18"/>
          <w:szCs w:val="18"/>
          <w:color w:val="auto"/>
        </w:rPr>
        <w:t>The 2013 first quarter mainline operating special items included $28 million in merger related expenses and a $43 million charge for workers' compensation claims.</w:t>
      </w:r>
    </w:p>
    <w:p>
      <w:pPr>
        <w:spacing w:after="0" w:line="8" w:lineRule="exact"/>
        <w:rPr>
          <w:sz w:val="20"/>
          <w:szCs w:val="20"/>
          <w:color w:val="auto"/>
        </w:rPr>
      </w:pPr>
    </w:p>
    <w:p>
      <w:pPr>
        <w:ind w:left="340" w:hanging="332"/>
        <w:spacing w:after="0" w:line="216" w:lineRule="auto"/>
        <w:tabs>
          <w:tab w:leader="none" w:pos="221"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The 2014 first quarter nonoperating special items of $47 million were principally due to non-cash interest accretion of $31 million on the bankruptcy settlement obligations.</w:t>
      </w:r>
    </w:p>
    <w:p>
      <w:pPr>
        <w:spacing w:after="0" w:line="41" w:lineRule="exact"/>
        <w:rPr>
          <w:sz w:val="20"/>
          <w:szCs w:val="20"/>
          <w:color w:val="auto"/>
        </w:rPr>
      </w:pPr>
    </w:p>
    <w:p>
      <w:pPr>
        <w:ind w:left="340" w:firstLine="648"/>
        <w:spacing w:after="0" w:line="277" w:lineRule="auto"/>
        <w:rPr>
          <w:sz w:val="20"/>
          <w:szCs w:val="20"/>
          <w:color w:val="auto"/>
        </w:rPr>
      </w:pPr>
      <w:r>
        <w:rPr>
          <w:rFonts w:ascii="Arial" w:cs="Arial" w:eastAsia="Arial" w:hAnsi="Arial"/>
          <w:sz w:val="18"/>
          <w:szCs w:val="18"/>
          <w:color w:val="auto"/>
        </w:rPr>
        <w:t>The 2013 first quarter nonoperating special items consisted of interest charges to recognize post-petition interest expense on unsecured obligations pursuant to the Plan.</w:t>
      </w:r>
    </w:p>
    <w:p>
      <w:pPr>
        <w:spacing w:after="0" w:line="8" w:lineRule="exact"/>
        <w:rPr>
          <w:sz w:val="20"/>
          <w:szCs w:val="20"/>
          <w:color w:val="auto"/>
        </w:rPr>
      </w:pPr>
    </w:p>
    <w:p>
      <w:pPr>
        <w:ind w:left="340" w:right="20" w:hanging="332"/>
        <w:spacing w:after="0" w:line="216" w:lineRule="auto"/>
        <w:tabs>
          <w:tab w:leader="none" w:pos="221"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In the 2013 first quarter, we recognized reorganization expenses as a result of the filing of the Chapter 11 Cases. These amounts consisted primarily of estimated allowed claim amounts and professional fees.</w:t>
      </w:r>
    </w:p>
    <w:p>
      <w:pPr>
        <w:spacing w:after="0" w:line="7" w:lineRule="exact"/>
        <w:rPr>
          <w:rFonts w:ascii="Arial" w:cs="Arial" w:eastAsia="Arial" w:hAnsi="Arial"/>
          <w:sz w:val="25"/>
          <w:szCs w:val="25"/>
          <w:color w:val="auto"/>
          <w:vertAlign w:val="superscript"/>
        </w:rPr>
      </w:pPr>
    </w:p>
    <w:p>
      <w:pPr>
        <w:ind w:left="200" w:hanging="192"/>
        <w:spacing w:after="0"/>
        <w:tabs>
          <w:tab w:leader="none" w:pos="200" w:val="left"/>
        </w:tabs>
        <w:numPr>
          <w:ilvl w:val="0"/>
          <w:numId w:val="33"/>
        </w:numPr>
        <w:rPr>
          <w:rFonts w:ascii="Arial" w:cs="Arial" w:eastAsia="Arial" w:hAnsi="Arial"/>
          <w:sz w:val="23"/>
          <w:szCs w:val="23"/>
          <w:color w:val="auto"/>
          <w:vertAlign w:val="superscript"/>
        </w:rPr>
      </w:pPr>
      <w:r>
        <w:rPr>
          <w:rFonts w:ascii="Arial" w:cs="Arial" w:eastAsia="Arial" w:hAnsi="Arial"/>
          <w:sz w:val="17"/>
          <w:szCs w:val="17"/>
          <w:color w:val="auto"/>
        </w:rPr>
        <w:t>The 2014 first quarter included a special $8 million non-cash deferred income tax provision related to certain indefinite-lived intangible assets.</w:t>
      </w:r>
    </w:p>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the Merger, US Airways Group and its subsidiaries are included in the AAG consolidated federal and state income tax returns for the three months ended March 31, 2014. The Merger resulted in a statutory "ownership change" on December 9, 2013, as defined in Section 382 of the Internal Revenue Code of 1986, as amended (Section 382), which limits our future ability to utilize net operating losses (NOLs) generated before the ownership change and certain subsequently recognized "built-in" losses and deductions, if any, existing as of the date of the ownership change. The general limitation rules for a debtor in a bankruptcy case are liberalized where an ownership change occurs upon emergence from bankruptcy. Our ability to utilize any new NOLs arising after the ownership change is not affected.</w:t>
      </w:r>
    </w:p>
    <w:p>
      <w:pPr>
        <w:spacing w:after="0" w:line="1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At December 31, 2013, we had approximately $10.6 billion of gross NOLs to reduce future federal taxable income, the majority of which are expected to be available for use in 2014, subject to the Section 382 limitation described above. The federal NOLs will expire beginning in 2022 if unused. These NOLs include an unrealized tax benefit of $762 million related to the implementation of share-based compensation accounting guidance that will be recorded in equity when realized. We also had approximately $4.7 billion of gross NOLs to reduce future state taxable income at December 31, 2013, which will expire in years 2014 through 2033 if unused. At December 31, 2013, we had an Alternative Minimum Tax (AMT) credit carryforward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26" w:right="2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t>approximately $370 million available for federal income tax purposes, which is available for an indefinite period. Our net deferred tax assets, which include the NOLs, are subject to a full valuation allowance. At December 31, 2013, the federal and state valuation allowances were $4.6 billion and $415 million, respectively. In accordance with GAAP, utilization of the NOLs after December 9, 2013 will result in a corresponding decrease in the valuation allowance and offset our tax provision dollar for dollar.</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March 31, 2014, we utilized NOLs to reduce our income tax obligation. However, we recorded a special $8 million non-cash deferred income tax provision related to certain indefinite-lived intangible assets and $5 million of state and international income tax expense related to certain states and countries where NOLs were limited or unavailable to be used.</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2013, we reported a loss before income taxes and recorded an income tax benefit of approximately $22 million as a result of the American Taxpayer Relief Act of 2012.</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profitable, we are ordinarily subject to AMT. However as a result of a special tax election made in 2009, we were able to utilize AMT NOLs to fully offset our AMT taxable income for the three months ended March 31,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30"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mainline and regional operating data for the three months ended March 31, 2014 and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60" w:type="dxa"/>
            <w:vAlign w:val="bottom"/>
          </w:tcPr>
          <w:p>
            <w:pPr>
              <w:spacing w:after="0"/>
              <w:rPr>
                <w:sz w:val="17"/>
                <w:szCs w:val="17"/>
                <w:color w:val="auto"/>
              </w:rPr>
            </w:pPr>
          </w:p>
        </w:tc>
        <w:tc>
          <w:tcPr>
            <w:tcW w:w="2140" w:type="dxa"/>
            <w:vAlign w:val="bottom"/>
            <w:gridSpan w:val="3"/>
          </w:tcPr>
          <w:p>
            <w:pPr>
              <w:jc w:val="right"/>
              <w:spacing w:after="0"/>
              <w:rPr>
                <w:sz w:val="20"/>
                <w:szCs w:val="20"/>
                <w:color w:val="auto"/>
              </w:rPr>
            </w:pPr>
            <w:r>
              <w:rPr>
                <w:rFonts w:ascii="Arial" w:cs="Arial" w:eastAsia="Arial" w:hAnsi="Arial"/>
                <w:sz w:val="16"/>
                <w:szCs w:val="16"/>
                <w:color w:val="auto"/>
                <w:w w:val="93"/>
              </w:rPr>
              <w:t>Three Months Ended March 31,</w:t>
            </w:r>
          </w:p>
        </w:tc>
        <w:tc>
          <w:tcPr>
            <w:tcW w:w="1220" w:type="dxa"/>
            <w:vAlign w:val="bottom"/>
            <w:vMerge w:val="restart"/>
          </w:tcPr>
          <w:p>
            <w:pPr>
              <w:jc w:val="right"/>
              <w:ind w:right="219"/>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60" w:type="dxa"/>
            <w:vAlign w:val="bottom"/>
          </w:tcPr>
          <w:p>
            <w:pPr>
              <w:spacing w:after="0"/>
              <w:rPr>
                <w:sz w:val="20"/>
                <w:szCs w:val="20"/>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w w:val="96"/>
              </w:rPr>
              <w:t>2013 (Note 1)</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33"/>
        </w:trPr>
        <w:tc>
          <w:tcPr>
            <w:tcW w:w="8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Mainline</w:t>
            </w: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6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Revenue passenger miles (millions) </w:t>
            </w:r>
            <w:r>
              <w:rPr>
                <w:rFonts w:ascii="Arial" w:cs="Arial" w:eastAsia="Arial" w:hAnsi="Arial"/>
                <w:sz w:val="21"/>
                <w:szCs w:val="21"/>
                <w:color w:val="auto"/>
                <w:vertAlign w:val="superscript"/>
              </w:rPr>
              <w:t>(a)</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45,828</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45,024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70"/>
        </w:trPr>
        <w:tc>
          <w:tcPr>
            <w:tcW w:w="8060" w:type="dxa"/>
            <w:vAlign w:val="bottom"/>
          </w:tcPr>
          <w:p>
            <w:pPr>
              <w:ind w:left="280"/>
              <w:spacing w:after="0"/>
              <w:rPr>
                <w:sz w:val="20"/>
                <w:szCs w:val="20"/>
                <w:color w:val="auto"/>
              </w:rPr>
            </w:pPr>
            <w:r>
              <w:rPr>
                <w:rFonts w:ascii="Arial" w:cs="Arial" w:eastAsia="Arial" w:hAnsi="Arial"/>
                <w:sz w:val="16"/>
                <w:szCs w:val="16"/>
                <w:color w:val="auto"/>
              </w:rPr>
              <w:t xml:space="preserve">Available seat miles (ASM) (millions) </w:t>
            </w:r>
            <w:r>
              <w:rPr>
                <w:rFonts w:ascii="Arial" w:cs="Arial" w:eastAsia="Arial" w:hAnsi="Arial"/>
                <w:sz w:val="21"/>
                <w:szCs w:val="21"/>
                <w:color w:val="auto"/>
                <w:vertAlign w:val="superscript"/>
              </w:rPr>
              <w:t>(b)</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56,831</w:t>
            </w:r>
          </w:p>
        </w:tc>
        <w:tc>
          <w:tcPr>
            <w:tcW w:w="10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55,354</w:t>
            </w:r>
          </w:p>
        </w:tc>
        <w:tc>
          <w:tcPr>
            <w:tcW w:w="1220" w:type="dxa"/>
            <w:vAlign w:val="bottom"/>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Passenger load factor (percent) </w:t>
            </w:r>
            <w:r>
              <w:rPr>
                <w:rFonts w:ascii="Arial" w:cs="Arial" w:eastAsia="Arial" w:hAnsi="Arial"/>
                <w:sz w:val="21"/>
                <w:szCs w:val="21"/>
                <w:color w:val="auto"/>
                <w:vertAlign w:val="superscript"/>
              </w:rPr>
              <w:t>(c)</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81.3</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(0.7) pts</w:t>
            </w:r>
          </w:p>
        </w:tc>
        <w:tc>
          <w:tcPr>
            <w:tcW w:w="0" w:type="dxa"/>
            <w:vAlign w:val="bottom"/>
          </w:tcPr>
          <w:p>
            <w:pPr>
              <w:spacing w:after="0"/>
              <w:rPr>
                <w:sz w:val="1"/>
                <w:szCs w:val="1"/>
                <w:color w:val="auto"/>
              </w:rPr>
            </w:pPr>
          </w:p>
        </w:tc>
      </w:tr>
      <w:tr>
        <w:trPr>
          <w:trHeight w:val="270"/>
        </w:trPr>
        <w:tc>
          <w:tcPr>
            <w:tcW w:w="8060" w:type="dxa"/>
            <w:vAlign w:val="bottom"/>
          </w:tcPr>
          <w:p>
            <w:pPr>
              <w:ind w:left="280"/>
              <w:spacing w:after="0"/>
              <w:rPr>
                <w:sz w:val="20"/>
                <w:szCs w:val="20"/>
                <w:color w:val="auto"/>
              </w:rPr>
            </w:pPr>
            <w:r>
              <w:rPr>
                <w:rFonts w:ascii="Arial" w:cs="Arial" w:eastAsia="Arial" w:hAnsi="Arial"/>
                <w:sz w:val="16"/>
                <w:szCs w:val="16"/>
                <w:color w:val="auto"/>
              </w:rPr>
              <w:t xml:space="preserve">Yield (cents) </w:t>
            </w:r>
            <w:r>
              <w:rPr>
                <w:rFonts w:ascii="Arial" w:cs="Arial" w:eastAsia="Arial" w:hAnsi="Arial"/>
                <w:sz w:val="21"/>
                <w:szCs w:val="21"/>
                <w:color w:val="auto"/>
                <w:vertAlign w:val="superscript"/>
              </w:rPr>
              <w:t>(d)</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15.13</w:t>
            </w:r>
          </w:p>
        </w:tc>
        <w:tc>
          <w:tcPr>
            <w:tcW w:w="1220" w:type="dxa"/>
            <w:vAlign w:val="bottom"/>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Passenger revenue per ASM (cents) </w:t>
            </w:r>
            <w:r>
              <w:rPr>
                <w:rFonts w:ascii="Arial" w:cs="Arial" w:eastAsia="Arial" w:hAnsi="Arial"/>
                <w:sz w:val="21"/>
                <w:szCs w:val="21"/>
                <w:color w:val="auto"/>
                <w:vertAlign w:val="superscript"/>
              </w:rPr>
              <w:t>(e)</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12.77</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70"/>
        </w:trPr>
        <w:tc>
          <w:tcPr>
            <w:tcW w:w="8060" w:type="dxa"/>
            <w:vAlign w:val="bottom"/>
          </w:tcPr>
          <w:p>
            <w:pPr>
              <w:ind w:left="280"/>
              <w:spacing w:after="0"/>
              <w:rPr>
                <w:sz w:val="20"/>
                <w:szCs w:val="20"/>
                <w:color w:val="auto"/>
              </w:rPr>
            </w:pPr>
            <w:r>
              <w:rPr>
                <w:rFonts w:ascii="Arial" w:cs="Arial" w:eastAsia="Arial" w:hAnsi="Arial"/>
                <w:sz w:val="16"/>
                <w:szCs w:val="16"/>
                <w:color w:val="auto"/>
              </w:rPr>
              <w:t xml:space="preserve">Operating cost per ASM (cents) </w:t>
            </w:r>
            <w:r>
              <w:rPr>
                <w:rFonts w:ascii="Arial" w:cs="Arial" w:eastAsia="Arial" w:hAnsi="Arial"/>
                <w:sz w:val="21"/>
                <w:szCs w:val="21"/>
                <w:color w:val="auto"/>
                <w:vertAlign w:val="superscript"/>
              </w:rPr>
              <w:t>(f)</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13.88</w:t>
            </w: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Passenger enplanements (thousands) </w:t>
            </w:r>
            <w:r>
              <w:rPr>
                <w:rFonts w:ascii="Arial" w:cs="Arial" w:eastAsia="Arial" w:hAnsi="Arial"/>
                <w:sz w:val="21"/>
                <w:szCs w:val="21"/>
                <w:color w:val="auto"/>
                <w:vertAlign w:val="superscript"/>
              </w:rPr>
              <w:t>(g)</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34,843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34,434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37"/>
        </w:trPr>
        <w:tc>
          <w:tcPr>
            <w:tcW w:w="8060" w:type="dxa"/>
            <w:vAlign w:val="bottom"/>
          </w:tcPr>
          <w:p>
            <w:pPr>
              <w:ind w:left="280"/>
              <w:spacing w:after="0"/>
              <w:rPr>
                <w:sz w:val="20"/>
                <w:szCs w:val="20"/>
                <w:color w:val="auto"/>
              </w:rPr>
            </w:pPr>
            <w:r>
              <w:rPr>
                <w:rFonts w:ascii="Arial" w:cs="Arial" w:eastAsia="Arial" w:hAnsi="Arial"/>
                <w:sz w:val="16"/>
                <w:szCs w:val="16"/>
                <w:color w:val="auto"/>
              </w:rPr>
              <w:t>Departures (thousands)</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12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Aircraft at end of period</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70"/>
        </w:trPr>
        <w:tc>
          <w:tcPr>
            <w:tcW w:w="8060" w:type="dxa"/>
            <w:vAlign w:val="bottom"/>
          </w:tcPr>
          <w:p>
            <w:pPr>
              <w:ind w:left="280"/>
              <w:spacing w:after="0"/>
              <w:rPr>
                <w:sz w:val="20"/>
                <w:szCs w:val="20"/>
                <w:color w:val="auto"/>
              </w:rPr>
            </w:pPr>
            <w:r>
              <w:rPr>
                <w:rFonts w:ascii="Arial" w:cs="Arial" w:eastAsia="Arial" w:hAnsi="Arial"/>
                <w:sz w:val="16"/>
                <w:szCs w:val="16"/>
                <w:color w:val="auto"/>
              </w:rPr>
              <w:t xml:space="preserve">Block hours (thousands) </w:t>
            </w:r>
            <w:r>
              <w:rPr>
                <w:rFonts w:ascii="Arial" w:cs="Arial" w:eastAsia="Arial" w:hAnsi="Arial"/>
                <w:sz w:val="21"/>
                <w:szCs w:val="21"/>
                <w:color w:val="auto"/>
                <w:vertAlign w:val="superscript"/>
              </w:rPr>
              <w:t>(h)</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841</w:t>
            </w:r>
          </w:p>
        </w:tc>
        <w:tc>
          <w:tcPr>
            <w:tcW w:w="122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Average stage length (miles) </w:t>
            </w:r>
            <w:r>
              <w:rPr>
                <w:rFonts w:ascii="Arial" w:cs="Arial" w:eastAsia="Arial" w:hAnsi="Arial"/>
                <w:sz w:val="21"/>
                <w:szCs w:val="21"/>
                <w:color w:val="auto"/>
                <w:vertAlign w:val="superscript"/>
              </w:rPr>
              <w:t>(i)</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37"/>
        </w:trPr>
        <w:tc>
          <w:tcPr>
            <w:tcW w:w="8060" w:type="dxa"/>
            <w:vAlign w:val="bottom"/>
          </w:tcPr>
          <w:p>
            <w:pPr>
              <w:ind w:left="280"/>
              <w:spacing w:after="0"/>
              <w:rPr>
                <w:sz w:val="20"/>
                <w:szCs w:val="20"/>
                <w:color w:val="auto"/>
              </w:rPr>
            </w:pPr>
            <w:r>
              <w:rPr>
                <w:rFonts w:ascii="Arial" w:cs="Arial" w:eastAsia="Arial" w:hAnsi="Arial"/>
                <w:sz w:val="16"/>
                <w:szCs w:val="16"/>
                <w:color w:val="auto"/>
              </w:rPr>
              <w:t>Fuel consumption (gallons in millions)</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858</w:t>
            </w:r>
          </w:p>
        </w:tc>
        <w:tc>
          <w:tcPr>
            <w:tcW w:w="1220" w:type="dxa"/>
            <w:vAlign w:val="bottom"/>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Average aircraft fuel price including related taxes ($/gallon)</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7"/>
        </w:trPr>
        <w:tc>
          <w:tcPr>
            <w:tcW w:w="8060" w:type="dxa"/>
            <w:vAlign w:val="bottom"/>
          </w:tcPr>
          <w:p>
            <w:pPr>
              <w:ind w:left="280"/>
              <w:spacing w:after="0"/>
              <w:rPr>
                <w:sz w:val="20"/>
                <w:szCs w:val="20"/>
                <w:color w:val="auto"/>
              </w:rPr>
            </w:pPr>
            <w:r>
              <w:rPr>
                <w:rFonts w:ascii="Arial" w:cs="Arial" w:eastAsia="Arial" w:hAnsi="Arial"/>
                <w:sz w:val="16"/>
                <w:szCs w:val="16"/>
                <w:color w:val="auto"/>
              </w:rPr>
              <w:t>Full-time equivalent employees at end of period</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93,378</w:t>
            </w: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91,838</w:t>
            </w:r>
          </w:p>
        </w:tc>
        <w:tc>
          <w:tcPr>
            <w:tcW w:w="1220" w:type="dxa"/>
            <w:vAlign w:val="bottom"/>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Regional </w:t>
            </w:r>
            <w:r>
              <w:rPr>
                <w:rFonts w:ascii="Arial" w:cs="Arial" w:eastAsia="Arial" w:hAnsi="Arial"/>
                <w:sz w:val="21"/>
                <w:szCs w:val="21"/>
                <w:b w:val="1"/>
                <w:bCs w:val="1"/>
                <w:color w:val="auto"/>
                <w:vertAlign w:val="superscript"/>
              </w:rPr>
              <w:t>(j)</w:t>
            </w: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60" w:type="dxa"/>
            <w:vAlign w:val="bottom"/>
          </w:tcPr>
          <w:p>
            <w:pPr>
              <w:ind w:left="280"/>
              <w:spacing w:after="0"/>
              <w:rPr>
                <w:sz w:val="20"/>
                <w:szCs w:val="20"/>
                <w:color w:val="auto"/>
              </w:rPr>
            </w:pPr>
            <w:r>
              <w:rPr>
                <w:rFonts w:ascii="Arial" w:cs="Arial" w:eastAsia="Arial" w:hAnsi="Arial"/>
                <w:sz w:val="16"/>
                <w:szCs w:val="16"/>
                <w:color w:val="auto"/>
              </w:rPr>
              <w:t xml:space="preserve">Revenue passenger miles (millions) </w:t>
            </w:r>
            <w:r>
              <w:rPr>
                <w:rFonts w:ascii="Arial" w:cs="Arial" w:eastAsia="Arial" w:hAnsi="Arial"/>
                <w:sz w:val="21"/>
                <w:szCs w:val="21"/>
                <w:color w:val="auto"/>
                <w:vertAlign w:val="superscript"/>
              </w:rPr>
              <w:t>(a)</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5,058</w:t>
            </w:r>
          </w:p>
        </w:tc>
        <w:tc>
          <w:tcPr>
            <w:tcW w:w="10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4,997</w:t>
            </w:r>
          </w:p>
        </w:tc>
        <w:tc>
          <w:tcPr>
            <w:tcW w:w="1220" w:type="dxa"/>
            <w:vAlign w:val="bottom"/>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Available seat miles (millions) </w:t>
            </w:r>
            <w:r>
              <w:rPr>
                <w:rFonts w:ascii="Arial" w:cs="Arial" w:eastAsia="Arial" w:hAnsi="Arial"/>
                <w:sz w:val="21"/>
                <w:szCs w:val="21"/>
                <w:color w:val="auto"/>
                <w:vertAlign w:val="superscript"/>
              </w:rPr>
              <w:t>(b)</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6,561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6,775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8060" w:type="dxa"/>
            <w:vAlign w:val="bottom"/>
          </w:tcPr>
          <w:p>
            <w:pPr>
              <w:ind w:left="280"/>
              <w:spacing w:after="0"/>
              <w:rPr>
                <w:sz w:val="20"/>
                <w:szCs w:val="20"/>
                <w:color w:val="auto"/>
              </w:rPr>
            </w:pPr>
            <w:r>
              <w:rPr>
                <w:rFonts w:ascii="Arial" w:cs="Arial" w:eastAsia="Arial" w:hAnsi="Arial"/>
                <w:sz w:val="16"/>
                <w:szCs w:val="16"/>
                <w:color w:val="auto"/>
              </w:rPr>
              <w:t xml:space="preserve">Passenger load factor (percent) </w:t>
            </w:r>
            <w:r>
              <w:rPr>
                <w:rFonts w:ascii="Arial" w:cs="Arial" w:eastAsia="Arial" w:hAnsi="Arial"/>
                <w:sz w:val="21"/>
                <w:szCs w:val="21"/>
                <w:color w:val="auto"/>
                <w:vertAlign w:val="superscript"/>
              </w:rPr>
              <w:t>(c)</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73.8</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3.3 pts</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Yield (cents) </w:t>
            </w:r>
            <w:r>
              <w:rPr>
                <w:rFonts w:ascii="Arial" w:cs="Arial" w:eastAsia="Arial" w:hAnsi="Arial"/>
                <w:sz w:val="21"/>
                <w:szCs w:val="21"/>
                <w:color w:val="auto"/>
                <w:vertAlign w:val="superscript"/>
              </w:rPr>
              <w:t>(d)</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27.82</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28.86</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0"/>
        </w:trPr>
        <w:tc>
          <w:tcPr>
            <w:tcW w:w="8060" w:type="dxa"/>
            <w:vAlign w:val="bottom"/>
          </w:tcPr>
          <w:p>
            <w:pPr>
              <w:ind w:left="280"/>
              <w:spacing w:after="0"/>
              <w:rPr>
                <w:sz w:val="20"/>
                <w:szCs w:val="20"/>
                <w:color w:val="auto"/>
              </w:rPr>
            </w:pPr>
            <w:r>
              <w:rPr>
                <w:rFonts w:ascii="Arial" w:cs="Arial" w:eastAsia="Arial" w:hAnsi="Arial"/>
                <w:sz w:val="16"/>
                <w:szCs w:val="16"/>
                <w:color w:val="auto"/>
              </w:rPr>
              <w:t xml:space="preserve">Passenger revenue per ASM (cents) </w:t>
            </w:r>
            <w:r>
              <w:rPr>
                <w:rFonts w:ascii="Arial" w:cs="Arial" w:eastAsia="Arial" w:hAnsi="Arial"/>
                <w:sz w:val="21"/>
                <w:szCs w:val="21"/>
                <w:color w:val="auto"/>
                <w:vertAlign w:val="superscript"/>
              </w:rPr>
              <w:t>(e)</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21.45</w:t>
            </w:r>
          </w:p>
        </w:tc>
        <w:tc>
          <w:tcPr>
            <w:tcW w:w="10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21.29</w:t>
            </w:r>
          </w:p>
        </w:tc>
        <w:tc>
          <w:tcPr>
            <w:tcW w:w="1220" w:type="dxa"/>
            <w:vAlign w:val="bottom"/>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Operating cost per ASM (cents) </w:t>
            </w:r>
            <w:r>
              <w:rPr>
                <w:rFonts w:ascii="Arial" w:cs="Arial" w:eastAsia="Arial" w:hAnsi="Arial"/>
                <w:sz w:val="21"/>
                <w:szCs w:val="21"/>
                <w:color w:val="auto"/>
                <w:vertAlign w:val="superscript"/>
              </w:rPr>
              <w:t>(f)</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24.30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70"/>
        </w:trPr>
        <w:tc>
          <w:tcPr>
            <w:tcW w:w="8060" w:type="dxa"/>
            <w:vAlign w:val="bottom"/>
          </w:tcPr>
          <w:p>
            <w:pPr>
              <w:ind w:left="280"/>
              <w:spacing w:after="0"/>
              <w:rPr>
                <w:sz w:val="20"/>
                <w:szCs w:val="20"/>
                <w:color w:val="auto"/>
              </w:rPr>
            </w:pPr>
            <w:r>
              <w:rPr>
                <w:rFonts w:ascii="Arial" w:cs="Arial" w:eastAsia="Arial" w:hAnsi="Arial"/>
                <w:sz w:val="16"/>
                <w:szCs w:val="16"/>
                <w:color w:val="auto"/>
              </w:rPr>
              <w:t xml:space="preserve">Passenger enplanements (thousands) </w:t>
            </w:r>
            <w:r>
              <w:rPr>
                <w:rFonts w:ascii="Arial" w:cs="Arial" w:eastAsia="Arial" w:hAnsi="Arial"/>
                <w:sz w:val="21"/>
                <w:szCs w:val="21"/>
                <w:color w:val="auto"/>
                <w:vertAlign w:val="superscript"/>
              </w:rPr>
              <w:t>(g)</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11,709</w:t>
            </w:r>
          </w:p>
        </w:tc>
        <w:tc>
          <w:tcPr>
            <w:tcW w:w="10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11,667</w:t>
            </w:r>
          </w:p>
        </w:tc>
        <w:tc>
          <w:tcPr>
            <w:tcW w:w="1220" w:type="dxa"/>
            <w:vAlign w:val="bottom"/>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Aircraft at end of period</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37"/>
        </w:trPr>
        <w:tc>
          <w:tcPr>
            <w:tcW w:w="8060" w:type="dxa"/>
            <w:vAlign w:val="bottom"/>
          </w:tcPr>
          <w:p>
            <w:pPr>
              <w:ind w:left="280"/>
              <w:spacing w:after="0"/>
              <w:rPr>
                <w:sz w:val="20"/>
                <w:szCs w:val="20"/>
                <w:color w:val="auto"/>
              </w:rPr>
            </w:pPr>
            <w:r>
              <w:rPr>
                <w:rFonts w:ascii="Arial" w:cs="Arial" w:eastAsia="Arial" w:hAnsi="Arial"/>
                <w:sz w:val="16"/>
                <w:szCs w:val="16"/>
                <w:color w:val="auto"/>
              </w:rPr>
              <w:t>Fuel consumption (gallons in millions)</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Average aircraft fuel price including related taxes ($/gallon)</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6"/>
                <w:szCs w:val="16"/>
                <w:b w:val="1"/>
                <w:bCs w:val="1"/>
                <w:color w:val="auto"/>
              </w:rPr>
              <w:t>Total Mainline and Regional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Revenue passenger miles (millions) </w:t>
            </w:r>
            <w:r>
              <w:rPr>
                <w:rFonts w:ascii="Arial" w:cs="Arial" w:eastAsia="Arial" w:hAnsi="Arial"/>
                <w:sz w:val="21"/>
                <w:szCs w:val="21"/>
                <w:color w:val="auto"/>
                <w:vertAlign w:val="superscript"/>
              </w:rPr>
              <w:t>(a)</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50,886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50,021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70"/>
        </w:trPr>
        <w:tc>
          <w:tcPr>
            <w:tcW w:w="8060" w:type="dxa"/>
            <w:vAlign w:val="bottom"/>
          </w:tcPr>
          <w:p>
            <w:pPr>
              <w:ind w:left="280"/>
              <w:spacing w:after="0"/>
              <w:rPr>
                <w:sz w:val="20"/>
                <w:szCs w:val="20"/>
                <w:color w:val="auto"/>
              </w:rPr>
            </w:pPr>
            <w:r>
              <w:rPr>
                <w:rFonts w:ascii="Arial" w:cs="Arial" w:eastAsia="Arial" w:hAnsi="Arial"/>
                <w:sz w:val="16"/>
                <w:szCs w:val="16"/>
                <w:color w:val="auto"/>
              </w:rPr>
              <w:t xml:space="preserve">Available seat miles (millions) </w:t>
            </w:r>
            <w:r>
              <w:rPr>
                <w:rFonts w:ascii="Arial" w:cs="Arial" w:eastAsia="Arial" w:hAnsi="Arial"/>
                <w:sz w:val="21"/>
                <w:szCs w:val="21"/>
                <w:color w:val="auto"/>
                <w:vertAlign w:val="superscript"/>
              </w:rPr>
              <w:t>(b)</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63,392</w:t>
            </w:r>
          </w:p>
        </w:tc>
        <w:tc>
          <w:tcPr>
            <w:tcW w:w="10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62,129</w:t>
            </w:r>
          </w:p>
        </w:tc>
        <w:tc>
          <w:tcPr>
            <w:tcW w:w="122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Cargo ton miles (millions) </w:t>
            </w:r>
            <w:r>
              <w:rPr>
                <w:rFonts w:ascii="Arial" w:cs="Arial" w:eastAsia="Arial" w:hAnsi="Arial"/>
                <w:sz w:val="21"/>
                <w:szCs w:val="21"/>
                <w:color w:val="auto"/>
                <w:vertAlign w:val="superscript"/>
              </w:rPr>
              <w:t>(k)</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70"/>
        </w:trPr>
        <w:tc>
          <w:tcPr>
            <w:tcW w:w="8060" w:type="dxa"/>
            <w:vAlign w:val="bottom"/>
          </w:tcPr>
          <w:p>
            <w:pPr>
              <w:ind w:left="280"/>
              <w:spacing w:after="0"/>
              <w:rPr>
                <w:sz w:val="20"/>
                <w:szCs w:val="20"/>
                <w:color w:val="auto"/>
              </w:rPr>
            </w:pPr>
            <w:r>
              <w:rPr>
                <w:rFonts w:ascii="Arial" w:cs="Arial" w:eastAsia="Arial" w:hAnsi="Arial"/>
                <w:sz w:val="16"/>
                <w:szCs w:val="16"/>
                <w:color w:val="auto"/>
              </w:rPr>
              <w:t xml:space="preserve">Passenger load factor (percent) </w:t>
            </w:r>
            <w:r>
              <w:rPr>
                <w:rFonts w:ascii="Arial" w:cs="Arial" w:eastAsia="Arial" w:hAnsi="Arial"/>
                <w:sz w:val="21"/>
                <w:szCs w:val="21"/>
                <w:color w:val="auto"/>
                <w:vertAlign w:val="superscript"/>
              </w:rPr>
              <w:t>(c)</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80.5</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(0.2) pts</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Yield (cents) </w:t>
            </w:r>
            <w:r>
              <w:rPr>
                <w:rFonts w:ascii="Arial" w:cs="Arial" w:eastAsia="Arial" w:hAnsi="Arial"/>
                <w:sz w:val="21"/>
                <w:szCs w:val="21"/>
                <w:color w:val="auto"/>
                <w:vertAlign w:val="superscript"/>
              </w:rPr>
              <w:t>(d)</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70"/>
        </w:trPr>
        <w:tc>
          <w:tcPr>
            <w:tcW w:w="8060" w:type="dxa"/>
            <w:vAlign w:val="bottom"/>
          </w:tcPr>
          <w:p>
            <w:pPr>
              <w:ind w:left="280"/>
              <w:spacing w:after="0"/>
              <w:rPr>
                <w:sz w:val="20"/>
                <w:szCs w:val="20"/>
                <w:color w:val="auto"/>
              </w:rPr>
            </w:pPr>
            <w:r>
              <w:rPr>
                <w:rFonts w:ascii="Arial" w:cs="Arial" w:eastAsia="Arial" w:hAnsi="Arial"/>
                <w:sz w:val="16"/>
                <w:szCs w:val="16"/>
                <w:color w:val="auto"/>
              </w:rPr>
              <w:t xml:space="preserve">Passenger revenue per ASM (cents) </w:t>
            </w:r>
            <w:r>
              <w:rPr>
                <w:rFonts w:ascii="Arial" w:cs="Arial" w:eastAsia="Arial" w:hAnsi="Arial"/>
                <w:sz w:val="21"/>
                <w:szCs w:val="21"/>
                <w:color w:val="auto"/>
                <w:vertAlign w:val="superscript"/>
              </w:rPr>
              <w:t>(e)</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13.67</w:t>
            </w:r>
          </w:p>
        </w:tc>
        <w:tc>
          <w:tcPr>
            <w:tcW w:w="10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13.28</w:t>
            </w:r>
          </w:p>
        </w:tc>
        <w:tc>
          <w:tcPr>
            <w:tcW w:w="1220" w:type="dxa"/>
            <w:vAlign w:val="bottom"/>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Total revenue per ASM (cents) </w:t>
            </w:r>
            <w:r>
              <w:rPr>
                <w:rFonts w:ascii="Arial" w:cs="Arial" w:eastAsia="Arial" w:hAnsi="Arial"/>
                <w:sz w:val="21"/>
                <w:szCs w:val="21"/>
                <w:color w:val="auto"/>
                <w:vertAlign w:val="superscript"/>
              </w:rPr>
              <w:t>(l)</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15.77</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70"/>
        </w:trPr>
        <w:tc>
          <w:tcPr>
            <w:tcW w:w="8060" w:type="dxa"/>
            <w:vAlign w:val="bottom"/>
          </w:tcPr>
          <w:p>
            <w:pPr>
              <w:ind w:left="280"/>
              <w:spacing w:after="0"/>
              <w:rPr>
                <w:sz w:val="20"/>
                <w:szCs w:val="20"/>
                <w:color w:val="auto"/>
              </w:rPr>
            </w:pPr>
            <w:r>
              <w:rPr>
                <w:rFonts w:ascii="Arial" w:cs="Arial" w:eastAsia="Arial" w:hAnsi="Arial"/>
                <w:sz w:val="16"/>
                <w:szCs w:val="16"/>
                <w:color w:val="auto"/>
              </w:rPr>
              <w:t xml:space="preserve">Cargo yield per ton mile (cents) </w:t>
            </w:r>
            <w:r>
              <w:rPr>
                <w:rFonts w:ascii="Arial" w:cs="Arial" w:eastAsia="Arial" w:hAnsi="Arial"/>
                <w:sz w:val="21"/>
                <w:szCs w:val="21"/>
                <w:color w:val="auto"/>
                <w:vertAlign w:val="superscript"/>
              </w:rPr>
              <w:t>(m)</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36.88</w:t>
            </w:r>
          </w:p>
        </w:tc>
        <w:tc>
          <w:tcPr>
            <w:tcW w:w="10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39.35</w:t>
            </w:r>
          </w:p>
        </w:tc>
        <w:tc>
          <w:tcPr>
            <w:tcW w:w="122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Passenger enplanements (thousands) </w:t>
            </w:r>
            <w:r>
              <w:rPr>
                <w:rFonts w:ascii="Arial" w:cs="Arial" w:eastAsia="Arial" w:hAnsi="Arial"/>
                <w:sz w:val="21"/>
                <w:szCs w:val="21"/>
                <w:color w:val="auto"/>
                <w:vertAlign w:val="superscript"/>
              </w:rPr>
              <w:t>(g)</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46,552</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46,101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37"/>
        </w:trPr>
        <w:tc>
          <w:tcPr>
            <w:tcW w:w="8060" w:type="dxa"/>
            <w:vAlign w:val="bottom"/>
          </w:tcPr>
          <w:p>
            <w:pPr>
              <w:ind w:left="280"/>
              <w:spacing w:after="0"/>
              <w:rPr>
                <w:sz w:val="20"/>
                <w:szCs w:val="20"/>
                <w:color w:val="auto"/>
              </w:rPr>
            </w:pPr>
            <w:r>
              <w:rPr>
                <w:rFonts w:ascii="Arial" w:cs="Arial" w:eastAsia="Arial" w:hAnsi="Arial"/>
                <w:sz w:val="16"/>
                <w:szCs w:val="16"/>
                <w:color w:val="auto"/>
              </w:rPr>
              <w:t>Aircraft at end of period</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1,537</w:t>
            </w: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1,498</w:t>
            </w:r>
          </w:p>
        </w:tc>
        <w:tc>
          <w:tcPr>
            <w:tcW w:w="1220" w:type="dxa"/>
            <w:vAlign w:val="bottom"/>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Fuel consumption (gallons in millions)</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37"/>
        </w:trPr>
        <w:tc>
          <w:tcPr>
            <w:tcW w:w="8060" w:type="dxa"/>
            <w:vAlign w:val="bottom"/>
          </w:tcPr>
          <w:p>
            <w:pPr>
              <w:ind w:left="280"/>
              <w:spacing w:after="0"/>
              <w:rPr>
                <w:sz w:val="20"/>
                <w:szCs w:val="20"/>
                <w:color w:val="auto"/>
              </w:rPr>
            </w:pPr>
            <w:r>
              <w:rPr>
                <w:rFonts w:ascii="Arial" w:cs="Arial" w:eastAsia="Arial" w:hAnsi="Arial"/>
                <w:sz w:val="16"/>
                <w:szCs w:val="16"/>
                <w:color w:val="auto"/>
              </w:rPr>
              <w:t>Average aircraft fuel price including related taxes ($/gallon)</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3.25</w:t>
            </w: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Represents the combined historical operating statistics of American and US Airways Group.</w:t>
      </w:r>
    </w:p>
    <w:p>
      <w:pPr>
        <w:spacing w:after="0" w:line="17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Available seat mile (ASM) — A basic measure of production. One ASM represents one seat flown one mile.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Passenger load factor — The percentage of available seats that are filled with revenue passengers.</w:t>
      </w:r>
    </w:p>
    <w:p>
      <w:pPr>
        <w:sectPr>
          <w:pgSz w:w="11900" w:h="16838" w:orient="portrait"/>
          <w:cols w:equalWidth="0" w:num="1">
            <w:col w:w="11420"/>
          </w:cols>
          <w:pgMar w:left="240" w:top="503"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503" w:right="239" w:bottom="1440" w:gutter="0" w:footer="0" w:header="0"/>
          <w:type w:val="continuous"/>
        </w:sectPr>
      </w:pPr>
    </w:p>
    <w:bookmarkStart w:id="60" w:name="page61"/>
    <w:bookmarkEnd w:id="60"/>
    <w:p>
      <w:pPr>
        <w:ind w:left="340" w:hanging="332"/>
        <w:spacing w:after="0"/>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Passenger revenue per available seat mile (PRASM) — Passenger revenues divided by ASMs.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Operating cost per available seat mile (CASM) — Operating expenses divided by ASMs.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Passenger enplanements — The number of passengers on board an aircraft, including local, connecting and through passengers.</w:t>
      </w:r>
    </w:p>
    <w:p>
      <w:pPr>
        <w:spacing w:after="0" w:line="2"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Block hours — The hours measured from the moment an aircraft first moves under its own power, including taxi time, for the purposes of flight until the aircraft is docked at the next point of landing and its power is shut down.</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Average stage length — The average of the distances flown on each segment of every route.</w:t>
      </w:r>
    </w:p>
    <w:p>
      <w:pPr>
        <w:spacing w:after="0" w:line="2" w:lineRule="exact"/>
        <w:rPr>
          <w:rFonts w:ascii="Arial" w:cs="Arial" w:eastAsia="Arial" w:hAnsi="Arial"/>
          <w:sz w:val="25"/>
          <w:szCs w:val="25"/>
          <w:color w:val="auto"/>
          <w:vertAlign w:val="superscript"/>
        </w:rPr>
      </w:pPr>
    </w:p>
    <w:p>
      <w:pPr>
        <w:jc w:val="both"/>
        <w:ind w:left="340" w:hanging="332"/>
        <w:spacing w:after="0" w:line="221"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Regional statistics include Envoy Aviation Group Inc. (formerly known as AMR Eagle Holding Corporation), Piedmont Airlines, Inc., PSA Airlines, Inc. and operating and financial results from our capacity purchase agreements with Air Wisconsin Airlines Corporation, Chautauqua Airlines, Inc., ExpressJet Airlines, Inc., Mesa Airlines, Inc., Republic Airline Inc. and SkyWest Airlines, Inc.</w:t>
      </w:r>
    </w:p>
    <w:p>
      <w:pPr>
        <w:ind w:left="340" w:hanging="332"/>
        <w:spacing w:after="0" w:line="180"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Cargo ton miles — A basic measure of cargo transportation. One cargo ton mile represents one ton of cargo transported one mile.</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Total revenue per available seat mile (RASM) — Total revenues divided by total mainline and regional ASMs.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Cargo yield per ton mile — Cargo revenues divided by total mainline and regional cargo ton miles.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Compared to Three Months Ended March 31, 2013</w:t>
      </w:r>
    </w:p>
    <w:p>
      <w:pPr>
        <w:spacing w:after="0" w:line="14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To conform to current year presentation, certain revenues and expenses in prior years have been reclassified. As a result, prior year amounts may not agree to the amounts previously reported. See Note 1 to AAG's condensed consolidated financial statements in Part I, Item 1A for additional information.</w:t>
      </w:r>
    </w:p>
    <w:p>
      <w:pPr>
        <w:spacing w:after="0" w:line="2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180" w:type="dxa"/>
            <w:vAlign w:val="bottom"/>
            <w:gridSpan w:val="3"/>
          </w:tcPr>
          <w:p>
            <w:pPr>
              <w:spacing w:after="0"/>
              <w:rPr>
                <w:sz w:val="20"/>
                <w:szCs w:val="20"/>
                <w:color w:val="auto"/>
              </w:rPr>
            </w:pPr>
            <w:r>
              <w:rPr>
                <w:rFonts w:ascii="Arial" w:cs="Arial" w:eastAsia="Arial" w:hAnsi="Arial"/>
                <w:sz w:val="18"/>
                <w:szCs w:val="18"/>
                <w:i w:val="1"/>
                <w:iCs w:val="1"/>
                <w:color w:val="auto"/>
              </w:rPr>
              <w:t>Operating Revenues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5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1820" w:type="dxa"/>
            <w:vAlign w:val="bottom"/>
            <w:gridSpan w:val="6"/>
          </w:tcPr>
          <w:p>
            <w:pPr>
              <w:jc w:val="center"/>
              <w:ind w:right="10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ind w:left="4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4"/>
                <w:szCs w:val="24"/>
                <w:color w:val="auto"/>
              </w:rPr>
            </w:pP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w w:val="94"/>
              </w:rPr>
              <w:t>Change Excluding</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gridSpan w:val="5"/>
            <w:vMerge w:val="restart"/>
          </w:tcPr>
          <w:p>
            <w:pPr>
              <w:jc w:val="center"/>
              <w:ind w:right="240"/>
              <w:spacing w:after="0"/>
              <w:rPr>
                <w:sz w:val="20"/>
                <w:szCs w:val="20"/>
                <w:color w:val="auto"/>
              </w:rPr>
            </w:pPr>
            <w:r>
              <w:rPr>
                <w:rFonts w:ascii="Arial" w:cs="Arial" w:eastAsia="Arial" w:hAnsi="Arial"/>
                <w:sz w:val="18"/>
                <w:szCs w:val="18"/>
                <w:color w:val="auto"/>
                <w:w w:val="92"/>
              </w:rPr>
              <w:t>March 31,</w:t>
            </w: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620" w:type="dxa"/>
            <w:vAlign w:val="bottom"/>
            <w:gridSpan w:val="2"/>
            <w:vMerge w:val="restart"/>
          </w:tcPr>
          <w:p>
            <w:pPr>
              <w:jc w:val="right"/>
              <w:ind w:right="270"/>
              <w:spacing w:after="0"/>
              <w:rPr>
                <w:sz w:val="20"/>
                <w:szCs w:val="20"/>
                <w:color w:val="auto"/>
              </w:rPr>
            </w:pPr>
            <w:r>
              <w:rPr>
                <w:rFonts w:ascii="Arial" w:cs="Arial" w:eastAsia="Arial" w:hAnsi="Arial"/>
                <w:sz w:val="18"/>
                <w:szCs w:val="18"/>
                <w:color w:val="auto"/>
              </w:rPr>
              <w:t>Merger Impact</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spacing w:after="0" w:line="190" w:lineRule="exact"/>
              <w:rPr>
                <w:sz w:val="20"/>
                <w:szCs w:val="20"/>
                <w:color w:val="auto"/>
              </w:rPr>
            </w:pPr>
            <w:r>
              <w:rPr>
                <w:rFonts w:ascii="Arial" w:cs="Arial" w:eastAsia="Arial" w:hAnsi="Arial"/>
                <w:sz w:val="18"/>
                <w:szCs w:val="18"/>
                <w:color w:val="auto"/>
              </w:rPr>
              <w:t>Due to</w:t>
            </w:r>
          </w:p>
        </w:tc>
        <w:tc>
          <w:tcPr>
            <w:tcW w:w="16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w w:val="99"/>
              </w:rPr>
              <w:t>2013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Change</w:t>
            </w:r>
          </w:p>
        </w:tc>
        <w:tc>
          <w:tcPr>
            <w:tcW w:w="900" w:type="dxa"/>
            <w:vAlign w:val="bottom"/>
            <w:gridSpan w:val="3"/>
          </w:tcPr>
          <w:p>
            <w:pPr>
              <w:ind w:left="120"/>
              <w:spacing w:after="0"/>
              <w:rPr>
                <w:sz w:val="20"/>
                <w:szCs w:val="20"/>
                <w:color w:val="auto"/>
              </w:rPr>
            </w:pPr>
            <w:r>
              <w:rPr>
                <w:rFonts w:ascii="Arial" w:cs="Arial" w:eastAsia="Arial" w:hAnsi="Arial"/>
                <w:sz w:val="18"/>
                <w:szCs w:val="18"/>
                <w:color w:val="auto"/>
              </w:rPr>
              <w:t>Merger</w:t>
            </w:r>
          </w:p>
        </w:tc>
        <w:tc>
          <w:tcPr>
            <w:tcW w:w="160" w:type="dxa"/>
            <w:vAlign w:val="bottom"/>
          </w:tcPr>
          <w:p>
            <w:pPr>
              <w:spacing w:after="0"/>
              <w:rPr>
                <w:sz w:val="20"/>
                <w:szCs w:val="20"/>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10"/>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0" w:type="dxa"/>
            <w:vAlign w:val="bottom"/>
            <w:gridSpan w:val="10"/>
          </w:tcPr>
          <w:p>
            <w:pPr>
              <w:jc w:val="center"/>
              <w:spacing w:after="0"/>
              <w:rPr>
                <w:sz w:val="20"/>
                <w:szCs w:val="20"/>
                <w:color w:val="auto"/>
              </w:rPr>
            </w:pPr>
            <w:r>
              <w:rPr>
                <w:rFonts w:ascii="Arial" w:cs="Arial" w:eastAsia="Arial" w:hAnsi="Arial"/>
                <w:sz w:val="14"/>
                <w:szCs w:val="14"/>
                <w:color w:val="auto"/>
                <w:w w:val="93"/>
              </w:rPr>
              <w:t>(In millions, except percentage changes)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 w:type="dxa"/>
            <w:vAlign w:val="bottom"/>
          </w:tcPr>
          <w:p>
            <w:pPr>
              <w:spacing w:after="0"/>
              <w:rPr>
                <w:sz w:val="22"/>
                <w:szCs w:val="22"/>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Mainline passenger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Regional passenger</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 w:type="dxa"/>
            <w:vAlign w:val="bottom"/>
          </w:tcPr>
          <w:p>
            <w:pPr>
              <w:spacing w:after="0"/>
              <w:rPr>
                <w:sz w:val="22"/>
                <w:szCs w:val="22"/>
                <w:color w:val="auto"/>
              </w:rPr>
            </w:pPr>
          </w:p>
        </w:tc>
        <w:tc>
          <w:tcPr>
            <w:tcW w:w="36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operating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discussion of operating revenues excludes the results of US Airways Group in order to provide a more meaningful quarter-over-quarter comparison.</w:t>
      </w:r>
    </w:p>
    <w:p>
      <w:pPr>
        <w:spacing w:after="0" w:line="11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Total operating revenues in the first quarter of 2014 increased $388 million, or 6.4%, from the 2013 period which was driven by strong demand for air travel. Significant changes in the components of operating revenues are as follows:</w:t>
      </w:r>
    </w:p>
    <w:p>
      <w:pPr>
        <w:spacing w:after="0" w:line="62" w:lineRule="exact"/>
        <w:rPr>
          <w:sz w:val="20"/>
          <w:szCs w:val="20"/>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Mainline passenger revenues increased $292 million, or 6.3%, in the first quarter of 2014 from the 2013 period due to higher yields and revenue per ASM, offset in part by slightly lower load factors.</w:t>
      </w:r>
    </w:p>
    <w:p>
      <w:pPr>
        <w:spacing w:after="0" w:line="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Cargo revenues increased $12 million, or 7.4%, in the first quarter of 2014 from the 2013 period driven primarily by an increase in transatlantic freight volumes.</w:t>
      </w:r>
    </w:p>
    <w:p>
      <w:pPr>
        <w:spacing w:after="0" w:line="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revenues increased $94 million, or 14.5%, in the first quarter of 2014 from the 2013 period driven primarily by higher revenues associated with our frequent flyer programs.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11"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jc w:val="center"/>
              <w:ind w:right="1840"/>
              <w:spacing w:after="0"/>
              <w:rPr>
                <w:sz w:val="20"/>
                <w:szCs w:val="20"/>
                <w:color w:val="auto"/>
              </w:rPr>
            </w:pPr>
            <w:r>
              <w:rPr>
                <w:rFonts w:ascii="Arial" w:cs="Arial" w:eastAsia="Arial" w:hAnsi="Arial"/>
                <w:sz w:val="18"/>
                <w:szCs w:val="18"/>
                <w:i w:val="1"/>
                <w:iCs w:val="1"/>
                <w:color w:val="auto"/>
                <w:w w:val="89"/>
              </w:rPr>
              <w:t>Operating Expenses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2160" w:type="dxa"/>
            <w:vAlign w:val="bottom"/>
            <w:gridSpan w:val="6"/>
          </w:tcPr>
          <w:p>
            <w:pPr>
              <w:jc w:val="right"/>
              <w:spacing w:after="0"/>
              <w:rPr>
                <w:sz w:val="20"/>
                <w:szCs w:val="20"/>
                <w:color w:val="auto"/>
              </w:rPr>
            </w:pPr>
            <w:r>
              <w:rPr>
                <w:rFonts w:ascii="Arial" w:cs="Arial" w:eastAsia="Arial" w:hAnsi="Arial"/>
                <w:sz w:val="18"/>
                <w:szCs w:val="18"/>
                <w:color w:val="auto"/>
                <w:w w:val="93"/>
              </w:rPr>
              <w:t>Three Months Ended March</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9"/>
              </w:rPr>
              <w:t>$ Change</w:t>
            </w:r>
          </w:p>
        </w:tc>
        <w:tc>
          <w:tcPr>
            <w:tcW w:w="140" w:type="dxa"/>
            <w:vAlign w:val="bottom"/>
          </w:tcPr>
          <w:p>
            <w:pPr>
              <w:spacing w:after="0"/>
              <w:rPr>
                <w:sz w:val="24"/>
                <w:szCs w:val="24"/>
                <w:color w:val="auto"/>
              </w:rPr>
            </w:pPr>
          </w:p>
        </w:tc>
        <w:tc>
          <w:tcPr>
            <w:tcW w:w="2120" w:type="dxa"/>
            <w:vAlign w:val="bottom"/>
            <w:gridSpan w:val="3"/>
          </w:tcPr>
          <w:p>
            <w:pPr>
              <w:jc w:val="center"/>
              <w:ind w:right="30"/>
              <w:spacing w:after="0"/>
              <w:rPr>
                <w:sz w:val="20"/>
                <w:szCs w:val="20"/>
                <w:color w:val="auto"/>
              </w:rPr>
            </w:pPr>
            <w:r>
              <w:rPr>
                <w:rFonts w:ascii="Arial" w:cs="Arial" w:eastAsia="Arial" w:hAnsi="Arial"/>
                <w:sz w:val="18"/>
                <w:szCs w:val="18"/>
                <w:color w:val="auto"/>
                <w:w w:val="92"/>
              </w:rPr>
              <w:t>Change Excluding Merger</w:t>
            </w: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w w:val="79"/>
              </w:rPr>
              <w:t>31,</w:t>
            </w: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gridSpan w:val="2"/>
            <w:vMerge w:val="restart"/>
          </w:tcPr>
          <w:p>
            <w:pPr>
              <w:jc w:val="center"/>
              <w:ind w:left="530"/>
              <w:spacing w:after="0"/>
              <w:rPr>
                <w:sz w:val="20"/>
                <w:szCs w:val="20"/>
                <w:color w:val="auto"/>
              </w:rPr>
            </w:pPr>
            <w:r>
              <w:rPr>
                <w:rFonts w:ascii="Arial" w:cs="Arial" w:eastAsia="Arial" w:hAnsi="Arial"/>
                <w:sz w:val="18"/>
                <w:szCs w:val="18"/>
                <w:color w:val="auto"/>
                <w:w w:val="92"/>
              </w:rPr>
              <w:t>Impact</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60"/>
              <w:spacing w:after="0" w:line="190" w:lineRule="exact"/>
              <w:rPr>
                <w:sz w:val="20"/>
                <w:szCs w:val="20"/>
                <w:color w:val="auto"/>
              </w:rPr>
            </w:pPr>
            <w:r>
              <w:rPr>
                <w:rFonts w:ascii="Arial" w:cs="Arial" w:eastAsia="Arial" w:hAnsi="Arial"/>
                <w:sz w:val="18"/>
                <w:szCs w:val="18"/>
                <w:color w:val="auto"/>
                <w:w w:val="94"/>
              </w:rPr>
              <w:t>Due to</w:t>
            </w: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 Change</w:t>
            </w:r>
          </w:p>
        </w:tc>
        <w:tc>
          <w:tcPr>
            <w:tcW w:w="14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Merger</w:t>
            </w:r>
          </w:p>
        </w:tc>
        <w:tc>
          <w:tcPr>
            <w:tcW w:w="14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8"/>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520" w:type="dxa"/>
            <w:vAlign w:val="bottom"/>
            <w:gridSpan w:val="8"/>
          </w:tcPr>
          <w:p>
            <w:pPr>
              <w:jc w:val="right"/>
              <w:ind w:right="10"/>
              <w:spacing w:after="0"/>
              <w:rPr>
                <w:sz w:val="20"/>
                <w:szCs w:val="20"/>
                <w:color w:val="auto"/>
              </w:rPr>
            </w:pPr>
            <w:r>
              <w:rPr>
                <w:rFonts w:ascii="Arial" w:cs="Arial" w:eastAsia="Arial" w:hAnsi="Arial"/>
                <w:sz w:val="14"/>
                <w:szCs w:val="14"/>
                <w:color w:val="auto"/>
                <w:w w:val="95"/>
              </w:rPr>
              <w:t>(In millions, except percentage changes)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620" w:type="dxa"/>
            <w:vAlign w:val="bottom"/>
            <w:gridSpan w:val="3"/>
          </w:tcPr>
          <w:p>
            <w:pPr>
              <w:ind w:left="40"/>
              <w:spacing w:after="0"/>
              <w:rPr>
                <w:sz w:val="20"/>
                <w:szCs w:val="20"/>
                <w:color w:val="auto"/>
              </w:rPr>
            </w:pPr>
            <w:r>
              <w:rPr>
                <w:rFonts w:ascii="Arial" w:cs="Arial" w:eastAsia="Arial" w:hAnsi="Arial"/>
                <w:sz w:val="18"/>
                <w:szCs w:val="18"/>
                <w:color w:val="auto"/>
              </w:rPr>
              <w:t>Salaries, wages and benefits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48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620" w:type="dxa"/>
            <w:vAlign w:val="bottom"/>
            <w:gridSpan w:val="3"/>
          </w:tcPr>
          <w:p>
            <w:pPr>
              <w:ind w:left="40"/>
              <w:spacing w:after="0"/>
              <w:rPr>
                <w:sz w:val="20"/>
                <w:szCs w:val="20"/>
                <w:color w:val="auto"/>
              </w:rPr>
            </w:pPr>
            <w:r>
              <w:rPr>
                <w:rFonts w:ascii="Arial" w:cs="Arial" w:eastAsia="Arial" w:hAnsi="Arial"/>
                <w:sz w:val="18"/>
                <w:szCs w:val="18"/>
                <w:color w:val="auto"/>
              </w:rPr>
              <w:t>Other rent and landing fees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4620" w:type="dxa"/>
            <w:vAlign w:val="bottom"/>
            <w:gridSpan w:val="3"/>
          </w:tcPr>
          <w:p>
            <w:pPr>
              <w:ind w:left="40"/>
              <w:spacing w:after="0"/>
              <w:rPr>
                <w:sz w:val="20"/>
                <w:szCs w:val="20"/>
                <w:color w:val="auto"/>
              </w:rPr>
            </w:pPr>
            <w:r>
              <w:rPr>
                <w:rFonts w:ascii="Arial" w:cs="Arial" w:eastAsia="Arial" w:hAnsi="Arial"/>
                <w:sz w:val="18"/>
                <w:szCs w:val="18"/>
                <w:color w:val="auto"/>
              </w:rPr>
              <w:t>Selling expenses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620" w:type="dxa"/>
            <w:vAlign w:val="bottom"/>
            <w:gridSpan w:val="3"/>
          </w:tcPr>
          <w:p>
            <w:pPr>
              <w:ind w:left="40"/>
              <w:spacing w:after="0"/>
              <w:rPr>
                <w:sz w:val="20"/>
                <w:szCs w:val="20"/>
                <w:color w:val="auto"/>
              </w:rPr>
            </w:pPr>
            <w:r>
              <w:rPr>
                <w:rFonts w:ascii="Arial" w:cs="Arial" w:eastAsia="Arial" w:hAnsi="Arial"/>
                <w:sz w:val="18"/>
                <w:szCs w:val="18"/>
                <w:color w:val="auto"/>
              </w:rPr>
              <w:t>Special items, net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c>
          <w:tcPr>
            <w:tcW w:w="48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4620" w:type="dxa"/>
            <w:vAlign w:val="bottom"/>
            <w:gridSpan w:val="3"/>
          </w:tcPr>
          <w:p>
            <w:pPr>
              <w:jc w:val="center"/>
              <w:ind w:right="1800"/>
              <w:spacing w:after="0"/>
              <w:rPr>
                <w:sz w:val="20"/>
                <w:szCs w:val="20"/>
                <w:color w:val="auto"/>
              </w:rPr>
            </w:pPr>
            <w:r>
              <w:rPr>
                <w:rFonts w:ascii="Arial" w:cs="Arial" w:eastAsia="Arial" w:hAnsi="Arial"/>
                <w:sz w:val="18"/>
                <w:szCs w:val="18"/>
                <w:color w:val="auto"/>
                <w:w w:val="89"/>
              </w:rPr>
              <w:t>Total mainline operating expenses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Regional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3"/>
          </w:tcPr>
          <w:p>
            <w:pPr>
              <w:ind w:left="280"/>
              <w:spacing w:after="0"/>
              <w:rPr>
                <w:sz w:val="20"/>
                <w:szCs w:val="20"/>
                <w:color w:val="auto"/>
              </w:rPr>
            </w:pPr>
            <w:r>
              <w:rPr>
                <w:rFonts w:ascii="Arial" w:cs="Arial" w:eastAsia="Arial" w:hAnsi="Arial"/>
                <w:sz w:val="18"/>
                <w:szCs w:val="18"/>
                <w:color w:val="auto"/>
              </w:rPr>
              <w:t>Fuel</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4620" w:type="dxa"/>
            <w:vAlign w:val="bottom"/>
            <w:gridSpan w:val="3"/>
          </w:tcPr>
          <w:p>
            <w:pPr>
              <w:jc w:val="center"/>
              <w:ind w:right="1840"/>
              <w:spacing w:after="0"/>
              <w:rPr>
                <w:sz w:val="20"/>
                <w:szCs w:val="20"/>
                <w:color w:val="auto"/>
              </w:rPr>
            </w:pPr>
            <w:r>
              <w:rPr>
                <w:rFonts w:ascii="Arial" w:cs="Arial" w:eastAsia="Arial" w:hAnsi="Arial"/>
                <w:sz w:val="18"/>
                <w:szCs w:val="18"/>
                <w:color w:val="auto"/>
                <w:w w:val="89"/>
              </w:rPr>
              <w:t>Total regional operating expenses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gridSpan w:val="3"/>
            <w:shd w:val="clear" w:color="auto" w:fill="CCEEFF"/>
          </w:tcPr>
          <w:p>
            <w:pPr>
              <w:jc w:val="center"/>
              <w:ind w:right="1840"/>
              <w:spacing w:after="0"/>
              <w:rPr>
                <w:sz w:val="20"/>
                <w:szCs w:val="20"/>
                <w:color w:val="auto"/>
              </w:rPr>
            </w:pPr>
            <w:r>
              <w:rPr>
                <w:rFonts w:ascii="Arial" w:cs="Arial" w:eastAsia="Arial" w:hAnsi="Arial"/>
                <w:sz w:val="18"/>
                <w:szCs w:val="18"/>
                <w:color w:val="auto"/>
                <w:w w:val="88"/>
              </w:rPr>
              <w:t>Total operating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6,027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of operating expenses excludes the results of US Airways Group in order to provide a more meaningful quarter-over-quarter comparison.</w:t>
      </w:r>
    </w:p>
    <w:p>
      <w:pPr>
        <w:spacing w:after="0" w:line="1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operating expenses in the first quarter of 2014 decreased $92 million, or 1.5%, from the 2013 period. Significant changes in the components of mainline operating expenses, excluding the results of US Airways Group, are as follows:</w:t>
      </w:r>
    </w:p>
    <w:p>
      <w:pPr>
        <w:spacing w:after="0" w:line="8" w:lineRule="exact"/>
        <w:rPr>
          <w:sz w:val="20"/>
          <w:szCs w:val="20"/>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Aircraft fuel and related taxes decreased 3.3% primarily due to a decrease in the average price per gallon of fuel, net of the effects of hedging, which was offset in part by an increase in consumption.</w:t>
      </w:r>
    </w:p>
    <w:p>
      <w:pPr>
        <w:spacing w:after="0" w:line="8" w:lineRule="exact"/>
        <w:rPr>
          <w:sz w:val="20"/>
          <w:szCs w:val="20"/>
          <w:color w:val="auto"/>
        </w:rPr>
      </w:pPr>
    </w:p>
    <w:p>
      <w:pPr>
        <w:jc w:val="both"/>
        <w:ind w:left="400" w:hanging="391"/>
        <w:spacing w:after="0" w:line="264" w:lineRule="auto"/>
        <w:rPr>
          <w:sz w:val="20"/>
          <w:szCs w:val="20"/>
          <w:color w:val="auto"/>
        </w:rPr>
      </w:pPr>
      <w:r>
        <w:rPr>
          <w:rFonts w:ascii="Arial" w:cs="Arial" w:eastAsia="Arial" w:hAnsi="Arial"/>
          <w:sz w:val="18"/>
          <w:szCs w:val="18"/>
          <w:color w:val="auto"/>
        </w:rPr>
        <w:t>•Salaries, wages and benefits increased 10.5% primarily due to the Merger Pilot MOU that was effective upon the closing of the Merger, newly implemented FAA rules on pilot and flight attendant duty times, as well as increased costs from certain stock-based compensation programs driven by a 45% increase in the price of our common stock from $25.25 to $36.60 during the first quarter of 2014.</w:t>
      </w:r>
    </w:p>
    <w:p>
      <w:pPr>
        <w:spacing w:after="0" w:line="19" w:lineRule="exact"/>
        <w:rPr>
          <w:sz w:val="20"/>
          <w:szCs w:val="20"/>
          <w:color w:val="auto"/>
        </w:rPr>
      </w:pPr>
    </w:p>
    <w:p>
      <w:pPr>
        <w:ind w:left="660" w:right="20" w:hanging="652"/>
        <w:spacing w:after="0" w:line="277" w:lineRule="auto"/>
        <w:tabs>
          <w:tab w:leader="none" w:pos="3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Aircraft rent increased 31.1% primarily as a result of new aircraft deliveries since the end of the 2013 first quarter as we continue our fleet renewal program.</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71" w:lineRule="exact"/>
        <w:rPr>
          <w:sz w:val="20"/>
          <w:szCs w:val="20"/>
          <w:color w:val="auto"/>
        </w:rPr>
      </w:pPr>
    </w:p>
    <w:p>
      <w:pPr>
        <w:ind w:left="660" w:right="20"/>
        <w:spacing w:after="0" w:line="441" w:lineRule="auto"/>
        <w:rPr>
          <w:sz w:val="20"/>
          <w:szCs w:val="20"/>
          <w:color w:val="auto"/>
        </w:rPr>
      </w:pPr>
      <w:r>
        <w:rPr>
          <w:rFonts w:ascii="Arial" w:cs="Arial" w:eastAsia="Arial" w:hAnsi="Arial"/>
          <w:sz w:val="18"/>
          <w:szCs w:val="18"/>
          <w:color w:val="auto"/>
        </w:rPr>
        <w:t xml:space="preserve">Total regional expenses, excluding the results of US Airways Group, increased $6 million, or 0.6%, in the first quarter of 2014 from the 2013 period. </w:t>
      </w:r>
      <w:r>
        <w:rPr>
          <w:rFonts w:ascii="Arial" w:cs="Arial" w:eastAsia="Arial" w:hAnsi="Arial"/>
          <w:sz w:val="18"/>
          <w:szCs w:val="18"/>
          <w:i w:val="1"/>
          <w:iCs w:val="1"/>
          <w:u w:val="single" w:color="auto"/>
          <w:color w:val="auto"/>
        </w:rPr>
        <w:t>Nonoperating Income (Expense)</w:t>
      </w:r>
    </w:p>
    <w:tbl>
      <w:tblPr>
        <w:tblLayout w:type="fixed"/>
        <w:tblInd w:w="120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5"/>
          </w:tcPr>
          <w:p>
            <w:pPr>
              <w:jc w:val="center"/>
              <w:ind w:right="240"/>
              <w:spacing w:after="0"/>
              <w:rPr>
                <w:sz w:val="20"/>
                <w:szCs w:val="20"/>
                <w:color w:val="auto"/>
              </w:rPr>
            </w:pPr>
            <w:r>
              <w:rPr>
                <w:rFonts w:ascii="Arial" w:cs="Arial" w:eastAsia="Arial" w:hAnsi="Arial"/>
                <w:sz w:val="16"/>
                <w:szCs w:val="16"/>
                <w:color w:val="auto"/>
                <w:w w:val="92"/>
              </w:rPr>
              <w:t>Three Months Ended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ind w:left="40"/>
              <w:spacing w:after="0"/>
              <w:rPr>
                <w:sz w:val="20"/>
                <w:szCs w:val="20"/>
                <w:color w:val="auto"/>
              </w:rPr>
            </w:pPr>
            <w:r>
              <w:rPr>
                <w:rFonts w:ascii="Arial" w:cs="Arial" w:eastAsia="Arial" w:hAnsi="Arial"/>
                <w:sz w:val="16"/>
                <w:szCs w:val="16"/>
                <w:color w:val="auto"/>
              </w:rPr>
              <w:t>Change</w:t>
            </w:r>
          </w:p>
        </w:tc>
        <w:tc>
          <w:tcPr>
            <w:tcW w:w="200" w:type="dxa"/>
            <w:vAlign w:val="bottom"/>
          </w:tcPr>
          <w:p>
            <w:pPr>
              <w:spacing w:after="0"/>
              <w:rPr>
                <w:sz w:val="17"/>
                <w:szCs w:val="17"/>
                <w:color w:val="auto"/>
              </w:rPr>
            </w:pPr>
          </w:p>
        </w:tc>
        <w:tc>
          <w:tcPr>
            <w:tcW w:w="1480" w:type="dxa"/>
            <w:vAlign w:val="bottom"/>
            <w:gridSpan w:val="2"/>
          </w:tcPr>
          <w:p>
            <w:pPr>
              <w:jc w:val="right"/>
              <w:ind w:right="152"/>
              <w:spacing w:after="0"/>
              <w:rPr>
                <w:sz w:val="20"/>
                <w:szCs w:val="20"/>
                <w:color w:val="auto"/>
              </w:rPr>
            </w:pPr>
            <w:r>
              <w:rPr>
                <w:rFonts w:ascii="Arial" w:cs="Arial" w:eastAsia="Arial" w:hAnsi="Arial"/>
                <w:sz w:val="16"/>
                <w:szCs w:val="16"/>
                <w:color w:val="auto"/>
                <w:w w:val="93"/>
              </w:rPr>
              <w:t>Change Excluding</w:t>
            </w: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00" w:type="dxa"/>
            <w:vAlign w:val="bottom"/>
            <w:gridSpan w:val="5"/>
            <w:vMerge w:val="restart"/>
          </w:tcPr>
          <w:p>
            <w:pPr>
              <w:jc w:val="center"/>
              <w:ind w:right="240"/>
              <w:spacing w:after="0"/>
              <w:rPr>
                <w:sz w:val="20"/>
                <w:szCs w:val="20"/>
                <w:color w:val="auto"/>
              </w:rPr>
            </w:pPr>
            <w:r>
              <w:rPr>
                <w:rFonts w:ascii="Arial" w:cs="Arial" w:eastAsia="Arial" w:hAnsi="Arial"/>
                <w:sz w:val="16"/>
                <w:szCs w:val="16"/>
                <w:color w:val="auto"/>
                <w:w w:val="92"/>
              </w:rPr>
              <w:t>March 31,</w:t>
            </w: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gridSpan w:val="2"/>
            <w:vMerge w:val="restart"/>
          </w:tcPr>
          <w:p>
            <w:pPr>
              <w:jc w:val="right"/>
              <w:ind w:right="252"/>
              <w:spacing w:after="0"/>
              <w:rPr>
                <w:sz w:val="20"/>
                <w:szCs w:val="20"/>
                <w:color w:val="auto"/>
              </w:rPr>
            </w:pPr>
            <w:r>
              <w:rPr>
                <w:rFonts w:ascii="Arial" w:cs="Arial" w:eastAsia="Arial" w:hAnsi="Arial"/>
                <w:sz w:val="16"/>
                <w:szCs w:val="16"/>
                <w:color w:val="auto"/>
              </w:rPr>
              <w:t>Merger Impact</w:t>
            </w:r>
          </w:p>
        </w:tc>
        <w:tc>
          <w:tcPr>
            <w:tcW w:w="0" w:type="dxa"/>
            <w:vAlign w:val="bottom"/>
          </w:tcPr>
          <w:p>
            <w:pPr>
              <w:spacing w:after="0"/>
              <w:rPr>
                <w:sz w:val="1"/>
                <w:szCs w:val="1"/>
                <w:color w:val="auto"/>
              </w:rPr>
            </w:pPr>
          </w:p>
        </w:tc>
      </w:tr>
      <w:tr>
        <w:trPr>
          <w:trHeight w:val="125"/>
        </w:trPr>
        <w:tc>
          <w:tcPr>
            <w:tcW w:w="3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5"/>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ind w:left="20"/>
              <w:spacing w:after="0" w:line="138" w:lineRule="exact"/>
              <w:rPr>
                <w:sz w:val="20"/>
                <w:szCs w:val="20"/>
                <w:color w:val="auto"/>
              </w:rPr>
            </w:pPr>
            <w:r>
              <w:rPr>
                <w:rFonts w:ascii="Arial" w:cs="Arial" w:eastAsia="Arial" w:hAnsi="Arial"/>
                <w:sz w:val="16"/>
                <w:szCs w:val="16"/>
                <w:color w:val="auto"/>
              </w:rPr>
              <w:t>Due to</w:t>
            </w:r>
          </w:p>
        </w:tc>
        <w:tc>
          <w:tcPr>
            <w:tcW w:w="2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3"/>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3"/>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20"/>
              <w:spacing w:after="0"/>
              <w:rPr>
                <w:sz w:val="20"/>
                <w:szCs w:val="20"/>
                <w:color w:val="auto"/>
              </w:rPr>
            </w:pPr>
            <w:r>
              <w:rPr>
                <w:rFonts w:ascii="Arial" w:cs="Arial" w:eastAsia="Arial" w:hAnsi="Arial"/>
                <w:sz w:val="16"/>
                <w:szCs w:val="16"/>
                <w:color w:val="auto"/>
              </w:rPr>
              <w:t>Change</w:t>
            </w:r>
          </w:p>
        </w:tc>
        <w:tc>
          <w:tcPr>
            <w:tcW w:w="940" w:type="dxa"/>
            <w:vAlign w:val="bottom"/>
            <w:gridSpan w:val="3"/>
          </w:tcPr>
          <w:p>
            <w:pPr>
              <w:ind w:left="180"/>
              <w:spacing w:after="0"/>
              <w:rPr>
                <w:sz w:val="20"/>
                <w:szCs w:val="20"/>
                <w:color w:val="auto"/>
              </w:rPr>
            </w:pPr>
            <w:r>
              <w:rPr>
                <w:rFonts w:ascii="Arial" w:cs="Arial" w:eastAsia="Arial" w:hAnsi="Arial"/>
                <w:sz w:val="16"/>
                <w:szCs w:val="16"/>
                <w:color w:val="auto"/>
              </w:rPr>
              <w:t>Merger</w:t>
            </w:r>
          </w:p>
        </w:tc>
        <w:tc>
          <w:tcPr>
            <w:tcW w:w="200" w:type="dxa"/>
            <w:vAlign w:val="bottom"/>
          </w:tcPr>
          <w:p>
            <w:pPr>
              <w:spacing w:after="0"/>
              <w:rPr>
                <w:sz w:val="20"/>
                <w:szCs w:val="20"/>
                <w:color w:val="auto"/>
              </w:rPr>
            </w:pPr>
          </w:p>
        </w:tc>
        <w:tc>
          <w:tcPr>
            <w:tcW w:w="560" w:type="dxa"/>
            <w:vAlign w:val="bottom"/>
          </w:tcPr>
          <w:p>
            <w:pPr>
              <w:jc w:val="right"/>
              <w:ind w:right="254"/>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5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9"/>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0" w:type="dxa"/>
            <w:vAlign w:val="bottom"/>
            <w:gridSpan w:val="9"/>
          </w:tcPr>
          <w:p>
            <w:pPr>
              <w:jc w:val="right"/>
              <w:spacing w:after="0"/>
              <w:rPr>
                <w:sz w:val="20"/>
                <w:szCs w:val="20"/>
                <w:color w:val="auto"/>
              </w:rPr>
            </w:pPr>
            <w:r>
              <w:rPr>
                <w:rFonts w:ascii="Arial" w:cs="Arial" w:eastAsia="Arial" w:hAnsi="Arial"/>
                <w:sz w:val="14"/>
                <w:szCs w:val="14"/>
                <w:color w:val="auto"/>
              </w:rPr>
              <w:t>(In millions, except percentage changes)</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Interest expense, net of capitalized interest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57"/>
        </w:trPr>
        <w:tc>
          <w:tcPr>
            <w:tcW w:w="3660" w:type="dxa"/>
            <w:vAlign w:val="bottom"/>
          </w:tcPr>
          <w:p>
            <w:pPr>
              <w:ind w:left="260"/>
              <w:spacing w:after="0"/>
              <w:rPr>
                <w:sz w:val="20"/>
                <w:szCs w:val="20"/>
                <w:color w:val="auto"/>
              </w:rPr>
            </w:pPr>
            <w:r>
              <w:rPr>
                <w:rFonts w:ascii="Arial" w:cs="Arial" w:eastAsia="Arial" w:hAnsi="Arial"/>
                <w:sz w:val="18"/>
                <w:szCs w:val="18"/>
                <w:color w:val="auto"/>
              </w:rPr>
              <w:t>Total nonoperating expense,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discussion of nonoperating income and expense excludes the results of US Airways Group in order to provide a more meaningful quarter-over-quarter comparison.</w:t>
      </w:r>
    </w:p>
    <w:p>
      <w:pPr>
        <w:sectPr>
          <w:pgSz w:w="11900" w:h="16838" w:orient="portrait"/>
          <w:cols w:equalWidth="0" w:num="1">
            <w:col w:w="11420"/>
          </w:cols>
          <w:pgMar w:left="240" w:top="513"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513" w:right="239" w:bottom="1440" w:gutter="0" w:footer="0" w:header="0"/>
          <w:type w:val="continuous"/>
        </w:sectPr>
      </w:pPr>
    </w:p>
    <w:bookmarkStart w:id="62" w:name="page63"/>
    <w:bookmarkEnd w:id="62"/>
    <w:p>
      <w:pPr>
        <w:jc w:val="both"/>
        <w:ind w:right="20" w:firstLine="211"/>
        <w:spacing w:after="0" w:line="277" w:lineRule="auto"/>
        <w:rPr>
          <w:sz w:val="20"/>
          <w:szCs w:val="20"/>
          <w:color w:val="auto"/>
        </w:rPr>
      </w:pPr>
      <w:r>
        <w:rPr>
          <w:rFonts w:ascii="Arial" w:cs="Arial" w:eastAsia="Arial" w:hAnsi="Arial"/>
          <w:sz w:val="18"/>
          <w:szCs w:val="18"/>
          <w:color w:val="auto"/>
        </w:rPr>
        <w:t>Interest income was $7 million and $4 million in the first quarter of 2014 and 2013, respectively. Our short-term investments in each period consisted of highly liquid investments which provided nominal returns.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net of capitalized interest decreased $85 million, or 33.4%, in the first quarter of 2014 from the 2013 period. This decrease was primarily due to $31 million of special charges recognized in the first quarter of 2014 relating to non-cash interest accretion on bankruptcy settlement obligations, as compared to $116 million of special charges recognized in the first quarter of 2013 relating to post-petition interest expense on unsecured obligations pursuant to the Plan.</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nonoperating expense, net decreased $19 million in the first quarter of 2014 from the 2013 period primarily due to the weakening of the U.S. dollar in foreign currency transactions. The first quarter of 2014 included $3 million in net foreign currency gains as compared to $19 million in net foreign currency losses in the 2013 period.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Reorganization items refer to revenues, expenses (including professional fees), realized gains and losses and provisions for losses that are realized or incurred as a direct result of the Chapter 11 Cases, which were filed in November of 2011. The following table summarizes the components included in reorganization items, net on AAG's condensed consolidated statements of operations for the three months ended March 31, 2013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720" w:type="dxa"/>
            <w:vAlign w:val="bottom"/>
          </w:tcPr>
          <w:p>
            <w:pPr>
              <w:ind w:left="40"/>
              <w:spacing w:after="0"/>
              <w:rPr>
                <w:sz w:val="20"/>
                <w:szCs w:val="20"/>
                <w:color w:val="auto"/>
              </w:rPr>
            </w:pPr>
            <w:r>
              <w:rPr>
                <w:rFonts w:ascii="Arial" w:cs="Arial" w:eastAsia="Arial" w:hAnsi="Arial"/>
                <w:sz w:val="18"/>
                <w:szCs w:val="18"/>
                <w:color w:val="auto"/>
              </w:rPr>
              <w:t xml:space="preserve">Aircraft and facility financing renegotiations and rejections </w:t>
            </w:r>
            <w:r>
              <w:rPr>
                <w:rFonts w:ascii="Arial" w:cs="Arial" w:eastAsia="Arial" w:hAnsi="Arial"/>
                <w:sz w:val="25"/>
                <w:szCs w:val="25"/>
                <w:color w:val="auto"/>
                <w:vertAlign w:val="superscript"/>
              </w:rPr>
              <w:t>(1), (2)</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97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reorganization items, net</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0"/>
        </w:trPr>
        <w:tc>
          <w:tcPr>
            <w:tcW w:w="9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hanging="332"/>
        <w:spacing w:after="0" w:line="248"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and the Debtors believed that it was probable the motion would be approved, and there was sufficient information to estimate the claim.</w:t>
      </w:r>
    </w:p>
    <w:p>
      <w:pPr>
        <w:spacing w:after="0" w:line="1" w:lineRule="exact"/>
        <w:rPr>
          <w:rFonts w:ascii="Arial" w:cs="Arial" w:eastAsia="Arial" w:hAnsi="Arial"/>
          <w:sz w:val="24"/>
          <w:szCs w:val="24"/>
          <w:color w:val="auto"/>
          <w:vertAlign w:val="superscript"/>
        </w:rPr>
      </w:pPr>
    </w:p>
    <w:p>
      <w:pPr>
        <w:jc w:val="both"/>
        <w:ind w:left="340" w:hanging="332"/>
        <w:spacing w:after="0" w:line="221"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Pursuant to the Plan, the Debtors agreed to allow certain post-petition unsecured claims on obligations. As a result, during the three months ended March 31, 2013, we recorded reorganization charges to adjust estimated allowed claim amounts previously recorded on rejected special facility revenue bonds of $127 million, which are included in the table above.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3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quarter of 2014, American realized operating income of $578 million and net income of $401 million. American's first quarter 2014 net income included net special operating credits of $215 million and total net special credits of $164 million. Excluding the effects of these special credits, American realized operating income of $363 million and net income of $237 million.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ind w:left="660"/>
              <w:spacing w:after="0"/>
              <w:rPr>
                <w:sz w:val="20"/>
                <w:szCs w:val="20"/>
                <w:color w:val="auto"/>
              </w:rPr>
            </w:pPr>
            <w:r>
              <w:rPr>
                <w:rFonts w:ascii="Arial" w:cs="Arial" w:eastAsia="Arial" w:hAnsi="Arial"/>
                <w:sz w:val="18"/>
                <w:szCs w:val="18"/>
                <w:color w:val="auto"/>
              </w:rPr>
              <w:t>The components of American's net special charges (credits) are as follows (in millions):</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78"/>
        </w:trPr>
        <w:tc>
          <w:tcPr>
            <w:tcW w:w="8120" w:type="dxa"/>
            <w:vAlign w:val="bottom"/>
          </w:tcPr>
          <w:p>
            <w:pPr>
              <w:spacing w:after="0"/>
              <w:rPr>
                <w:sz w:val="24"/>
                <w:szCs w:val="24"/>
                <w:color w:val="auto"/>
              </w:rPr>
            </w:pPr>
          </w:p>
        </w:tc>
        <w:tc>
          <w:tcPr>
            <w:tcW w:w="2880" w:type="dxa"/>
            <w:vAlign w:val="bottom"/>
            <w:gridSpan w:val="4"/>
          </w:tcPr>
          <w:p>
            <w:pPr>
              <w:jc w:val="right"/>
              <w:spacing w:after="0"/>
              <w:rPr>
                <w:sz w:val="20"/>
                <w:szCs w:val="20"/>
                <w:color w:val="auto"/>
              </w:rPr>
            </w:pPr>
            <w:r>
              <w:rPr>
                <w:rFonts w:ascii="Arial" w:cs="Arial" w:eastAsia="Arial" w:hAnsi="Arial"/>
                <w:sz w:val="18"/>
                <w:szCs w:val="18"/>
                <w:color w:val="auto"/>
              </w:rPr>
              <w:t>Three Months Ended March 31,</w:t>
            </w:r>
          </w:p>
        </w:tc>
        <w:tc>
          <w:tcPr>
            <w:tcW w:w="42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0"/>
                <w:szCs w:val="20"/>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5"/>
                <w:szCs w:val="25"/>
                <w:color w:val="auto"/>
                <w:vertAlign w:val="superscript"/>
              </w:rPr>
              <w:t>(1)</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Regional operating special items, net</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25"/>
                <w:szCs w:val="25"/>
                <w:color w:val="auto"/>
                <w:vertAlign w:val="superscript"/>
              </w:rPr>
              <w:t>(2)</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Reorganization items, net </w:t>
            </w:r>
            <w:r>
              <w:rPr>
                <w:rFonts w:ascii="Arial" w:cs="Arial" w:eastAsia="Arial" w:hAnsi="Arial"/>
                <w:sz w:val="25"/>
                <w:szCs w:val="25"/>
                <w:color w:val="auto"/>
                <w:vertAlign w:val="superscript"/>
              </w:rPr>
              <w:t>(3)</w:t>
            </w:r>
          </w:p>
        </w:tc>
        <w:tc>
          <w:tcPr>
            <w:tcW w:w="108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160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5"/>
                <w:szCs w:val="25"/>
                <w:color w:val="auto"/>
                <w:vertAlign w:val="superscript"/>
              </w:rPr>
              <w:t>(4)</w:t>
            </w:r>
          </w:p>
        </w:tc>
        <w:tc>
          <w:tcPr>
            <w:tcW w:w="10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258</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line="250" w:lineRule="auto"/>
        <w:tabs>
          <w:tab w:leader="none" w:pos="208" w:val="left"/>
        </w:tabs>
        <w:numPr>
          <w:ilvl w:val="0"/>
          <w:numId w:val="40"/>
        </w:numPr>
        <w:rPr>
          <w:rFonts w:ascii="Arial" w:cs="Arial" w:eastAsia="Arial" w:hAnsi="Arial"/>
          <w:sz w:val="24"/>
          <w:szCs w:val="24"/>
          <w:color w:val="auto"/>
          <w:vertAlign w:val="superscript"/>
        </w:rPr>
      </w:pPr>
      <w:r>
        <w:rPr>
          <w:rFonts w:ascii="Arial" w:cs="Arial" w:eastAsia="Arial" w:hAnsi="Arial"/>
          <w:sz w:val="17"/>
          <w:szCs w:val="17"/>
          <w:color w:val="auto"/>
        </w:rPr>
        <w:t>The 2014 first quarter mainline operating special items totaled a net credit of $216 million, which principally included a $305 million gain on the sale of slots at DCA and a net $56 million credit for bankruptcy related items primarily reflecting fair value adjustments for bankruptcy settlement obligations. These special credits were offset in part by $91 million of cash merger integration expenses including amounts related to the Merger Pilot MOU, information technology, professional fees, severance, re-branding of aircraft and airport facilities, relocation and training as well as $43 million of non-cash compensation expense for merger equity awards.</w:t>
      </w:r>
    </w:p>
    <w:p>
      <w:pPr>
        <w:spacing w:after="0" w:line="32" w:lineRule="exact"/>
        <w:rPr>
          <w:sz w:val="20"/>
          <w:szCs w:val="20"/>
          <w:color w:val="auto"/>
        </w:rPr>
      </w:pPr>
    </w:p>
    <w:p>
      <w:pPr>
        <w:ind w:left="340" w:firstLine="648"/>
        <w:spacing w:after="0" w:line="277" w:lineRule="auto"/>
        <w:rPr>
          <w:sz w:val="20"/>
          <w:szCs w:val="20"/>
          <w:color w:val="auto"/>
        </w:rPr>
      </w:pPr>
      <w:r>
        <w:rPr>
          <w:rFonts w:ascii="Arial" w:cs="Arial" w:eastAsia="Arial" w:hAnsi="Arial"/>
          <w:sz w:val="18"/>
          <w:szCs w:val="18"/>
          <w:color w:val="auto"/>
        </w:rPr>
        <w:t>The 2013 first quarter mainline operating special items included $28 million in merger related expenses and a $43 million charge for workers' compensation claims.</w:t>
      </w:r>
    </w:p>
    <w:p>
      <w:pPr>
        <w:spacing w:after="0" w:line="8" w:lineRule="exact"/>
        <w:rPr>
          <w:sz w:val="20"/>
          <w:szCs w:val="20"/>
          <w:color w:val="auto"/>
        </w:rPr>
      </w:pPr>
    </w:p>
    <w:p>
      <w:pPr>
        <w:ind w:left="340" w:hanging="332"/>
        <w:spacing w:after="0" w:line="216" w:lineRule="auto"/>
        <w:tabs>
          <w:tab w:leader="none" w:pos="221"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The 2014 first quarter nonoperating special items of $44 million were principally due to non-cash interest accretion of $27 million on the bankruptcy settlement obligations.</w:t>
      </w:r>
    </w:p>
    <w:p>
      <w:pPr>
        <w:spacing w:after="0" w:line="41" w:lineRule="exact"/>
        <w:rPr>
          <w:sz w:val="20"/>
          <w:szCs w:val="20"/>
          <w:color w:val="auto"/>
        </w:rPr>
      </w:pPr>
    </w:p>
    <w:p>
      <w:pPr>
        <w:ind w:left="340" w:firstLine="648"/>
        <w:spacing w:after="0" w:line="277" w:lineRule="auto"/>
        <w:rPr>
          <w:sz w:val="20"/>
          <w:szCs w:val="20"/>
          <w:color w:val="auto"/>
        </w:rPr>
      </w:pPr>
      <w:r>
        <w:rPr>
          <w:rFonts w:ascii="Arial" w:cs="Arial" w:eastAsia="Arial" w:hAnsi="Arial"/>
          <w:sz w:val="18"/>
          <w:szCs w:val="18"/>
          <w:color w:val="auto"/>
        </w:rPr>
        <w:t>The 2013 first quarter nonoperating special items consisted of interest charges to recognize post-petition interest expense on unsecured obligations pursuant to the Plan.</w:t>
      </w:r>
    </w:p>
    <w:p>
      <w:pPr>
        <w:spacing w:after="0" w:line="8" w:lineRule="exact"/>
        <w:rPr>
          <w:sz w:val="20"/>
          <w:szCs w:val="20"/>
          <w:color w:val="auto"/>
        </w:rPr>
      </w:pPr>
    </w:p>
    <w:p>
      <w:pPr>
        <w:ind w:left="340" w:hanging="332"/>
        <w:spacing w:after="0" w:line="227" w:lineRule="auto"/>
        <w:tabs>
          <w:tab w:leader="none" w:pos="208" w:val="left"/>
        </w:tabs>
        <w:numPr>
          <w:ilvl w:val="0"/>
          <w:numId w:val="42"/>
        </w:numPr>
        <w:rPr>
          <w:rFonts w:ascii="Arial" w:cs="Arial" w:eastAsia="Arial" w:hAnsi="Arial"/>
          <w:sz w:val="24"/>
          <w:szCs w:val="24"/>
          <w:color w:val="auto"/>
          <w:vertAlign w:val="superscript"/>
        </w:rPr>
      </w:pPr>
      <w:r>
        <w:rPr>
          <w:rFonts w:ascii="Arial" w:cs="Arial" w:eastAsia="Arial" w:hAnsi="Arial"/>
          <w:sz w:val="17"/>
          <w:szCs w:val="17"/>
          <w:color w:val="auto"/>
        </w:rPr>
        <w:t>In the 2013 first quarter, American recognized reorganization expenses as a result of the filing of the Chapter 11 Cases. These amounts consisted primarily of estimated allowed claim amounts and professional fees.</w:t>
      </w:r>
    </w:p>
    <w:p>
      <w:pPr>
        <w:spacing w:after="0" w:line="6" w:lineRule="exact"/>
        <w:rPr>
          <w:rFonts w:ascii="Arial" w:cs="Arial" w:eastAsia="Arial" w:hAnsi="Arial"/>
          <w:sz w:val="24"/>
          <w:szCs w:val="24"/>
          <w:color w:val="auto"/>
          <w:vertAlign w:val="superscript"/>
        </w:rPr>
      </w:pPr>
    </w:p>
    <w:p>
      <w:pPr>
        <w:ind w:left="200" w:hanging="192"/>
        <w:spacing w:after="0"/>
        <w:tabs>
          <w:tab w:leader="none" w:pos="200" w:val="left"/>
        </w:tabs>
        <w:numPr>
          <w:ilvl w:val="0"/>
          <w:numId w:val="42"/>
        </w:numPr>
        <w:rPr>
          <w:rFonts w:ascii="Arial" w:cs="Arial" w:eastAsia="Arial" w:hAnsi="Arial"/>
          <w:sz w:val="23"/>
          <w:szCs w:val="23"/>
          <w:color w:val="auto"/>
          <w:vertAlign w:val="superscript"/>
        </w:rPr>
      </w:pPr>
      <w:r>
        <w:rPr>
          <w:rFonts w:ascii="Arial" w:cs="Arial" w:eastAsia="Arial" w:hAnsi="Arial"/>
          <w:sz w:val="17"/>
          <w:szCs w:val="17"/>
          <w:color w:val="auto"/>
        </w:rPr>
        <w:t>The 2014 first quarter included a special $7 million non-cash deferred income tax provision related to certain indefinite-lived intangible assets.</w:t>
      </w:r>
    </w:p>
    <w:p>
      <w:pPr>
        <w:spacing w:after="0" w:line="1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Merger resulted in a statutory "ownership change" on December 9, 2013, as defined in Section 382, which limits American's future ability to utilize NOLs generated before the ownership change and certain subsequently recognized "built-in" losses and deductions, if any, existing as of the date of the ownership change. The general limitation rules for a debtor in a bankruptcy case are liberalized where an ownership change occurs upon emergence from bankruptcy. American's ability to utilize any new NOLs arising after the ownership change is not affected.</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December 31, 2013, American had approximately $9.5 billion of gross NOLs to reduce future federal taxable income, the majority of which are expected to be available for use in 2014, subject to the Section 382 limitation described above. The federal NOLs will expire beginning in 2022 if unused. These NOLs include an unrealized tax benefit of $647 million related to the implementation of share-based compensation accounting guidance that will be recorded in equity when realized. American also had approximately $3.8 billion of gross NOLs to reduce future state taxable income at December 31, 2013, which will expire in years 2014 through 2033 if unused. At December 31, 2013, American had an AMT credit carryforward of approximately $467 million available for federal income tax purposes, which is available for an indefinite period. American's net deferred tax assets, which include the NOLs, are subject to a full valuation allowance. At December 31, 2013, the federal and state valuation allowances were $4.9 billion and $378 million, respectively. In accordance with GAAP, utilization of the NOLs after December 9, 2013 will result in a corresponding decrease in the valuation allowance and offset American's tax provision dollar for dollar.</w:t>
      </w:r>
    </w:p>
    <w:p>
      <w:pPr>
        <w:spacing w:after="0" w:line="143" w:lineRule="exact"/>
        <w:rPr>
          <w:sz w:val="20"/>
          <w:szCs w:val="20"/>
          <w:color w:val="auto"/>
        </w:rPr>
      </w:pPr>
    </w:p>
    <w:p>
      <w:pPr>
        <w:jc w:val="both"/>
        <w:ind w:firstLine="263"/>
        <w:spacing w:after="0" w:line="264" w:lineRule="auto"/>
        <w:rPr>
          <w:sz w:val="20"/>
          <w:szCs w:val="20"/>
          <w:color w:val="auto"/>
        </w:rPr>
      </w:pPr>
      <w:r>
        <w:rPr>
          <w:rFonts w:ascii="Arial" w:cs="Arial" w:eastAsia="Arial" w:hAnsi="Arial"/>
          <w:sz w:val="18"/>
          <w:szCs w:val="18"/>
          <w:color w:val="auto"/>
        </w:rPr>
        <w:t>For the three months ended March 31, 2014, American utilized NOLs to reduce its income tax obligation. However, American recorded a special $7 million non-cash deferred income tax provision related to certain indefinite-lived intangible assets and $4 million of state and international income tax expense related to certain states and countries where NOLs were limited or unavailable to be used.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26" w:right="239" w:bottom="1440" w:gutter="0" w:footer="0" w:header="0"/>
        </w:sectPr>
      </w:pPr>
    </w:p>
    <w:bookmarkStart w:id="64" w:name="page65"/>
    <w:bookmarkEnd w:id="64"/>
    <w:p>
      <w:pPr>
        <w:ind w:firstLine="648"/>
        <w:spacing w:after="0" w:line="277" w:lineRule="auto"/>
        <w:rPr>
          <w:sz w:val="20"/>
          <w:szCs w:val="20"/>
          <w:color w:val="auto"/>
        </w:rPr>
      </w:pPr>
      <w:r>
        <w:rPr>
          <w:rFonts w:ascii="Arial" w:cs="Arial" w:eastAsia="Arial" w:hAnsi="Arial"/>
          <w:sz w:val="18"/>
          <w:szCs w:val="18"/>
          <w:color w:val="auto"/>
        </w:rPr>
        <w:t>For the three months ended March 31, 2013, American reported a loss before income taxes and recorded an income tax benefit of approximately $30 million as a result of the American Taxpayer Relief Act of 2012.</w:t>
      </w:r>
    </w:p>
    <w:p>
      <w:pPr>
        <w:spacing w:after="0" w:line="1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When profitable, American is ordinarily subject to AMT. However as a result of a special tax election made in 2009, American was able to utilize AMT NOLs to fully offset its AMT taxable income for the three months ended March 31, 2014.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Compared to Three Months Ended March 31, 2013</w:t>
      </w:r>
    </w:p>
    <w:p>
      <w:pPr>
        <w:spacing w:after="0" w:line="14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 conform to current year presentation, certain revenues and expenses in prior years have been reclassified. As a result, prior year amounts may not agree to the amounts previously reported. See Note 1 to American's condensed consolidated financial statements in Part I, Item 1B for additional information.</w:t>
      </w:r>
    </w:p>
    <w:p>
      <w:pPr>
        <w:spacing w:after="0" w:line="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660" w:type="dxa"/>
            <w:vAlign w:val="bottom"/>
            <w:gridSpan w:val="3"/>
          </w:tcPr>
          <w:p>
            <w:pPr>
              <w:spacing w:after="0"/>
              <w:rPr>
                <w:sz w:val="20"/>
                <w:szCs w:val="20"/>
                <w:color w:val="auto"/>
              </w:rPr>
            </w:pPr>
            <w:r>
              <w:rPr>
                <w:rFonts w:ascii="Arial" w:cs="Arial" w:eastAsia="Arial" w:hAnsi="Arial"/>
                <w:sz w:val="18"/>
                <w:szCs w:val="18"/>
                <w:i w:val="1"/>
                <w:iCs w:val="1"/>
                <w:color w:val="auto"/>
              </w:rPr>
              <w:t>Operating Revenues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4"/>
          </w:tcPr>
          <w:p>
            <w:pPr>
              <w:jc w:val="right"/>
              <w:ind w:right="10"/>
              <w:spacing w:after="0"/>
              <w:rPr>
                <w:sz w:val="20"/>
                <w:szCs w:val="20"/>
                <w:color w:val="auto"/>
              </w:rPr>
            </w:pPr>
            <w:r>
              <w:rPr>
                <w:rFonts w:ascii="Arial" w:cs="Arial" w:eastAsia="Arial" w:hAnsi="Arial"/>
                <w:sz w:val="18"/>
                <w:szCs w:val="18"/>
                <w:color w:val="auto"/>
                <w:w w:val="90"/>
              </w:rPr>
              <w:t>Three Months Ended March 31,</w:t>
            </w:r>
          </w:p>
        </w:tc>
        <w:tc>
          <w:tcPr>
            <w:tcW w:w="10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w w:val="88"/>
              </w:rPr>
              <w:t>Percent Increase</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51"/>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690"/>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Mainline passenger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1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5100" w:type="dxa"/>
            <w:vAlign w:val="bottom"/>
            <w:gridSpan w:val="2"/>
          </w:tcPr>
          <w:p>
            <w:pPr>
              <w:ind w:left="20"/>
              <w:spacing w:after="0"/>
              <w:rPr>
                <w:sz w:val="20"/>
                <w:szCs w:val="20"/>
                <w:color w:val="auto"/>
              </w:rPr>
            </w:pPr>
            <w:r>
              <w:rPr>
                <w:rFonts w:ascii="Arial" w:cs="Arial" w:eastAsia="Arial" w:hAnsi="Arial"/>
                <w:sz w:val="18"/>
                <w:szCs w:val="18"/>
                <w:color w:val="auto"/>
              </w:rPr>
              <w:t>Regional passenger</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679</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51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 w:type="dxa"/>
            <w:vAlign w:val="bottom"/>
          </w:tcPr>
          <w:p>
            <w:pPr>
              <w:spacing w:after="0"/>
              <w:rPr>
                <w:sz w:val="22"/>
                <w:szCs w:val="22"/>
                <w:color w:val="auto"/>
              </w:rPr>
            </w:pPr>
          </w:p>
        </w:tc>
        <w:tc>
          <w:tcPr>
            <w:tcW w:w="5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operating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1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Total operating revenues in the first quarter of 2014 increased $384 million, or 6.3%, from the 2013 period which was driven by strong demand for air travel. Significant changes in the components of operating revenues are as follows:</w:t>
      </w:r>
    </w:p>
    <w:p>
      <w:pPr>
        <w:spacing w:after="0" w:line="170" w:lineRule="exact"/>
        <w:rPr>
          <w:sz w:val="20"/>
          <w:szCs w:val="20"/>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Mainline passenger revenues increased $292 million, or 6.3%, in the first quarter of 2014 from the 2013 period due to higher yields and revenue per ASM, offset in part by slightly lower load factors.</w:t>
      </w:r>
    </w:p>
    <w:p>
      <w:pPr>
        <w:spacing w:after="0" w:line="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Cargo revenues increased $12 million, or 7.7%, in the first quarter of 2014 from the 2013 period driven primarily by an increase in transatlantic freight volumes.</w:t>
      </w:r>
    </w:p>
    <w:p>
      <w:pPr>
        <w:spacing w:after="0" w:line="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revenues increased $90 million, or 14.1%, in the first quarter of 2014 from the 2013 period driven primarily by higher revenues associated with American's frequent flyer program.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30"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5100" w:type="dxa"/>
            <w:vAlign w:val="bottom"/>
            <w:gridSpan w:val="3"/>
          </w:tcPr>
          <w:p>
            <w:pPr>
              <w:jc w:val="center"/>
              <w:ind w:right="2320"/>
              <w:spacing w:after="0"/>
              <w:rPr>
                <w:sz w:val="20"/>
                <w:szCs w:val="20"/>
                <w:color w:val="auto"/>
              </w:rPr>
            </w:pPr>
            <w:r>
              <w:rPr>
                <w:rFonts w:ascii="Arial" w:cs="Arial" w:eastAsia="Arial" w:hAnsi="Arial"/>
                <w:sz w:val="18"/>
                <w:szCs w:val="18"/>
                <w:i w:val="1"/>
                <w:iCs w:val="1"/>
                <w:color w:val="auto"/>
                <w:w w:val="89"/>
              </w:rPr>
              <w:t>Operating Expenses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4"/>
          </w:tcPr>
          <w:p>
            <w:pPr>
              <w:jc w:val="right"/>
              <w:ind w:right="30"/>
              <w:spacing w:after="0"/>
              <w:rPr>
                <w:sz w:val="20"/>
                <w:szCs w:val="20"/>
                <w:color w:val="auto"/>
              </w:rPr>
            </w:pPr>
            <w:r>
              <w:rPr>
                <w:rFonts w:ascii="Arial" w:cs="Arial" w:eastAsia="Arial" w:hAnsi="Arial"/>
                <w:sz w:val="18"/>
                <w:szCs w:val="18"/>
                <w:color w:val="auto"/>
                <w:w w:val="90"/>
              </w:rPr>
              <w:t>Three Months Ended March 31,</w:t>
            </w:r>
          </w:p>
        </w:tc>
        <w:tc>
          <w:tcPr>
            <w:tcW w:w="10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w w:val="88"/>
              </w:rPr>
              <w:t>Percent Increase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1"/>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Salaries, wages and benefits</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1,264</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Other rent and landing fees</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Selling expenses</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Special items, net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5100" w:type="dxa"/>
            <w:vAlign w:val="bottom"/>
            <w:gridSpan w:val="3"/>
          </w:tcPr>
          <w:p>
            <w:pPr>
              <w:jc w:val="center"/>
              <w:ind w:right="2280"/>
              <w:spacing w:after="0"/>
              <w:rPr>
                <w:sz w:val="20"/>
                <w:szCs w:val="20"/>
                <w:color w:val="auto"/>
              </w:rPr>
            </w:pPr>
            <w:r>
              <w:rPr>
                <w:rFonts w:ascii="Arial" w:cs="Arial" w:eastAsia="Arial" w:hAnsi="Arial"/>
                <w:sz w:val="18"/>
                <w:szCs w:val="18"/>
                <w:color w:val="auto"/>
                <w:w w:val="89"/>
              </w:rPr>
              <w:t>Total mainline operating expenses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5,133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5,253</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Regional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gridSpan w:val="3"/>
          </w:tcPr>
          <w:p>
            <w:pPr>
              <w:ind w:left="280"/>
              <w:spacing w:after="0"/>
              <w:rPr>
                <w:sz w:val="20"/>
                <w:szCs w:val="20"/>
                <w:color w:val="auto"/>
              </w:rPr>
            </w:pPr>
            <w:r>
              <w:rPr>
                <w:rFonts w:ascii="Arial" w:cs="Arial" w:eastAsia="Arial" w:hAnsi="Arial"/>
                <w:sz w:val="18"/>
                <w:szCs w:val="18"/>
                <w:color w:val="auto"/>
              </w:rPr>
              <w:t>Fuel</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5100" w:type="dxa"/>
            <w:vAlign w:val="bottom"/>
            <w:gridSpan w:val="3"/>
          </w:tcPr>
          <w:p>
            <w:pPr>
              <w:jc w:val="center"/>
              <w:ind w:right="2320"/>
              <w:spacing w:after="0"/>
              <w:rPr>
                <w:sz w:val="20"/>
                <w:szCs w:val="20"/>
                <w:color w:val="auto"/>
              </w:rPr>
            </w:pPr>
            <w:r>
              <w:rPr>
                <w:rFonts w:ascii="Arial" w:cs="Arial" w:eastAsia="Arial" w:hAnsi="Arial"/>
                <w:sz w:val="18"/>
                <w:szCs w:val="18"/>
                <w:color w:val="auto"/>
                <w:w w:val="89"/>
              </w:rPr>
              <w:t>Total regional operating expenses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tcBorders>
              <w:bottom w:val="single" w:sz="8" w:color="CCEEFF"/>
            </w:tcBorders>
            <w:gridSpan w:val="3"/>
            <w:shd w:val="clear" w:color="auto" w:fill="CCEEFF"/>
          </w:tcPr>
          <w:p>
            <w:pPr>
              <w:jc w:val="center"/>
              <w:ind w:right="2320"/>
              <w:spacing w:after="0"/>
              <w:rPr>
                <w:sz w:val="20"/>
                <w:szCs w:val="20"/>
                <w:color w:val="auto"/>
              </w:rPr>
            </w:pPr>
            <w:r>
              <w:rPr>
                <w:rFonts w:ascii="Arial" w:cs="Arial" w:eastAsia="Arial" w:hAnsi="Arial"/>
                <w:sz w:val="18"/>
                <w:szCs w:val="18"/>
                <w:color w:val="auto"/>
                <w:w w:val="88"/>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5,891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1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operating expenses in the first quarter of 2014 decreased $128 million, or 2.1%, from the 2013 period. Significant changes in the components of mainline operating expenses are as follows:</w:t>
      </w:r>
    </w:p>
    <w:p>
      <w:pPr>
        <w:spacing w:after="0" w:line="170" w:lineRule="exact"/>
        <w:rPr>
          <w:sz w:val="20"/>
          <w:szCs w:val="20"/>
          <w:color w:val="auto"/>
        </w:rPr>
      </w:pPr>
    </w:p>
    <w:p>
      <w:pPr>
        <w:ind w:left="3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Aircraft fuel and related taxes decreased 3.3% primarily due to a decrease in the average price per gallon of fuel, net of the effects of hedging, which was offset in part by an increase in consumption.</w:t>
      </w:r>
    </w:p>
    <w:p>
      <w:pPr>
        <w:spacing w:after="0" w:line="8" w:lineRule="exact"/>
        <w:rPr>
          <w:sz w:val="20"/>
          <w:szCs w:val="20"/>
          <w:color w:val="auto"/>
        </w:rPr>
      </w:pPr>
    </w:p>
    <w:p>
      <w:pPr>
        <w:jc w:val="both"/>
        <w:ind w:left="400" w:hanging="391"/>
        <w:spacing w:after="0" w:line="264" w:lineRule="auto"/>
        <w:rPr>
          <w:sz w:val="20"/>
          <w:szCs w:val="20"/>
          <w:color w:val="auto"/>
        </w:rPr>
      </w:pPr>
      <w:r>
        <w:rPr>
          <w:rFonts w:ascii="Arial" w:cs="Arial" w:eastAsia="Arial" w:hAnsi="Arial"/>
          <w:sz w:val="18"/>
          <w:szCs w:val="18"/>
          <w:color w:val="auto"/>
        </w:rPr>
        <w:t>•Salaries, wages and benefits increased 10.6% primarily due to the Merger Pilot MOU that was effective upon the closing of the Merger, newly implemented FAA rules on pilot and flight attendant duty times, as well as increased costs from certain stock-based compensation programs driven by a 45% increase in the price of AAG's common stock from $25.25 to $36.60 during the first quarter of 2014.</w:t>
      </w:r>
    </w:p>
    <w:p>
      <w:pPr>
        <w:spacing w:after="0" w:line="19" w:lineRule="exact"/>
        <w:rPr>
          <w:sz w:val="20"/>
          <w:szCs w:val="20"/>
          <w:color w:val="auto"/>
        </w:rPr>
      </w:pPr>
    </w:p>
    <w:p>
      <w:pPr>
        <w:ind w:left="660" w:right="20" w:hanging="652"/>
        <w:spacing w:after="0" w:line="277" w:lineRule="auto"/>
        <w:tabs>
          <w:tab w:leader="none" w:pos="3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Aircraft rent increased 31.0% primarily as a result of new aircraft deliveries since the end of the 2013 first quarter as American continues its fleet renewal program.</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regional expenses decreased $8 million, or 1.0%, in the first quarter of 2014 from the 2013 period.</w:t>
      </w:r>
    </w:p>
    <w:p>
      <w:pPr>
        <w:spacing w:after="0" w:line="15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740" w:type="dxa"/>
            <w:vAlign w:val="bottom"/>
            <w:gridSpan w:val="3"/>
          </w:tcPr>
          <w:p>
            <w:pPr>
              <w:spacing w:after="0"/>
              <w:rPr>
                <w:sz w:val="20"/>
                <w:szCs w:val="20"/>
                <w:color w:val="auto"/>
              </w:rPr>
            </w:pPr>
            <w:r>
              <w:rPr>
                <w:rFonts w:ascii="Arial" w:cs="Arial" w:eastAsia="Arial" w:hAnsi="Arial"/>
                <w:sz w:val="18"/>
                <w:szCs w:val="18"/>
                <w:i w:val="1"/>
                <w:iCs w:val="1"/>
                <w:color w:val="auto"/>
              </w:rPr>
              <w:t>Nonoperating Income (Expense)</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54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3400" w:type="dxa"/>
            <w:vAlign w:val="bottom"/>
          </w:tcPr>
          <w:p>
            <w:pPr>
              <w:spacing w:after="0"/>
              <w:rPr>
                <w:sz w:val="24"/>
                <w:szCs w:val="24"/>
                <w:color w:val="auto"/>
              </w:rPr>
            </w:pPr>
          </w:p>
        </w:tc>
        <w:tc>
          <w:tcPr>
            <w:tcW w:w="2620" w:type="dxa"/>
            <w:vAlign w:val="bottom"/>
            <w:gridSpan w:val="5"/>
            <w:vMerge w:val="restart"/>
          </w:tcPr>
          <w:p>
            <w:pPr>
              <w:jc w:val="right"/>
              <w:ind w:right="50"/>
              <w:spacing w:after="0"/>
              <w:rPr>
                <w:sz w:val="20"/>
                <w:szCs w:val="20"/>
                <w:color w:val="auto"/>
              </w:rPr>
            </w:pPr>
            <w:r>
              <w:rPr>
                <w:rFonts w:ascii="Arial" w:cs="Arial" w:eastAsia="Arial" w:hAnsi="Arial"/>
                <w:sz w:val="18"/>
                <w:szCs w:val="18"/>
                <w:color w:val="auto"/>
                <w:w w:val="97"/>
              </w:rPr>
              <w:t>Three Months Ended March 31,</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Percent</w:t>
            </w:r>
          </w:p>
        </w:tc>
        <w:tc>
          <w:tcPr>
            <w:tcW w:w="0" w:type="dxa"/>
            <w:vAlign w:val="bottom"/>
          </w:tcPr>
          <w:p>
            <w:pPr>
              <w:spacing w:after="0"/>
              <w:rPr>
                <w:sz w:val="1"/>
                <w:szCs w:val="1"/>
                <w:color w:val="auto"/>
              </w:rPr>
            </w:pPr>
          </w:p>
        </w:tc>
      </w:tr>
      <w:tr>
        <w:trPr>
          <w:trHeight w:val="82"/>
        </w:trPr>
        <w:tc>
          <w:tcPr>
            <w:tcW w:w="5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6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5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3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color w:val="auto"/>
                <w:w w:val="84"/>
              </w:rPr>
              <w:t>2013</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4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 of capitalized interest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52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nonoperating expense, net</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was $7 million and $4 million in the first quarter of 2014 and 2013, respectively. American's short-term investments in each period consisted of highly liquid investments which provided nominal returns.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nonoperating expense, net decreased $19 million in the first quarter of 2014 from the 2013 period primarily due to the weakening of the U.S. dollar in foreign currency transactions. The first quarter of 2014 included $3 million in net foreign currency gains as compared to $19 million in net foreign currency losses in the 2013 period.</w:t>
      </w:r>
    </w:p>
    <w:p>
      <w:pPr>
        <w:sectPr>
          <w:pgSz w:w="11900" w:h="16838" w:orient="portrait"/>
          <w:cols w:equalWidth="0" w:num="1">
            <w:col w:w="11420"/>
          </w:cols>
          <w:pgMar w:left="240" w:top="513"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513" w:right="239" w:bottom="1440" w:gutter="0" w:footer="0" w:header="0"/>
          <w:type w:val="continuous"/>
        </w:sectPr>
      </w:pPr>
    </w:p>
    <w:bookmarkStart w:id="66" w:name="page67"/>
    <w:bookmarkEnd w:id="66"/>
    <w:p>
      <w:pPr>
        <w:ind w:left="66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Reorganization items refer to revenues, expenses (including professional fees), realized gains and losses and provisions for losses that are realized or incurred as a direct result of the Chapter 11 Cases, which were filed in November of 2011. The following table summarizes the components included in reorganization items, net on American's condensed consolidated statements of operations for the three months ended March 31, 2013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720" w:type="dxa"/>
            <w:vAlign w:val="bottom"/>
          </w:tcPr>
          <w:p>
            <w:pPr>
              <w:ind w:left="40"/>
              <w:spacing w:after="0"/>
              <w:rPr>
                <w:sz w:val="20"/>
                <w:szCs w:val="20"/>
                <w:color w:val="auto"/>
              </w:rPr>
            </w:pPr>
            <w:r>
              <w:rPr>
                <w:rFonts w:ascii="Arial" w:cs="Arial" w:eastAsia="Arial" w:hAnsi="Arial"/>
                <w:sz w:val="18"/>
                <w:szCs w:val="18"/>
                <w:color w:val="auto"/>
              </w:rPr>
              <w:t xml:space="preserve">Aircraft and facility financing renegotiations and rejections </w:t>
            </w:r>
            <w:r>
              <w:rPr>
                <w:rFonts w:ascii="Arial" w:cs="Arial" w:eastAsia="Arial" w:hAnsi="Arial"/>
                <w:sz w:val="25"/>
                <w:szCs w:val="25"/>
                <w:color w:val="auto"/>
                <w:vertAlign w:val="superscript"/>
              </w:rPr>
              <w:t>(1), (2)</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97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reorganization items, net</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0"/>
        </w:trPr>
        <w:tc>
          <w:tcPr>
            <w:tcW w:w="9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hanging="332"/>
        <w:spacing w:after="0" w:line="248" w:lineRule="auto"/>
        <w:tabs>
          <w:tab w:leader="none" w:pos="34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and the Debtors believed that it was probable the motion would be approved, and there was sufficient information to estimate the claim.</w:t>
      </w:r>
    </w:p>
    <w:p>
      <w:pPr>
        <w:spacing w:after="0" w:line="1" w:lineRule="exact"/>
        <w:rPr>
          <w:rFonts w:ascii="Arial" w:cs="Arial" w:eastAsia="Arial" w:hAnsi="Arial"/>
          <w:sz w:val="24"/>
          <w:szCs w:val="24"/>
          <w:color w:val="auto"/>
          <w:vertAlign w:val="superscript"/>
        </w:rPr>
      </w:pPr>
    </w:p>
    <w:p>
      <w:pPr>
        <w:jc w:val="both"/>
        <w:ind w:left="340" w:hanging="332"/>
        <w:spacing w:after="0" w:line="221" w:lineRule="auto"/>
        <w:tabs>
          <w:tab w:leader="none" w:pos="34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Pursuant to the Plan, the Debtors agreed to allow certain post-petition unsecured claims on obligations. As a result, during the three months ended March 31, 2013, American recorded reorganization charges to adjust estimated allowed claim amounts previously recorded on rejected special facility revenue bonds of $127 million, which are included in the table above.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30"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Short-Term Investments and Restricted Cash</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March 31, 2014, AAG's total cash, short-term investments and restricted cash and short-term investments was $10.6 billion, of which $947 million was restricted. Additional detail is provided in the table below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ind w:left="840"/>
              <w:spacing w:after="0"/>
              <w:rPr>
                <w:sz w:val="20"/>
                <w:szCs w:val="20"/>
                <w:color w:val="auto"/>
              </w:rPr>
            </w:pPr>
            <w:r>
              <w:rPr>
                <w:rFonts w:ascii="Arial" w:cs="Arial" w:eastAsia="Arial" w:hAnsi="Arial"/>
                <w:sz w:val="18"/>
                <w:szCs w:val="18"/>
                <w:color w:val="auto"/>
              </w:rPr>
              <w:t>AAG</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color w:val="auto"/>
                <w:w w:val="97"/>
              </w:rPr>
              <w:t>American</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March 31,</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March 31,</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70"/>
        </w:trPr>
        <w:tc>
          <w:tcPr>
            <w:tcW w:w="42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Total cash, short-term investments and restricted cash</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short-term investments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line="202"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Our restricted cash and short-term investments related primarily to collateral held to support projected workers compensation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30530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of March 31, 2014, approximately $855 million of American's cash and short-term investments balances were held in foreign bank accounts, of which $750 million is held in Venezuelan bolivars. The Venezuelan bolivars are valued at the weighted average applicable exchange rate of 6.32 bolivars to the dollar. This includes approximately $94 million valued at 4.3 bolivars, approximately $611 million valued at 6.3 bolivars, and approximately $45 million valued at 10.7 bolivars, with the rate depending on the date we submitted our repatriation request to the Venezuelan government. In the first quarter of 2014, the Venezuelan government announced that a newly-implemented system (SICAD I) will determine the exchange rate (which fluctuates as determined by weekly auctions and at March 31, 2014 was 10.7 bolivars to the dollar) for repatriation of cash proceeds from ticket sales after January 1, 2014, and introduced new procedures for approval of repatriation of local currency. We are continuing to work with Venezuelan authorities regarding the timing and exchange rate applicable to the repatriation of funds held in local currency, monitoring this situation closely and continue to evaluate our holdings of Venezuelan bolivars for potential impairment. See Part II, Item 1A. - Risk Factors "</w:t>
      </w:r>
      <w:r>
        <w:rPr>
          <w:rFonts w:ascii="Arial" w:cs="Arial" w:eastAsia="Arial" w:hAnsi="Arial"/>
          <w:sz w:val="16"/>
          <w:szCs w:val="16"/>
          <w:i w:val="1"/>
          <w:iCs w:val="1"/>
          <w:color w:val="auto"/>
        </w:rPr>
        <w:t>We operate a global business with international operations that 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subject to economic and political instability and have been, and in the future may continue to be, adversely affected by numerous events, circumstances or government actions beyond our control" </w:t>
      </w:r>
      <w:r>
        <w:rPr>
          <w:rFonts w:ascii="Arial" w:cs="Arial" w:eastAsia="Arial" w:hAnsi="Arial"/>
          <w:sz w:val="16"/>
          <w:szCs w:val="16"/>
          <w:color w:val="auto"/>
        </w:rPr>
        <w:t>for additional discussion of this and other currency risks.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operating activities was $1.3 billion and $700 million for the first three months of 2014 and 2013, respectively, a period-over-period improvement of $556 million. This period-over-period improvement is principally due to the inclusion of US Airways Group's net cash provided by operating activities of $520 million for the 2014 period.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 was $943 million and $1.1 billion for the first three months of 2014 and 2013, respectively.</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Principal investing activities in the 2014 period included expenditures of $1.0 billion for property and equipment, consisting primarily of the purchase of aircraft, including five Boeing 737 family aircraft, one Boeing 777 aircraft, nine A320 family aircraft and one A330 aircraft, as well as pre-delivery deposits for certain aircraft on order, and $294 million in net purchases of short-term investments. These cash outflows were offset in part by proceeds from the sale of DCA slots of $307 million and an $88 million decrease in restricted cash and short-term investments due to a change in the amount of holdback held by certain credit card processors for advance ticket sales for which we had not yet provided air transportation.</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Principal investing activities in the 2013 period included expenditures of $885 million for property and equipment, consisting primarily of the purchase of nine Boeing 737 family aircraft and three Boeing 777 aircraft, as well as pre-delivery deposits for certain aircraft on order and $226 million in net purchases of short-term investments.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was $194 million for the first three months of 2014 as compared to net cash provided by financing activities of $514 million for the first three months of 2013.</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Principal financing activities in the 2014 period included debt repayments of $501 million, including a $100 million prepayment on American's 7.5% Senior Secured Notes and $84 million of cash payments for tax withholdings associated with equity distributions to employees. These cash outflows were offset in part by proceeds from the issuance of debt of $224 million due to the issuance of EETC equipment notes associated with aircraft deliveries in 2014 and proceeds from sale-leaseback transactions of $165 million related to the financing of four Boeing 737 family aircraft.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Principal financing activities in the 2013 period included proceeds from sale-leaseback transactions of $764 million related to the financing of eight Boeing 737 family aircraft and three Boeing 777 aircraft and proceeds from the issuance of debt of $161 million due to the issuance of EETC equipment notes. These proceeds were offset in part by debt repayments of $394 million.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operating activities was $742 million and $696 million for the first three months of 2014 and 2013, respectively, a period-over-period increase of $46 million.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 was $234 million and $1.1 billion for the first three months of 2014 and 2013, respectively.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Principal investing activities in the 2014 period included expenditures of $722 million for property and equipment, consisting primarily of the purchase of aircraft, including five Boeing 737 family aircraft, one Boeing 777 aircraft and five A320 family aircraft, as well as pre-delivery deposits for certain aircraft on order. These cash outflows were offset in part by proceeds from the sale of DCA slots of $299 million and $183 million in net sales of short-term investments.</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Principal investing activities in the 2013 period included expenditures of $882 million for property and equipment, consisting primarily of the purchase of nine Boeing 737 family aircraft and three Boeing 777 aircraft, as well as pre-delivery deposits for certain aircraft on order and $228 million in net purchases of short-term investments.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was $354 million for the first three months of 2014 as compared to net cash provided by financing activities of $516 million for the first three months of 2013.</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Principal financing activities in the 2014 period included debt repayments of $430 million, including a $100 million prepayment on American's 7.5% Senior Secured Notes and $84 million of cash funding to AAG for tax withholdings associated with equity distributions to employees. These cash outflows were offset in part by proceeds from sale-leaseback transactions of $165 million related to the financing of four Boeing 737 family aircraft.</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Principal financing activities in the 2013 period included proceeds from sale-leaseback transactions of $764 million related to the financing of eight Boeing 737 family aircraft and three Boeing 777 aircraft and proceeds from the issuance of debt of $161 million due to the issuance of EETC equipment notes. These proceeds were offset in part by debt repayments of $392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Significant Indebtedness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2014, AAG and American had $16.8 billion and $10.6 billion, respectively, in long-term debt and capital leases (including current maturities and before debt discount). See Note 7 to AAG's condensed consolidated financial statements in Part I, Item 1A and Note 6 to American's condensed consolidated financial statements in Part I, Item 1B for further information on all indebtedness as of March 31, 2014. Our significant indebtedness includes the following agreements: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Credit Facilities (American)</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June 27, 2013, American and AAG entered into a Credit and Guaranty Agreement (as amended, the Credit Agreement) with certain lenders. The Credit Agreement provides for a $1.9 billion term loan facility (the Term Loan Facility) and a $1.0 billion revolving credit facility (the Revolving Facility and, together with the Term Loan Facility, the Credit Facilities). As of March 31, 2014, American had borrowed $1.9 billion under the Term Loan Facility. The Credit Facilities are secured obligations of American and guaranteed by AAG. The Revolving Facility provides that American may from time to time borrow, repay and reborrow loans thereunder and have letters of credit issued thereunder in an aggregate amount outstanding at any time of up to $1.0 billion. As of March 31, 2014, there were no borrowings outstanding under the Revolving Facility.</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consummation of the Merger, US Airways Group and US Airways joined the Credit Facilities as guarantors. Following the joinder, certain minimum dollar-thresholds under the negative and financial covenants in the Credit Facilities were automatically increased. The Term Loan Facility and Revolving Facility mature on June 27, 2019 and June 27, 2018, respectively, unless otherwise extended by the applicable parties. The Term Loan Facility is repayable in quarterly installments in an amount equal to 0.25% of the original principal amount thereof with any unpaid balance due on the maturity date of the Term Loan Facility.</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Voluntary prepayments may be made by American at any time, with a premium of 1.00% applicable to certain prepayments made prior to the date that is six months following December 27, 2013. Mandatory prepayments at par of term loans and revolving loans are required to the extent necessary to comply with American's covenants regarding the collateral coverage ratio and certain dispositions of collateral. In addition, if a "change of control" (as defined in the Credit Agreement) occurs, American will, absent an amendment or waiver, be required to repay at par the loans outstanding under the Credit Facilities and terminate the Revolving Facility.</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Credit Facilities bear interest at an index rate plus an applicable index margin or, at American's option, LIBOR (subject to a floor of 0.75%, with respect to the Term Loan) plus an applicable LIBOR margin. The applicable LIBOR margin is 3.00% for borrowings under both the Term Loan Facility and the Revolving Facility. Subject to certain limitations and exceptions, the Credit Facilities are secured by certain collateral, including liens on certain route authorities to operate between certain specified cities and certain take-off and landing rights at certain airports, and American is required to maintain a certain minimum ratio of appraised value of the collateral to the outstanding loans under the Credit Facilities as more fully described below in "</w:t>
      </w:r>
      <w:r>
        <w:rPr>
          <w:rFonts w:ascii="Arial" w:cs="Arial" w:eastAsia="Arial" w:hAnsi="Arial"/>
          <w:sz w:val="18"/>
          <w:szCs w:val="18"/>
          <w:i w:val="1"/>
          <w:iCs w:val="1"/>
          <w:color w:val="auto"/>
        </w:rPr>
        <w:t>Collateral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Credit Facilities contain events of default customary for similar financings, including cross default to other material indebtedness. Upon the occurrence of an event of default, the outstanding obligations under the Credit Facilities may be accelerated and become due and payable immediately. The Credit Facilities also include covenants that, among other things, require AAG to maintain a minimum aggregate liquidity (as defined in the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Senior Secured Notes (American)</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March 2011, American issued $1.0 billion aggregate principal amount of senior secured notes due 2016 (the Senior Secured Notes) guaranteed on an unsecured basis by AAG. In connection with the closing of the Merger, US Airways and US Airways Group entered into a First Supplemental Indenture, dated as of December 9, 2013, pursuant to which US Airways and US Airways Group became guarantors. The Senior Secured Notes bear interest at a rate of 7.50% per annum, payable semi-annually on March 15 and September 15 of each year, beginning September 15, 2011. As is customary for financings of this nature, the indebtedness evidenced by the Senior Secured Notes may be accelerated upon the occurrence of events of default under the related indenture. Subject to certain limitations and exceptions, the Senior Secured Notes are secured by certain route authorities, airport landing and takeoff slots, and rights to use or occupy space in airport terminals, in each case that American uses to operate non-stop services between certain airports and American is required maintain a certain minimum ratio of appraised value of the collateral to the outstanding amounts under the Senior Secured Notes as more fully described below in "</w:t>
      </w:r>
      <w:r>
        <w:rPr>
          <w:rFonts w:ascii="Arial" w:cs="Arial" w:eastAsia="Arial" w:hAnsi="Arial"/>
          <w:sz w:val="17"/>
          <w:szCs w:val="17"/>
          <w:i w:val="1"/>
          <w:iCs w:val="1"/>
          <w:color w:val="auto"/>
        </w:rPr>
        <w:t>Collateral Related Covenants.</w:t>
      </w:r>
      <w:r>
        <w:rPr>
          <w:rFonts w:ascii="Arial" w:cs="Arial" w:eastAsia="Arial" w:hAnsi="Arial"/>
          <w:sz w:val="17"/>
          <w:szCs w:val="17"/>
          <w:color w:val="auto"/>
        </w:rPr>
        <w:t>"</w:t>
      </w:r>
    </w:p>
    <w:p>
      <w:pPr>
        <w:spacing w:after="0" w:line="12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American, at its option, may redeem some or all of the Senior Secured Notes at any time on or after March 15, 2013 or prior to such date in certain limited circumstances, in each case, at specified redemption prices, plus accrued and unpaid interest, if any. If such redemption occurs during the twelve month period beginning on (1) March 15, 2013, the redemption price will be 105.625% of the aggregate principal amount of the Senior Secured Notes to be redeemed, (2) March 15, 2014, the redemption price will be 103.75% of the aggregate principal amount of the Senior Secured Notes to be redeemed and (3) March 15, 2015, the redemption price will be 100% of the aggregate principal amount of the Senior Secured Notes to be redeemed, plus, in each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case, accrued and unpaid interest, if any. In addition, at any time prior to March 15, 2014, American, at its option, may redeem (1) up to 35% of the aggregate principal amount of the Senior Secured Notes with the proceeds of certain equity offerings at a redemption price of 107.5% of their principal amount, plus accrued and unpaid interest, if any, and (2) during any 12-month period, up to 10% of the original aggregate principal amount of the Senior Secured Notes at a redemption price of 103% of their principal amount, plus accrued and unpaid interest, if any. If American sells certain assets or if a "change of control" (as defined in the indenture) occurs, American must offer to repurchase the Senior Secured Notes at prices specified in the indenture.</w:t>
      </w:r>
    </w:p>
    <w:p>
      <w:pPr>
        <w:spacing w:after="0" w:line="1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indenture for the Senior Secured Notes includes covenants that, among other things, limit our ability to merge, consolidate, sell assets, incur additional indebtedness, issue preferred stock, make investments and pay dividends. The indenture for the Senior Secured Notes also contains events of default customary for similar financings, including cross-default to certain material indebtedness of American. Upon the occurrence of certain events of default, the Senior Secured Notes may be accelerated and become due and payable.</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2014, American prepaid $100 million of its 7.50% senior secured notes at a redemption price of 103% of their principal amount plus accrued and unpaid interest.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2013 Citicorp Credit Facility (US Airways)</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23, 2013, US Airways entered into a term loan credit facility (the 2013 Citicorp Credit Facility) with Citicorp North America, Inc., as administrative agent, and a syndicate of lenders. US Airways Group and certain other subsidiaries of US Airways Group are guarantors of the 2013 Citicorp Credit Facility agreement. In connection with the closing of the Merger, AAG and American entered into a joinder to the 2013 Citicorp credit facility loan agreement pursuant to which AAG and American became guarantors under such agreement.</w:t>
      </w:r>
    </w:p>
    <w:p>
      <w:pPr>
        <w:spacing w:after="0" w:line="1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2013 Citicorp Credit Facility consists of $1.0 billion of tranche B-1 term loans (Tranche B-1) and $600 million of tranche B-2 term loans (Tranche B-2). Voluntary prepayments may be made at any time, with a premium of 1.00% applicable to certain prepayments made prior to the date that is six months following January 16, 2014. Mandatory prepayments of the term loans are required to the extent necessary to comply with US Airways' covenants regarding the collateral coverage ratio and certain dispositions of collateral. In addition, under the 2013 Citicorp Credit Facility agreement, if a "change of control" (as defined in the 2013 Citicorp Credit Facility agreement) occurs, US Airways will (absent an amendment or waiver) be required to repay the outstanding loans in full together with accrued interest thereon to the date of such prepayment.</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March 31, 2014, the 2013 Citicorp Credit Facility bears interest at an index rate plus an applicable index margin or, at US Airways' option, LIBOR (subject to a floor of 0.75%) plus an applicable LIBOR margin. The applicable LIBOR margin is 2.75% for Tranche B-1 and 2.25% for Tranche B-2.</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Tranche B-1 and Tranche B-2 mature on May 23, 2019 and November 23, 2016, respectively (unless otherwise extended by the applicable parties), and each is repayable in annual installments to be paid on each anniversary of the closing date in an amount equal to 1.00% of the initial aggregate principal amount of the loans with any unpaid balance due on the maturity date of the respective tranche.</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obligations of US Airways under the 2013 Citicorp Credit Facility are secured by liens on certain route authorities, certain take-off and landing rights at certain airports, and certain other assets of US Airways. US Airways is required to maintain a certain minimum ratio of appraised value of the collateral to the outstanding loans under the 2013 Citicorp Credit Facility as more fully described below in "</w:t>
      </w:r>
      <w:r>
        <w:rPr>
          <w:rFonts w:ascii="Arial" w:cs="Arial" w:eastAsia="Arial" w:hAnsi="Arial"/>
          <w:sz w:val="17"/>
          <w:szCs w:val="17"/>
          <w:i w:val="1"/>
          <w:iCs w:val="1"/>
          <w:color w:val="auto"/>
        </w:rPr>
        <w:t>Collateral Related Covenants.</w:t>
      </w:r>
      <w:r>
        <w:rPr>
          <w:rFonts w:ascii="Arial" w:cs="Arial" w:eastAsia="Arial" w:hAnsi="Arial"/>
          <w:sz w:val="17"/>
          <w:szCs w:val="17"/>
          <w:color w:val="auto"/>
        </w:rPr>
        <w:t>"</w:t>
      </w:r>
    </w:p>
    <w:p>
      <w:pPr>
        <w:spacing w:after="0" w:line="1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2013 Citicorp Credit Facility agreement includes affirmative, negative and financial covenants that, among other things, (a) require AAG and its restricted subsidiaries to maintain unrestricted liquidity of not less than $2.0 billion, with not less than $750 million held in accounts subject to control agreements, and (b) restrict the ability of US Airways Group, its subsidiaries party to the 2013 Citicorp Credit Facility, AAG and American to make certain investments, pay dividends and make certain other payments, make certain acquisitions, incur liens on the collateral, dispose of collateral, enter into certain affiliate transactions, enter into certain hedging transactions, and engage in certain business activities, in each case subject to certain exceptions. The 2013 Citicorp Credit Facility agreement contains events of default customary for similar financings, including a cross-default provision to certain other material indebtedness of US Airways and certain of its affiliates. Upon the occurrence of an event of default, the outstanding obligations under the 2013 Citicorp Credit Facility may be accelerated and become due and payable immediately.</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2013-1 EETCs (US Airways)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April 2013, US Airways created two pass-through trusts which issued approximately $820 million aggregate face amount of Series 2013-1 Class A and Class B EETCs in connection with the financing of 18 Airbus aircraft scheduled to be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delivered from September 2013 to June 2014. The 2013-1 EETCs represent fractional undivided interests in the respective pass-through trusts and are not obligations of US Airways. Proceeds received from the sale of EETCs are initially held by a depository in escrow for the benefit of the certificate holders until US Airways issues equipment notes to the trust, which purchases the notes with a portion of the escrowed funds. These escrowed funds are not guaranteed by US Airways and are not reported as debt on US Airways' condensed balance sheet because the proceeds held by the depository are not US Airways' assets.</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quarter of 2014, US Airways issued $224 million of equipment notes in two series under its 2013-1 EETCs completed in April 2013: Series A equipment notes in the amount of $170 million bearing interest at 3.95% per annum and Series B equipment notes in the amount of $54 million bearing interest at 5.375% per annum. The equipment notes are secured by liens on aircraft.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7.25% Convertible Notes (US Airways Group)</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March 2014, we notified the holders of US Airways Group's 7.25% convertible notes that we have elected to settle solely in cash instead of shares of AAG Common Stock all conversions during the period beginning on March 15, 2014 and ending on, and including, the second scheduled trading day immediately preceding the maturity date of May 15, 2014. As a result, as of March 31, 2014, we have reclassified from equity into other current liabilities the cash payment expected upon conversion of these notes less the carrying amount of debt in the amount of $157 million.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Guarantees</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2014, AAG, US Airways Group and US Airways entered into amended and restated guarantees of the payment obligations of US Airways under the equipment notes relating to each of its Series 2010-1, 2011-1, 2012-1, 2012-2 and 2013-1 Pass Through Certificates the result of which was to add AAG as a guarantor of such equipment notes on a joint and several basis with US Airways Group.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Collateral Related Covenants</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our debt financing agreements contain loan to value ratio covenants and require us to periodically appraise the collateral. Pursuant to such agreements, if the loan to value ratio exceeds a specified threshold, we are required, as applicable, to subject additional qualifying collateral (which in some cases may include cash collateral), or pay down such financing, in whole or in part, with premium (if any), or pay additional interest on the related indebtedness, as described below.</w:t>
      </w:r>
    </w:p>
    <w:p>
      <w:pPr>
        <w:spacing w:after="0" w:line="1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Specifically, American is required to meet certain collateral coverage tests on a periodic basis on two financing transactions: (1) the Senior Secured Notes and (2) the Credit Facilities, and US Airways is required to meet a collateral coverage test on a periodic basis on the 2013 Citicorp Credit Facility. We were in compliance with the collateral coverage tests for each of these financing transactions as of the most recent measurement dates.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Credit Ratings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credit ratings as of March 31,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S&amp;P Local Issuer</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Fitch Issuer Default</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Moody's Corporate</w:t>
            </w:r>
          </w:p>
        </w:tc>
      </w:tr>
      <w:tr>
        <w:trPr>
          <w:trHeight w:val="206"/>
        </w:trPr>
        <w:tc>
          <w:tcPr>
            <w:tcW w:w="624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Credit Rating</w:t>
            </w: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Credit Rating</w:t>
            </w:r>
          </w:p>
        </w:tc>
        <w:tc>
          <w:tcPr>
            <w:tcW w:w="1580" w:type="dxa"/>
            <w:vAlign w:val="bottom"/>
          </w:tcPr>
          <w:p>
            <w:pPr>
              <w:jc w:val="center"/>
              <w:spacing w:after="0"/>
              <w:rPr>
                <w:sz w:val="20"/>
                <w:szCs w:val="20"/>
                <w:color w:val="auto"/>
              </w:rPr>
            </w:pPr>
            <w:r>
              <w:rPr>
                <w:rFonts w:ascii="Arial" w:cs="Arial" w:eastAsia="Arial" w:hAnsi="Arial"/>
                <w:sz w:val="16"/>
                <w:szCs w:val="16"/>
                <w:color w:val="auto"/>
                <w:w w:val="96"/>
              </w:rPr>
              <w:t>Family Rating</w:t>
            </w:r>
          </w:p>
        </w:tc>
      </w:tr>
      <w:tr>
        <w:trPr>
          <w:trHeight w:val="33"/>
        </w:trPr>
        <w:tc>
          <w:tcPr>
            <w:tcW w:w="62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American Airlines Group</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B</w:t>
            </w:r>
          </w:p>
        </w:tc>
        <w:tc>
          <w:tcPr>
            <w:tcW w:w="1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B+</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B1</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American Airlines</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B</w:t>
            </w: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B+</w:t>
            </w:r>
          </w:p>
        </w:tc>
        <w:tc>
          <w:tcPr>
            <w:tcW w:w="1580" w:type="dxa"/>
            <w:vAlign w:val="bottom"/>
          </w:tcPr>
          <w:p>
            <w:pPr>
              <w:jc w:val="right"/>
              <w:ind w:right="659"/>
              <w:spacing w:after="0"/>
              <w:rPr>
                <w:sz w:val="20"/>
                <w:szCs w:val="20"/>
                <w:color w:val="auto"/>
              </w:rPr>
            </w:pPr>
            <w:r>
              <w:rPr>
                <w:rFonts w:ascii="Arial" w:cs="Arial" w:eastAsia="Arial" w:hAnsi="Arial"/>
                <w:sz w:val="16"/>
                <w:szCs w:val="16"/>
                <w:color w:val="auto"/>
              </w:rPr>
              <w:t>*</w:t>
            </w:r>
          </w:p>
        </w:tc>
      </w:tr>
      <w:tr>
        <w:trPr>
          <w:trHeight w:val="249"/>
        </w:trPr>
        <w:tc>
          <w:tcPr>
            <w:tcW w:w="6240" w:type="dxa"/>
            <w:vAlign w:val="bottom"/>
          </w:tcPr>
          <w:p>
            <w:pPr>
              <w:spacing w:after="0"/>
              <w:rPr>
                <w:sz w:val="20"/>
                <w:szCs w:val="20"/>
                <w:color w:val="auto"/>
              </w:rPr>
            </w:pPr>
            <w:r>
              <w:rPr>
                <w:rFonts w:ascii="Arial" w:cs="Arial" w:eastAsia="Arial" w:hAnsi="Arial"/>
                <w:sz w:val="18"/>
                <w:szCs w:val="18"/>
                <w:color w:val="auto"/>
              </w:rPr>
              <w:t>*   The credit agency does not rate this category for the respective entity.</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bl>
    <w:p>
      <w:pPr>
        <w:spacing w:after="0" w:line="1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decrease in our credit ratings could cause our borrowing costs to increase, which would increase our interest expense and could affect our net income, and our credit ratings could adversely affect our ability to obtain additional financing. If our financial performance or industry conditions worsen, we may face future downgrades, which could negatively impact our borrowing costs and the prices of our equity or debt securities. In addition, any downgrade of our credit ratings may indicate a decline in our business and in our ability to satisfy our obligations under our indebtedness.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Aircraft and Engine Purchase Commitments</w:t>
      </w:r>
    </w:p>
    <w:p>
      <w:pPr>
        <w:spacing w:after="0" w:line="21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March 31, 2014, we have definitive purchase agreements with Airbus, Boeing and other manufacturers for the acquisition of the following mainline and regional aircraft:</w:t>
      </w:r>
    </w:p>
    <w:p>
      <w:pPr>
        <w:spacing w:after="0" w:line="121" w:lineRule="exact"/>
        <w:rPr>
          <w:sz w:val="20"/>
          <w:szCs w:val="20"/>
          <w:color w:val="auto"/>
        </w:rPr>
      </w:pPr>
    </w:p>
    <w:tbl>
      <w:tblPr>
        <w:tblLayout w:type="fixed"/>
        <w:tblInd w:w="118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Remainder</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color w:val="auto"/>
              </w:rPr>
              <w:t>2019 and</w:t>
            </w:r>
          </w:p>
        </w:tc>
        <w:tc>
          <w:tcPr>
            <w:tcW w:w="8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of 2014</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7"/>
                <w:szCs w:val="17"/>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7"/>
                <w:szCs w:val="17"/>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color w:val="auto"/>
              </w:rPr>
              <w:t>Thereafter</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Total</w:t>
            </w:r>
          </w:p>
        </w:tc>
      </w:tr>
      <w:tr>
        <w:trPr>
          <w:trHeight w:val="33"/>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9"/>
        </w:trPr>
        <w:tc>
          <w:tcPr>
            <w:tcW w:w="2280" w:type="dxa"/>
            <w:vAlign w:val="bottom"/>
            <w:gridSpan w:val="5"/>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Airbus</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75"/>
        </w:trPr>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r>
      <w:tr>
        <w:trPr>
          <w:trHeight w:val="237"/>
        </w:trPr>
        <w:tc>
          <w:tcPr>
            <w:tcW w:w="20" w:type="dxa"/>
            <w:vAlign w:val="bottom"/>
          </w:tcPr>
          <w:p>
            <w:pPr>
              <w:spacing w:after="0"/>
              <w:rPr>
                <w:sz w:val="20"/>
                <w:szCs w:val="20"/>
                <w:color w:val="auto"/>
              </w:rPr>
            </w:pPr>
          </w:p>
        </w:tc>
        <w:tc>
          <w:tcPr>
            <w:tcW w:w="2260" w:type="dxa"/>
            <w:vAlign w:val="bottom"/>
            <w:gridSpan w:val="4"/>
          </w:tcPr>
          <w:p>
            <w:pPr>
              <w:ind w:left="240"/>
              <w:spacing w:after="0"/>
              <w:rPr>
                <w:sz w:val="20"/>
                <w:szCs w:val="20"/>
                <w:color w:val="auto"/>
              </w:rPr>
            </w:pPr>
            <w:r>
              <w:rPr>
                <w:rFonts w:ascii="Arial" w:cs="Arial" w:eastAsia="Arial" w:hAnsi="Arial"/>
                <w:sz w:val="16"/>
                <w:szCs w:val="16"/>
                <w:color w:val="auto"/>
              </w:rPr>
              <w:t>A320 Family</w:t>
            </w: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33"/>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6"/>
                <w:szCs w:val="16"/>
                <w:color w:val="auto"/>
              </w:rPr>
              <w:t>A320 Neo</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20" w:type="dxa"/>
            <w:vAlign w:val="bottom"/>
          </w:tcPr>
          <w:p>
            <w:pPr>
              <w:spacing w:after="0"/>
              <w:rPr>
                <w:sz w:val="20"/>
                <w:szCs w:val="20"/>
                <w:color w:val="auto"/>
              </w:rPr>
            </w:pPr>
          </w:p>
        </w:tc>
        <w:tc>
          <w:tcPr>
            <w:tcW w:w="2260" w:type="dxa"/>
            <w:vAlign w:val="bottom"/>
            <w:gridSpan w:val="4"/>
          </w:tcPr>
          <w:p>
            <w:pPr>
              <w:ind w:left="240"/>
              <w:spacing w:after="0"/>
              <w:rPr>
                <w:sz w:val="20"/>
                <w:szCs w:val="20"/>
                <w:color w:val="auto"/>
              </w:rPr>
            </w:pPr>
            <w:r>
              <w:rPr>
                <w:rFonts w:ascii="Arial" w:cs="Arial" w:eastAsia="Arial" w:hAnsi="Arial"/>
                <w:sz w:val="16"/>
                <w:szCs w:val="16"/>
                <w:color w:val="auto"/>
              </w:rPr>
              <w:t>A330-200</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6"/>
                <w:szCs w:val="16"/>
                <w:color w:val="auto"/>
              </w:rPr>
              <w:t>A350 XWB</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189"/>
        </w:trPr>
        <w:tc>
          <w:tcPr>
            <w:tcW w:w="2280" w:type="dxa"/>
            <w:vAlign w:val="bottom"/>
            <w:gridSpan w:val="5"/>
          </w:tcPr>
          <w:p>
            <w:pPr>
              <w:ind w:left="20"/>
              <w:spacing w:after="0"/>
              <w:rPr>
                <w:sz w:val="20"/>
                <w:szCs w:val="20"/>
                <w:color w:val="auto"/>
              </w:rPr>
            </w:pPr>
            <w:r>
              <w:rPr>
                <w:rFonts w:ascii="Arial" w:cs="Arial" w:eastAsia="Arial" w:hAnsi="Arial"/>
                <w:sz w:val="16"/>
                <w:szCs w:val="16"/>
                <w:b w:val="1"/>
                <w:bCs w:val="1"/>
                <w:color w:val="auto"/>
              </w:rPr>
              <w:t>Boeing</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61"/>
        </w:trPr>
        <w:tc>
          <w:tcPr>
            <w:tcW w:w="2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6"/>
                <w:szCs w:val="16"/>
                <w:color w:val="auto"/>
              </w:rPr>
              <w:t>737 Family</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37"/>
        </w:trPr>
        <w:tc>
          <w:tcPr>
            <w:tcW w:w="20" w:type="dxa"/>
            <w:vAlign w:val="bottom"/>
          </w:tcPr>
          <w:p>
            <w:pPr>
              <w:spacing w:after="0"/>
              <w:rPr>
                <w:sz w:val="20"/>
                <w:szCs w:val="20"/>
                <w:color w:val="auto"/>
              </w:rPr>
            </w:pPr>
          </w:p>
        </w:tc>
        <w:tc>
          <w:tcPr>
            <w:tcW w:w="2260" w:type="dxa"/>
            <w:vAlign w:val="bottom"/>
            <w:gridSpan w:val="4"/>
          </w:tcPr>
          <w:p>
            <w:pPr>
              <w:ind w:left="240"/>
              <w:spacing w:after="0"/>
              <w:rPr>
                <w:sz w:val="20"/>
                <w:szCs w:val="20"/>
                <w:color w:val="auto"/>
              </w:rPr>
            </w:pPr>
            <w:r>
              <w:rPr>
                <w:rFonts w:ascii="Arial" w:cs="Arial" w:eastAsia="Arial" w:hAnsi="Arial"/>
                <w:sz w:val="16"/>
                <w:szCs w:val="16"/>
                <w:color w:val="auto"/>
              </w:rPr>
              <w:t>737 MAX</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6"/>
                <w:szCs w:val="16"/>
                <w:color w:val="auto"/>
              </w:rPr>
              <w:t>777-300 ER</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20" w:type="dxa"/>
            <w:vAlign w:val="bottom"/>
          </w:tcPr>
          <w:p>
            <w:pPr>
              <w:spacing w:after="0"/>
              <w:rPr>
                <w:sz w:val="20"/>
                <w:szCs w:val="20"/>
                <w:color w:val="auto"/>
              </w:rPr>
            </w:pPr>
          </w:p>
        </w:tc>
        <w:tc>
          <w:tcPr>
            <w:tcW w:w="2260" w:type="dxa"/>
            <w:vAlign w:val="bottom"/>
            <w:gridSpan w:val="4"/>
          </w:tcPr>
          <w:p>
            <w:pPr>
              <w:ind w:left="240"/>
              <w:spacing w:after="0"/>
              <w:rPr>
                <w:sz w:val="20"/>
                <w:szCs w:val="20"/>
                <w:color w:val="auto"/>
              </w:rPr>
            </w:pPr>
            <w:r>
              <w:rPr>
                <w:rFonts w:ascii="Arial" w:cs="Arial" w:eastAsia="Arial" w:hAnsi="Arial"/>
                <w:sz w:val="16"/>
                <w:szCs w:val="16"/>
                <w:color w:val="auto"/>
              </w:rPr>
              <w:t>787 Family</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9"/>
        </w:trPr>
        <w:tc>
          <w:tcPr>
            <w:tcW w:w="228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Bombardier</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r>
      <w:tr>
        <w:trPr>
          <w:trHeight w:val="270"/>
        </w:trPr>
        <w:tc>
          <w:tcPr>
            <w:tcW w:w="20" w:type="dxa"/>
            <w:vAlign w:val="bottom"/>
          </w:tcPr>
          <w:p>
            <w:pPr>
              <w:spacing w:after="0"/>
              <w:rPr>
                <w:sz w:val="23"/>
                <w:szCs w:val="23"/>
                <w:color w:val="auto"/>
              </w:rPr>
            </w:pPr>
          </w:p>
        </w:tc>
        <w:tc>
          <w:tcPr>
            <w:tcW w:w="2260" w:type="dxa"/>
            <w:vAlign w:val="bottom"/>
            <w:gridSpan w:val="4"/>
          </w:tcPr>
          <w:p>
            <w:pPr>
              <w:ind w:left="240"/>
              <w:spacing w:after="0"/>
              <w:rPr>
                <w:sz w:val="20"/>
                <w:szCs w:val="20"/>
                <w:color w:val="auto"/>
              </w:rPr>
            </w:pPr>
            <w:r>
              <w:rPr>
                <w:rFonts w:ascii="Arial" w:cs="Arial" w:eastAsia="Arial" w:hAnsi="Arial"/>
                <w:sz w:val="16"/>
                <w:szCs w:val="16"/>
                <w:color w:val="auto"/>
              </w:rPr>
              <w:t xml:space="preserve">CRJ900 </w:t>
            </w:r>
            <w:r>
              <w:rPr>
                <w:rFonts w:ascii="Arial" w:cs="Arial" w:eastAsia="Arial" w:hAnsi="Arial"/>
                <w:sz w:val="21"/>
                <w:szCs w:val="21"/>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89"/>
        </w:trPr>
        <w:tc>
          <w:tcPr>
            <w:tcW w:w="228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Embraer</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r>
      <w:tr>
        <w:trPr>
          <w:trHeight w:val="270"/>
        </w:trPr>
        <w:tc>
          <w:tcPr>
            <w:tcW w:w="20" w:type="dxa"/>
            <w:vAlign w:val="bottom"/>
          </w:tcPr>
          <w:p>
            <w:pPr>
              <w:spacing w:after="0"/>
              <w:rPr>
                <w:sz w:val="23"/>
                <w:szCs w:val="23"/>
                <w:color w:val="auto"/>
              </w:rPr>
            </w:pPr>
          </w:p>
        </w:tc>
        <w:tc>
          <w:tcPr>
            <w:tcW w:w="2260" w:type="dxa"/>
            <w:vAlign w:val="bottom"/>
            <w:gridSpan w:val="4"/>
          </w:tcPr>
          <w:p>
            <w:pPr>
              <w:ind w:left="240"/>
              <w:spacing w:after="0"/>
              <w:rPr>
                <w:sz w:val="20"/>
                <w:szCs w:val="20"/>
                <w:color w:val="auto"/>
              </w:rPr>
            </w:pPr>
            <w:r>
              <w:rPr>
                <w:rFonts w:ascii="Arial" w:cs="Arial" w:eastAsia="Arial" w:hAnsi="Arial"/>
                <w:sz w:val="16"/>
                <w:szCs w:val="16"/>
                <w:color w:val="auto"/>
              </w:rPr>
              <w:t xml:space="preserve">ERJ175 </w:t>
            </w:r>
            <w:r>
              <w:rPr>
                <w:rFonts w:ascii="Arial" w:cs="Arial" w:eastAsia="Arial" w:hAnsi="Arial"/>
                <w:sz w:val="21"/>
                <w:szCs w:val="21"/>
                <w:color w:val="auto"/>
                <w:vertAlign w:val="superscript"/>
              </w:rPr>
              <w:t>(1)</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228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w:t>
            </w:r>
          </w:p>
        </w:tc>
      </w:tr>
      <w:tr>
        <w:trPr>
          <w:trHeight w:val="33"/>
        </w:trPr>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40" w:hanging="532"/>
        <w:spacing w:after="0" w:line="216" w:lineRule="auto"/>
        <w:tabs>
          <w:tab w:leader="none" w:pos="216"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These aircraft may be operated by wholly-owned subsidiaries or leased to third-party regional carriers which would operate the aircraft under capacity purchase arrangements.</w:t>
      </w:r>
    </w:p>
    <w:p>
      <w:pPr>
        <w:spacing w:after="0" w:line="1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also have agreements for 41 spare engines to be delivered in 2014 and beyond. Under all of our aircraft and engine purchase agreements, our total future commitments as of March 31, 2014 are expected to be as follows (approximately, in millions):</w:t>
      </w:r>
    </w:p>
    <w:p>
      <w:pPr>
        <w:spacing w:after="0" w:line="121"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Remainder</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2019 and</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of 2014</w:t>
            </w:r>
          </w:p>
        </w:tc>
        <w:tc>
          <w:tcPr>
            <w:tcW w:w="180" w:type="dxa"/>
            <w:vAlign w:val="bottom"/>
          </w:tcPr>
          <w:p>
            <w:pPr>
              <w:spacing w:after="0"/>
              <w:rPr>
                <w:sz w:val="17"/>
                <w:szCs w:val="17"/>
                <w:color w:val="auto"/>
              </w:rPr>
            </w:pPr>
          </w:p>
        </w:tc>
        <w:tc>
          <w:tcPr>
            <w:tcW w:w="660" w:type="dxa"/>
            <w:vAlign w:val="bottom"/>
          </w:tcPr>
          <w:p>
            <w:pPr>
              <w:jc w:val="right"/>
              <w:ind w:right="173"/>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73"/>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73"/>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53"/>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Thereafter</w:t>
            </w:r>
          </w:p>
        </w:tc>
        <w:tc>
          <w:tcPr>
            <w:tcW w:w="16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2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American aircraft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11,348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40" w:type="dxa"/>
            <w:vAlign w:val="bottom"/>
            <w:shd w:val="clear" w:color="auto" w:fill="CCEEFF"/>
          </w:tcPr>
          <w:p>
            <w:pPr>
              <w:ind w:left="20"/>
              <w:spacing w:after="0" w:line="239" w:lineRule="exact"/>
              <w:rPr>
                <w:sz w:val="20"/>
                <w:szCs w:val="20"/>
                <w:color w:val="auto"/>
              </w:rPr>
            </w:pPr>
            <w:r>
              <w:rPr>
                <w:rFonts w:ascii="Arial" w:cs="Arial" w:eastAsia="Arial" w:hAnsi="Arial"/>
                <w:sz w:val="16"/>
                <w:szCs w:val="16"/>
                <w:color w:val="auto"/>
                <w:w w:val="95"/>
              </w:rPr>
              <w:t xml:space="preserve">commitments and certain engines </w:t>
            </w:r>
            <w:r>
              <w:rPr>
                <w:rFonts w:ascii="Arial" w:cs="Arial" w:eastAsia="Arial" w:hAnsi="Arial"/>
                <w:sz w:val="21"/>
                <w:szCs w:val="21"/>
                <w:color w:val="auto"/>
                <w:w w:val="95"/>
                <w:vertAlign w:val="superscript"/>
              </w:rPr>
              <w:t>(1)</w:t>
            </w:r>
          </w:p>
        </w:tc>
        <w:tc>
          <w:tcPr>
            <w:tcW w:w="120" w:type="dxa"/>
            <w:vAlign w:val="bottom"/>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28,853</w:t>
            </w:r>
          </w:p>
        </w:tc>
        <w:tc>
          <w:tcPr>
            <w:tcW w:w="0" w:type="dxa"/>
            <w:vAlign w:val="bottom"/>
          </w:tcPr>
          <w:p>
            <w:pPr>
              <w:spacing w:after="0"/>
              <w:rPr>
                <w:sz w:val="1"/>
                <w:szCs w:val="1"/>
                <w:color w:val="auto"/>
              </w:rPr>
            </w:pP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rPr>
              <w:t>Payments for US Airways aircraft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commitments and certain engines</w:t>
            </w:r>
          </w:p>
        </w:tc>
        <w:tc>
          <w:tcPr>
            <w:tcW w:w="1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0" w:hanging="332"/>
        <w:spacing w:after="0" w:line="227"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These amounts are net of purchase deposits currently held by the manufacturers and include all commitments for regional aircraft. American has granted Boeing a security interest in its purchase deposits with Boeing. American's purchase deposits totaled $1.0 billion as of March 31, 2014.</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2014, we exercised our option to purchase and terminated our existing lease financing arrangements with respect to 62 Airbus A320 family aircraft scheduled to be delivered between the first quarter of 2015 and the third quarter of 2017. In connection with its exercise of such option, we also exercised our right to convert firm orders for 30 Airbus A320 family NEO aircraft, scheduled to be delivered in 2021 and 2022, to options to acquire such aircraft. The table above reflects these changes.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have financing commitments for the following aircraft currently on order and scheduled to be delivered through 2016: 53 Airbus 320 family aircraft, 2 Boeing 737 family aircraft, 9 Boeing 777-300ER aircraft and 18 Boeing 787 family aircraft. In addition, we do not have financing commitments in place for the majority of aircraft currently on order and scheduled to be delivered in 2017 and beyond. See Part II, Item 1A, Risk Factors - "</w:t>
      </w:r>
      <w:r>
        <w:rPr>
          <w:rFonts w:ascii="Arial" w:cs="Arial" w:eastAsia="Arial" w:hAnsi="Arial"/>
          <w:sz w:val="18"/>
          <w:szCs w:val="18"/>
          <w:i w:val="1"/>
          <w:iCs w:val="1"/>
          <w:color w:val="auto"/>
        </w:rPr>
        <w:t>We will need to obtain sufficient financing or other capital to operate successfully</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Credit Card Processing and Other Reserves</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agreements with companies that process customer credit card transactions for the sale of air travel and other services. Credit card processors have financial risk associated with tickets purchased for travel because, although the processor generally forwards the cash related to the purchase to us soon after the purchase is completed, the air travel generally occurs after that time, and the processor may have liability if we do not ultimately provide the air travel. Our agreements allow these processing companies, under certain conditions, to hold an amount of our cash (referred to as a "holdback") equal to a portion of advance ticket sales that have been processed by that company, but for which we have not yet provided the air transportation. We are not</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required to maintain any holdbacks pursuant to these requirements. Certain of our agreements provide that these holdback requirements can be modified at the discretion of the processing companies, up to the estimated liability for future air travel purchased with the respective credit cards, upon the occurrence of specified events, including material adverse changes in our financial condition. The amount that the processing companies may withhold also varies as a result of changes in financial risk due to seasonal fluctuations in ticket volume. Additional holdback requirements will reduce our liquidity in the form of unrestricted cash by the amount of the holdbacks.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Pension Funding Obligation</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make minimum contributions to our defined benefit pension plans under the minimum funding requirements of ERISA, the Pension Funding Equity Act of 2004, the Pension Protection Act of 2006, the Pension Relief Act of 2010, and the Moving Ahead for Progress in the 21st Century Act of 2012. During the first three months of 2014, we contributed $34 million to our defined benefit pension plans. On April 15, 2014, we contributed an additional $37 million to our defined benefit pension plans.</w:t>
      </w:r>
    </w:p>
    <w:p>
      <w:pPr>
        <w:spacing w:after="0" w:line="13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American's minimum required contribution to our pension plans for 2014 is $120 million. Currently, our minimum funding obligation for our pension plans is subject to temporary favorable rules that are scheduled to expire at the end of 2017. Upon expiration of these rules, our funding obligations are likely to increase materially.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our off-balance sheet arrangements as set forth in our 2013 AAG Form 10-K.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auto"/>
        </w:rPr>
        <w:t>AAG Contractual Obligations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details of our future cash contractual obligations as of March 31, 2014.</w:t>
      </w:r>
    </w:p>
    <w:p>
      <w:pPr>
        <w:spacing w:after="0" w:line="189" w:lineRule="exact"/>
        <w:rPr>
          <w:sz w:val="20"/>
          <w:szCs w:val="20"/>
          <w:color w:val="auto"/>
        </w:rPr>
      </w:pPr>
    </w:p>
    <w:tbl>
      <w:tblPr>
        <w:tblLayout w:type="fixed"/>
        <w:tblInd w:w="1200" w:type="dxa"/>
        <w:tblCellMar>
          <w:top w:w="0" w:type="dxa"/>
          <w:left w:w="0" w:type="dxa"/>
          <w:bottom w:w="0" w:type="dxa"/>
          <w:right w:w="0" w:type="dxa"/>
        </w:tblCellMar>
      </w:tblPr>
      <w:tr>
        <w:trPr>
          <w:trHeight w:val="206"/>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gridSpan w:val="7"/>
          </w:tcPr>
          <w:p>
            <w:pPr>
              <w:ind w:left="60"/>
              <w:spacing w:after="0"/>
              <w:rPr>
                <w:sz w:val="20"/>
                <w:szCs w:val="20"/>
                <w:color w:val="auto"/>
              </w:rPr>
            </w:pPr>
            <w:r>
              <w:rPr>
                <w:rFonts w:ascii="Arial" w:cs="Arial" w:eastAsia="Arial" w:hAnsi="Arial"/>
                <w:sz w:val="16"/>
                <w:szCs w:val="16"/>
                <w:color w:val="auto"/>
              </w:rPr>
              <w:t>Payments due by Period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6"/>
                <w:szCs w:val="16"/>
                <w:color w:val="auto"/>
                <w:w w:val="89"/>
              </w:rPr>
              <w:t>Remainder</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2019 and</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of 2014</w:t>
            </w:r>
          </w:p>
        </w:tc>
        <w:tc>
          <w:tcPr>
            <w:tcW w:w="18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Thereafter</w:t>
            </w:r>
          </w:p>
        </w:tc>
        <w:tc>
          <w:tcPr>
            <w:tcW w:w="16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4"/>
          </w:tcPr>
          <w:p>
            <w:pPr>
              <w:ind w:left="8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American Airlines</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80" w:type="dxa"/>
            <w:vAlign w:val="bottom"/>
            <w:gridSpan w:val="2"/>
          </w:tcPr>
          <w:p>
            <w:pPr>
              <w:ind w:left="260"/>
              <w:spacing w:after="0" w:line="220" w:lineRule="exact"/>
              <w:rPr>
                <w:sz w:val="20"/>
                <w:szCs w:val="20"/>
                <w:color w:val="auto"/>
              </w:rPr>
            </w:pPr>
            <w:r>
              <w:rPr>
                <w:rFonts w:ascii="Arial" w:cs="Arial" w:eastAsia="Arial" w:hAnsi="Arial"/>
                <w:sz w:val="16"/>
                <w:szCs w:val="16"/>
                <w:color w:val="auto"/>
                <w:w w:val="98"/>
              </w:rPr>
              <w:t xml:space="preserve">Debt and capital lease obligations </w:t>
            </w:r>
            <w:r>
              <w:rPr>
                <w:rFonts w:ascii="Arial" w:cs="Arial" w:eastAsia="Arial" w:hAnsi="Arial"/>
                <w:sz w:val="21"/>
                <w:szCs w:val="21"/>
                <w:color w:val="auto"/>
                <w:w w:val="98"/>
                <w:vertAlign w:val="superscript"/>
              </w:rPr>
              <w:t>(1),</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882</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1,703</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5,750</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10,580</w:t>
            </w:r>
          </w:p>
        </w:tc>
        <w:tc>
          <w:tcPr>
            <w:tcW w:w="0" w:type="dxa"/>
            <w:vAlign w:val="bottom"/>
          </w:tcPr>
          <w:p>
            <w:pPr>
              <w:spacing w:after="0"/>
              <w:rPr>
                <w:sz w:val="1"/>
                <w:szCs w:val="1"/>
                <w:color w:val="auto"/>
              </w:rPr>
            </w:pPr>
          </w:p>
        </w:tc>
      </w:tr>
      <w:tr>
        <w:trPr>
          <w:trHeight w:val="136"/>
        </w:trPr>
        <w:tc>
          <w:tcPr>
            <w:tcW w:w="2780" w:type="dxa"/>
            <w:vAlign w:val="bottom"/>
          </w:tcPr>
          <w:p>
            <w:pPr>
              <w:ind w:left="260"/>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 xml:space="preserve">Interest obligations </w:t>
            </w:r>
            <w:r>
              <w:rPr>
                <w:rFonts w:ascii="Arial" w:cs="Arial" w:eastAsia="Arial" w:hAnsi="Arial"/>
                <w:sz w:val="21"/>
                <w:szCs w:val="21"/>
                <w:color w:val="auto"/>
                <w:vertAlign w:val="superscript"/>
              </w:rPr>
              <w:t>(2), (3)</w:t>
            </w: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3,198</w:t>
            </w:r>
          </w:p>
        </w:tc>
        <w:tc>
          <w:tcPr>
            <w:tcW w:w="0" w:type="dxa"/>
            <w:vAlign w:val="bottom"/>
          </w:tcPr>
          <w:p>
            <w:pPr>
              <w:spacing w:after="0"/>
              <w:rPr>
                <w:sz w:val="1"/>
                <w:szCs w:val="1"/>
                <w:color w:val="auto"/>
              </w:rPr>
            </w:pPr>
          </w:p>
        </w:tc>
      </w:tr>
      <w:tr>
        <w:trPr>
          <w:trHeight w:val="220"/>
        </w:trPr>
        <w:tc>
          <w:tcPr>
            <w:tcW w:w="2880" w:type="dxa"/>
            <w:vAlign w:val="bottom"/>
            <w:gridSpan w:val="2"/>
          </w:tcPr>
          <w:p>
            <w:pPr>
              <w:ind w:left="260"/>
              <w:spacing w:after="0"/>
              <w:rPr>
                <w:sz w:val="20"/>
                <w:szCs w:val="20"/>
                <w:color w:val="auto"/>
              </w:rPr>
            </w:pPr>
            <w:r>
              <w:rPr>
                <w:rFonts w:ascii="Arial" w:cs="Arial" w:eastAsia="Arial" w:hAnsi="Arial"/>
                <w:sz w:val="16"/>
                <w:szCs w:val="16"/>
                <w:color w:val="auto"/>
              </w:rPr>
              <w:t>Commitments for aircraft and engine</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80" w:type="dxa"/>
            <w:vAlign w:val="bottom"/>
            <w:gridSpan w:val="2"/>
          </w:tcPr>
          <w:p>
            <w:pPr>
              <w:ind w:left="260"/>
              <w:spacing w:after="0" w:line="239" w:lineRule="exact"/>
              <w:rPr>
                <w:sz w:val="20"/>
                <w:szCs w:val="20"/>
                <w:color w:val="auto"/>
              </w:rPr>
            </w:pPr>
            <w:r>
              <w:rPr>
                <w:rFonts w:ascii="Arial" w:cs="Arial" w:eastAsia="Arial" w:hAnsi="Arial"/>
                <w:sz w:val="16"/>
                <w:szCs w:val="16"/>
                <w:color w:val="auto"/>
                <w:w w:val="95"/>
              </w:rPr>
              <w:t xml:space="preserve">purchases and operating leases </w:t>
            </w:r>
            <w:r>
              <w:rPr>
                <w:rFonts w:ascii="Arial" w:cs="Arial" w:eastAsia="Arial" w:hAnsi="Arial"/>
                <w:sz w:val="21"/>
                <w:szCs w:val="21"/>
                <w:color w:val="auto"/>
                <w:w w:val="95"/>
                <w:vertAlign w:val="superscript"/>
              </w:rPr>
              <w:t>(4), (5)</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16,719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39,733</w:t>
            </w:r>
          </w:p>
        </w:tc>
        <w:tc>
          <w:tcPr>
            <w:tcW w:w="0" w:type="dxa"/>
            <w:vAlign w:val="bottom"/>
          </w:tcPr>
          <w:p>
            <w:pPr>
              <w:spacing w:after="0"/>
              <w:rPr>
                <w:sz w:val="1"/>
                <w:szCs w:val="1"/>
                <w:color w:val="auto"/>
              </w:rPr>
            </w:pPr>
          </w:p>
        </w:tc>
      </w:tr>
      <w:tr>
        <w:trPr>
          <w:trHeight w:val="220"/>
        </w:trPr>
        <w:tc>
          <w:tcPr>
            <w:tcW w:w="28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Regional capacity purchase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80" w:type="dxa"/>
            <w:vAlign w:val="bottom"/>
            <w:gridSpan w:val="2"/>
            <w:shd w:val="clear" w:color="auto" w:fill="CCEEFF"/>
          </w:tcPr>
          <w:p>
            <w:pPr>
              <w:ind w:left="260"/>
              <w:spacing w:after="0" w:line="239" w:lineRule="exact"/>
              <w:rPr>
                <w:sz w:val="20"/>
                <w:szCs w:val="20"/>
                <w:color w:val="auto"/>
              </w:rPr>
            </w:pPr>
            <w:r>
              <w:rPr>
                <w:rFonts w:ascii="Arial" w:cs="Arial" w:eastAsia="Arial" w:hAnsi="Arial"/>
                <w:sz w:val="16"/>
                <w:szCs w:val="16"/>
                <w:color w:val="auto"/>
              </w:rPr>
              <w:t xml:space="preserve">agreements </w:t>
            </w:r>
            <w:r>
              <w:rPr>
                <w:rFonts w:ascii="Arial" w:cs="Arial" w:eastAsia="Arial" w:hAnsi="Arial"/>
                <w:sz w:val="21"/>
                <w:szCs w:val="21"/>
                <w:color w:val="auto"/>
                <w:vertAlign w:val="superscript"/>
              </w:rPr>
              <w:t>(6)</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w:t>
            </w:r>
          </w:p>
        </w:tc>
        <w:tc>
          <w:tcPr>
            <w:tcW w:w="0" w:type="dxa"/>
            <w:vAlign w:val="bottom"/>
          </w:tcPr>
          <w:p>
            <w:pPr>
              <w:spacing w:after="0"/>
              <w:rPr>
                <w:sz w:val="1"/>
                <w:szCs w:val="1"/>
                <w:color w:val="auto"/>
              </w:rPr>
            </w:pPr>
          </w:p>
        </w:tc>
      </w:tr>
      <w:tr>
        <w:trPr>
          <w:trHeight w:val="220"/>
        </w:trPr>
        <w:tc>
          <w:tcPr>
            <w:tcW w:w="2880" w:type="dxa"/>
            <w:vAlign w:val="bottom"/>
            <w:gridSpan w:val="2"/>
          </w:tcPr>
          <w:p>
            <w:pPr>
              <w:ind w:left="260"/>
              <w:spacing w:after="0"/>
              <w:rPr>
                <w:sz w:val="20"/>
                <w:szCs w:val="20"/>
                <w:color w:val="auto"/>
              </w:rPr>
            </w:pPr>
            <w:r>
              <w:rPr>
                <w:rFonts w:ascii="Arial" w:cs="Arial" w:eastAsia="Arial" w:hAnsi="Arial"/>
                <w:sz w:val="16"/>
                <w:szCs w:val="16"/>
                <w:color w:val="auto"/>
              </w:rPr>
              <w:t>Minimum pension contribution and</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80" w:type="dxa"/>
            <w:vAlign w:val="bottom"/>
            <w:tcBorders>
              <w:bottom w:val="single" w:sz="8" w:color="CCEEFF"/>
            </w:tcBorders>
            <w:gridSpan w:val="2"/>
          </w:tcPr>
          <w:p>
            <w:pPr>
              <w:ind w:left="260"/>
              <w:spacing w:after="0" w:line="239"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(7)</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5,509</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Total AA Contractual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7,556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65,522</w:t>
            </w:r>
          </w:p>
        </w:tc>
        <w:tc>
          <w:tcPr>
            <w:tcW w:w="0" w:type="dxa"/>
            <w:vAlign w:val="bottom"/>
          </w:tcPr>
          <w:p>
            <w:pPr>
              <w:spacing w:after="0"/>
              <w:rPr>
                <w:sz w:val="1"/>
                <w:szCs w:val="1"/>
                <w:color w:val="auto"/>
              </w:rPr>
            </w:pPr>
          </w:p>
        </w:tc>
      </w:tr>
      <w:tr>
        <w:trPr>
          <w:trHeight w:val="318"/>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US Airways Group and Other AAG</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subsidiaries</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gridSpan w:val="2"/>
          </w:tcPr>
          <w:p>
            <w:pPr>
              <w:ind w:left="260"/>
              <w:spacing w:after="0" w:line="220" w:lineRule="exact"/>
              <w:rPr>
                <w:sz w:val="20"/>
                <w:szCs w:val="20"/>
                <w:color w:val="auto"/>
              </w:rPr>
            </w:pPr>
            <w:r>
              <w:rPr>
                <w:rFonts w:ascii="Arial" w:cs="Arial" w:eastAsia="Arial" w:hAnsi="Arial"/>
                <w:sz w:val="16"/>
                <w:szCs w:val="16"/>
                <w:color w:val="auto"/>
                <w:w w:val="98"/>
              </w:rPr>
              <w:t xml:space="preserve">Debt and capital lease obligations </w:t>
            </w:r>
            <w:r>
              <w:rPr>
                <w:rFonts w:ascii="Arial" w:cs="Arial" w:eastAsia="Arial" w:hAnsi="Arial"/>
                <w:sz w:val="21"/>
                <w:szCs w:val="21"/>
                <w:color w:val="auto"/>
                <w:w w:val="98"/>
                <w:vertAlign w:val="superscript"/>
              </w:rPr>
              <w:t>(1),</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459</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947</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1,046</w:t>
            </w:r>
          </w:p>
        </w:tc>
        <w:tc>
          <w:tcPr>
            <w:tcW w:w="12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2,931</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6,197</w:t>
            </w:r>
          </w:p>
        </w:tc>
        <w:tc>
          <w:tcPr>
            <w:tcW w:w="0" w:type="dxa"/>
            <w:vAlign w:val="bottom"/>
          </w:tcPr>
          <w:p>
            <w:pPr>
              <w:spacing w:after="0"/>
              <w:rPr>
                <w:sz w:val="1"/>
                <w:szCs w:val="1"/>
                <w:color w:val="auto"/>
              </w:rPr>
            </w:pPr>
          </w:p>
        </w:tc>
      </w:tr>
      <w:tr>
        <w:trPr>
          <w:trHeight w:val="136"/>
        </w:trPr>
        <w:tc>
          <w:tcPr>
            <w:tcW w:w="2780" w:type="dxa"/>
            <w:vAlign w:val="bottom"/>
          </w:tcPr>
          <w:p>
            <w:pPr>
              <w:ind w:left="260"/>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 xml:space="preserve">Interest obligations </w:t>
            </w:r>
            <w:r>
              <w:rPr>
                <w:rFonts w:ascii="Arial" w:cs="Arial" w:eastAsia="Arial" w:hAnsi="Arial"/>
                <w:sz w:val="21"/>
                <w:szCs w:val="21"/>
                <w:color w:val="auto"/>
                <w:vertAlign w:val="superscript"/>
              </w:rPr>
              <w:t>(2), (3)</w:t>
            </w: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0" w:type="dxa"/>
            <w:vAlign w:val="bottom"/>
          </w:tcPr>
          <w:p>
            <w:pPr>
              <w:spacing w:after="0"/>
              <w:rPr>
                <w:sz w:val="1"/>
                <w:szCs w:val="1"/>
                <w:color w:val="auto"/>
              </w:rPr>
            </w:pPr>
          </w:p>
        </w:tc>
      </w:tr>
      <w:tr>
        <w:trPr>
          <w:trHeight w:val="220"/>
        </w:trPr>
        <w:tc>
          <w:tcPr>
            <w:tcW w:w="2880" w:type="dxa"/>
            <w:vAlign w:val="bottom"/>
            <w:gridSpan w:val="2"/>
          </w:tcPr>
          <w:p>
            <w:pPr>
              <w:ind w:left="260"/>
              <w:spacing w:after="0"/>
              <w:rPr>
                <w:sz w:val="20"/>
                <w:szCs w:val="20"/>
                <w:color w:val="auto"/>
              </w:rPr>
            </w:pPr>
            <w:r>
              <w:rPr>
                <w:rFonts w:ascii="Arial" w:cs="Arial" w:eastAsia="Arial" w:hAnsi="Arial"/>
                <w:sz w:val="16"/>
                <w:szCs w:val="16"/>
                <w:color w:val="auto"/>
              </w:rPr>
              <w:t>Commitments for aircraft and engine</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80" w:type="dxa"/>
            <w:vAlign w:val="bottom"/>
            <w:gridSpan w:val="2"/>
          </w:tcPr>
          <w:p>
            <w:pPr>
              <w:ind w:left="260"/>
              <w:spacing w:after="0" w:line="239" w:lineRule="exact"/>
              <w:rPr>
                <w:sz w:val="20"/>
                <w:szCs w:val="20"/>
                <w:color w:val="auto"/>
              </w:rPr>
            </w:pPr>
            <w:r>
              <w:rPr>
                <w:rFonts w:ascii="Arial" w:cs="Arial" w:eastAsia="Arial" w:hAnsi="Arial"/>
                <w:sz w:val="16"/>
                <w:szCs w:val="16"/>
                <w:color w:val="auto"/>
                <w:w w:val="95"/>
              </w:rPr>
              <w:t xml:space="preserve">purchases and operating leases </w:t>
            </w:r>
            <w:r>
              <w:rPr>
                <w:rFonts w:ascii="Arial" w:cs="Arial" w:eastAsia="Arial" w:hAnsi="Arial"/>
                <w:sz w:val="21"/>
                <w:szCs w:val="21"/>
                <w:color w:val="auto"/>
                <w:w w:val="95"/>
                <w:vertAlign w:val="superscript"/>
              </w:rPr>
              <w:t>(4), (5)</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7,987</w:t>
            </w:r>
          </w:p>
        </w:tc>
        <w:tc>
          <w:tcPr>
            <w:tcW w:w="0" w:type="dxa"/>
            <w:vAlign w:val="bottom"/>
          </w:tcPr>
          <w:p>
            <w:pPr>
              <w:spacing w:after="0"/>
              <w:rPr>
                <w:sz w:val="1"/>
                <w:szCs w:val="1"/>
                <w:color w:val="auto"/>
              </w:rPr>
            </w:pPr>
          </w:p>
        </w:tc>
      </w:tr>
      <w:tr>
        <w:trPr>
          <w:trHeight w:val="220"/>
        </w:trPr>
        <w:tc>
          <w:tcPr>
            <w:tcW w:w="28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Regional capacity purchase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80" w:type="dxa"/>
            <w:vAlign w:val="bottom"/>
            <w:gridSpan w:val="2"/>
            <w:shd w:val="clear" w:color="auto" w:fill="CCEEFF"/>
          </w:tcPr>
          <w:p>
            <w:pPr>
              <w:ind w:left="260"/>
              <w:spacing w:after="0" w:line="239" w:lineRule="exact"/>
              <w:rPr>
                <w:sz w:val="20"/>
                <w:szCs w:val="20"/>
                <w:color w:val="auto"/>
              </w:rPr>
            </w:pPr>
            <w:r>
              <w:rPr>
                <w:rFonts w:ascii="Arial" w:cs="Arial" w:eastAsia="Arial" w:hAnsi="Arial"/>
                <w:sz w:val="16"/>
                <w:szCs w:val="16"/>
                <w:color w:val="auto"/>
              </w:rPr>
              <w:t xml:space="preserve">agreements </w:t>
            </w:r>
            <w:r>
              <w:rPr>
                <w:rFonts w:ascii="Arial" w:cs="Arial" w:eastAsia="Arial" w:hAnsi="Arial"/>
                <w:sz w:val="21"/>
                <w:szCs w:val="21"/>
                <w:color w:val="auto"/>
                <w:vertAlign w:val="superscript"/>
              </w:rPr>
              <w:t>(6)</w:t>
            </w: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5,193</w:t>
            </w:r>
          </w:p>
        </w:tc>
        <w:tc>
          <w:tcPr>
            <w:tcW w:w="0" w:type="dxa"/>
            <w:vAlign w:val="bottom"/>
          </w:tcPr>
          <w:p>
            <w:pPr>
              <w:spacing w:after="0"/>
              <w:rPr>
                <w:sz w:val="1"/>
                <w:szCs w:val="1"/>
                <w:color w:val="auto"/>
              </w:rPr>
            </w:pPr>
          </w:p>
        </w:tc>
      </w:tr>
      <w:tr>
        <w:trPr>
          <w:trHeight w:val="200"/>
        </w:trPr>
        <w:tc>
          <w:tcPr>
            <w:tcW w:w="2880" w:type="dxa"/>
            <w:vAlign w:val="bottom"/>
            <w:gridSpan w:val="2"/>
          </w:tcPr>
          <w:p>
            <w:pPr>
              <w:ind w:left="480"/>
              <w:spacing w:after="0"/>
              <w:rPr>
                <w:sz w:val="20"/>
                <w:szCs w:val="20"/>
                <w:color w:val="auto"/>
              </w:rPr>
            </w:pPr>
            <w:r>
              <w:rPr>
                <w:rFonts w:ascii="Arial" w:cs="Arial" w:eastAsia="Arial" w:hAnsi="Arial"/>
                <w:sz w:val="16"/>
                <w:szCs w:val="16"/>
                <w:color w:val="auto"/>
              </w:rPr>
              <w:t>Total AAG Contractual</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7,711</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10,595</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11,141</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9,465</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9,845</w:t>
            </w:r>
          </w:p>
        </w:tc>
        <w:tc>
          <w:tcPr>
            <w:tcW w:w="12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37,784</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86,541</w:t>
            </w:r>
          </w:p>
        </w:tc>
        <w:tc>
          <w:tcPr>
            <w:tcW w:w="0" w:type="dxa"/>
            <w:vAlign w:val="bottom"/>
          </w:tcPr>
          <w:p>
            <w:pPr>
              <w:spacing w:after="0"/>
              <w:rPr>
                <w:sz w:val="1"/>
                <w:szCs w:val="1"/>
                <w:color w:val="auto"/>
              </w:rPr>
            </w:pPr>
          </w:p>
        </w:tc>
      </w:tr>
      <w:tr>
        <w:trPr>
          <w:trHeight w:val="206"/>
        </w:trPr>
        <w:tc>
          <w:tcPr>
            <w:tcW w:w="2880" w:type="dxa"/>
            <w:vAlign w:val="bottom"/>
            <w:gridSpan w:val="2"/>
          </w:tcPr>
          <w:p>
            <w:pPr>
              <w:ind w:left="480"/>
              <w:spacing w:after="0"/>
              <w:rPr>
                <w:sz w:val="20"/>
                <w:szCs w:val="20"/>
                <w:color w:val="auto"/>
              </w:rPr>
            </w:pPr>
            <w:r>
              <w:rPr>
                <w:rFonts w:ascii="Arial" w:cs="Arial" w:eastAsia="Arial" w:hAnsi="Arial"/>
                <w:sz w:val="16"/>
                <w:szCs w:val="16"/>
                <w:color w:val="auto"/>
              </w:rPr>
              <w:t>Obligations</w:t>
            </w:r>
          </w:p>
        </w:tc>
        <w:tc>
          <w:tcPr>
            <w:tcW w:w="1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12700</wp:posOffset>
            </wp:positionV>
            <wp:extent cx="39020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26" w:lineRule="exact"/>
        <w:rPr>
          <w:sz w:val="20"/>
          <w:szCs w:val="20"/>
          <w:color w:val="auto"/>
        </w:rPr>
      </w:pPr>
    </w:p>
    <w:p>
      <w:pPr>
        <w:ind w:left="340" w:hanging="332"/>
        <w:spacing w:after="0" w:line="216"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Amounts represent contractual amounts due. For American, excludes $66 million and for US Airways Group, excludes $26 million of unamortized debt discount as of March 31, 2014.</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For variable-rate debt, future interest obligations are estimated using the current forward rates at March 31, 2014.</w:t>
      </w:r>
    </w:p>
    <w:p>
      <w:pPr>
        <w:spacing w:after="0" w:line="2" w:lineRule="exact"/>
        <w:rPr>
          <w:rFonts w:ascii="Arial" w:cs="Arial" w:eastAsia="Arial" w:hAnsi="Arial"/>
          <w:sz w:val="25"/>
          <w:szCs w:val="25"/>
          <w:color w:val="auto"/>
          <w:vertAlign w:val="superscript"/>
        </w:rPr>
      </w:pPr>
    </w:p>
    <w:p>
      <w:pPr>
        <w:jc w:val="both"/>
        <w:ind w:left="340" w:hanging="332"/>
        <w:spacing w:after="0" w:line="221"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For American, includes $3.4 billion of future principal payments and $918 million of future interest payments, respectively, and for US Airways Group, includes $2.7 billion of future principal payments and $929 million of future interest payments, respectively, as of March 31, 2014, related to EETCs associated with mortgage financings for the purchase of certain aircraft.</w:t>
      </w:r>
    </w:p>
    <w:p>
      <w:pPr>
        <w:spacing w:after="0" w:line="40"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 xml:space="preserve">See Part I, Item 2. Management's Discussion and Analysis of Financial Condition and Results of Operations -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additional information about the obligations of American and US Airways Group.</w:t>
      </w:r>
    </w:p>
    <w:p>
      <w:pPr>
        <w:spacing w:after="0" w:line="4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For American, includes $305 million and for US Airways Group, includes $1.9 billion of future minimum lease payments related to EETC leverage leased financings of certain aircraft as of March 31, 2014.</w:t>
      </w:r>
    </w:p>
    <w:p>
      <w:pPr>
        <w:spacing w:after="0" w:line="41" w:lineRule="exact"/>
        <w:rPr>
          <w:rFonts w:ascii="Arial" w:cs="Arial" w:eastAsia="Arial" w:hAnsi="Arial"/>
          <w:sz w:val="25"/>
          <w:szCs w:val="25"/>
          <w:color w:val="auto"/>
          <w:vertAlign w:val="superscript"/>
        </w:rPr>
      </w:pPr>
    </w:p>
    <w:p>
      <w:pPr>
        <w:ind w:left="340" w:hanging="332"/>
        <w:spacing w:after="0" w:line="227" w:lineRule="auto"/>
        <w:tabs>
          <w:tab w:leader="none" w:pos="340"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w:t>
      </w:r>
    </w:p>
    <w:p>
      <w:pPr>
        <w:spacing w:after="0" w:line="40" w:lineRule="exact"/>
        <w:rPr>
          <w:rFonts w:ascii="Arial" w:cs="Arial" w:eastAsia="Arial" w:hAnsi="Arial"/>
          <w:sz w:val="24"/>
          <w:szCs w:val="24"/>
          <w:color w:val="auto"/>
          <w:vertAlign w:val="superscript"/>
        </w:rPr>
      </w:pPr>
    </w:p>
    <w:p>
      <w:pPr>
        <w:ind w:left="340" w:hanging="332"/>
        <w:spacing w:after="0" w:line="216"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Includes minimum pension contributions based on actuarially determined estimates and other postretirement benefit payments based on estimated payments through 2023. See Note 9 to American's condensed consolidated financial statements in Part I, Item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-2065020</wp:posOffset>
            </wp:positionV>
            <wp:extent cx="39020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light of our significant financial commitments related to, among other things, new aircraft and the servicing and amortization of existing debt and equipment leasing arrangements,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or natural disasters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w:t>
      </w:r>
    </w:p>
    <w:p>
      <w:pPr>
        <w:sectPr>
          <w:pgSz w:w="11900" w:h="16838" w:orient="portrait"/>
          <w:cols w:equalWidth="0" w:num="1">
            <w:col w:w="11420"/>
          </w:cols>
          <w:pgMar w:left="240" w:top="526"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526" w:right="239" w:bottom="1440" w:gutter="0" w:footer="0" w:header="0"/>
          <w:type w:val="continuous"/>
        </w:sectPr>
      </w:pPr>
    </w:p>
    <w:bookmarkStart w:id="75" w:name="page76"/>
    <w:bookmarkEnd w:id="75"/>
    <w:p>
      <w:pPr>
        <w:jc w:val="both"/>
        <w:spacing w:after="0" w:line="312" w:lineRule="auto"/>
        <w:rPr>
          <w:sz w:val="20"/>
          <w:szCs w:val="20"/>
          <w:color w:val="auto"/>
        </w:rPr>
      </w:pPr>
      <w:r>
        <w:rPr>
          <w:rFonts w:ascii="Arial" w:cs="Arial" w:eastAsia="Arial" w:hAnsi="Arial"/>
          <w:sz w:val="16"/>
          <w:szCs w:val="16"/>
          <w:color w:val="auto"/>
        </w:rPr>
        <w:t>of fuel, maintenance, or aircraft, aircraft engines or parts, could decrease the amount of cash available to cover cash contractual obligations. Moreover, the Credit Facilities, the 2013 Citicorp Credit Facility and certain of our other financing arrangements contain significant minimum cash balance requirements. As a result, we cannot use all of our available cash to fund operations, capital expenditures and cash obligations without violating these requirements.</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first quarter of 2014, there were no changes to our critical accounting policies and estimates from those disclosed in the consolidated financial statements and accompanying notes contained in our 2013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68" w:right="239" w:bottom="1440" w:gutter="0" w:footer="0" w:header="0"/>
        </w:sectPr>
      </w:pPr>
    </w:p>
    <w:bookmarkStart w:id="76" w:name="page77"/>
    <w:bookmarkEnd w:id="76"/>
    <w:p>
      <w:pPr>
        <w:ind w:left="40"/>
        <w:spacing w:after="0"/>
        <w:tabs>
          <w:tab w:leader="none" w:pos="24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AAG's Market Risk Sensitive Instruments and Positions</w:t>
      </w:r>
    </w:p>
    <w:p>
      <w:pPr>
        <w:spacing w:after="0" w:line="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primary market risk exposures include the price of aircraft fuel, foreign currency exchange rates and interest rate risk. Our exposure to these market risks has not changed materially from our exposure discussed in our 2013 10-K except as updated below. See Note 11 to AAG's condensed consolidated financial statements in Part I, Item 1A for accounting policies and additional information regarding derivatives.</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Aircraft Fuel</w:t>
      </w:r>
    </w:p>
    <w:p>
      <w:pPr>
        <w:spacing w:after="0" w:line="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entered into any fuel hedges since December 9, 2013, and our current policy is not to do so. Assuming we continue to pursue this policy, once our existing hedge contracts expire or otherwise terminate, we will be fully exposed to fluctuations in fuel prices.</w:t>
      </w:r>
    </w:p>
    <w:p>
      <w:pPr>
        <w:spacing w:after="0" w:line="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historically hedged the price risk of fuel costs through the use of hedging contracts, which consist primarily of collars (consisting of a purchased call option and a sold put option) and call spreads (consisting of a purchased call option and a sold call option). Jet fuel, crude oil, and ultra low sulfur diesel are the primary underlying commodities in the hedge portfolio. Market risk is estimated as a hypothetical 10% increase in the March 31, 2014 cost per gallon of fuel. Based on projected fuel usage for the next twelve months, such an increase would result in an increase to our Aircraft fuel and related taxes of approximately $1.1 billion over the next twelve months, inclusive of the impact of effective fuel hedge instruments outstanding at March 31, 2014, and assumes our fuel hedging program remains effective.</w:t>
      </w:r>
    </w:p>
    <w:p>
      <w:pPr>
        <w:spacing w:after="0" w:line="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2014, we had cash flow hedges covering approximately 16% of our estimated remaining 2014 fuel requirements. Our consumption hedged for the remaining 2014 is capped at an average price of approximately $2.86 per gallon of jet fuel. Less than one percent of our estimated remaining 2014 fuel requirement is hedged using call spreads with protection capped at an average price of approximately $2.94 per gallon of jet fuel. Sixteen percent of our estimated remaining 2014 fuel requirement is hedged using collars with an average floor price of approximately $2.58 per gallon of jet fuel. The cap and floor prices exclude taxes and transportation costs.</w:t>
      </w:r>
    </w:p>
    <w:p>
      <w:pPr>
        <w:spacing w:after="0" w:line="5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Ineffectiveness is inherent in hedging jet fuel with derivative positions based in crude oil or other crude oil related commodities. We assess, both at the inception of each hedge and on an ongoing basis, whether the derivatives that are used in our hedging transactions are highly effective in offsetting changes in cash flows of the hedged items. In doing so, we use a regression model to determine the correlation of the change in prices of the commodities used to hedge jet fuel (e.g., NY Harbor Ultra Low Sulfur Diesel) to the change in the price of jet fuel. We also monitor the actual dollar offset of the hedges' market values as compared to hypothetical jet fuel hedges. The fuel hedge contracts are generally deemed to be "highly effective" if the R-squared is greater than 80% and the dollar offset correlation is within 80% to 125%. We discontinue hedge accounting prospectively if we determine that a derivative is no longer expected to be highly effective as a hedge or if we decide to discontinue the hedging relationship.</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Foreign Currency</w:t>
      </w:r>
    </w:p>
    <w:p>
      <w:pPr>
        <w:spacing w:after="0" w:line="9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are exposed to the effect of foreign exchange rate fluctuations on the U.S. dollar value of foreign currency-denominated operating revenues and expenses. Our largest exposure comes from the British pound, Euro, Canadian dollar, Japanese yen and various Latin American currencies, particularly Venezuela and Argentina. We do not currently have a foreign currency hedge program related to our foreign currency-denominated ticket sales.</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Venezuela Cash and Short-term Investments</w:t>
      </w:r>
    </w:p>
    <w:p>
      <w:pPr>
        <w:spacing w:after="0" w:line="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of March 31, 2014, approximately $750 million of our unrestricted cash balance was held in Venezuelan bolivars, valued at the weighted average applicable exchange rate of 6.32 bolivars to the dollar. This includes approximately $94 million valued at 4.3 bolivars, approximately $611 million valued at 6.3 bolivars, and approximately $45 million valued at 10.7 bolivars, with the rate depending on the date we submitted our repatriation request to the Venezuelan government. In the first quarter of 2014, the Venezuelan government announced that a newly-implemented system (SICAD I) will determine the exchange rate (which fluctuates as determined by weekly auctions and at March 31, 2014 was 10.7 bolivars to the dollar) for repatriation of cash proceeds from ticket sales after January 1, 2014, and introduced new procedures for approval of repatriation of local currency. We are continuing to work with Venezuelan authorities regarding the timing and exchange rate applicable to the repatriation of funds held in local currency, are monitoring this situation closely and continue to evaluate our holdings of Venezuelan bolivars for potential impairment. See Part II, Item 1A. - Risk Factors "</w:t>
      </w:r>
      <w:r>
        <w:rPr>
          <w:rFonts w:ascii="Arial" w:cs="Arial" w:eastAsia="Arial" w:hAnsi="Arial"/>
          <w:sz w:val="16"/>
          <w:szCs w:val="16"/>
          <w:i w:val="1"/>
          <w:iCs w:val="1"/>
          <w:color w:val="auto"/>
        </w:rPr>
        <w:t>We operate a global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6"/>
          <w:szCs w:val="16"/>
          <w:color w:val="auto"/>
        </w:rPr>
        <w:t>for additional discussion of these and other currency risks.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26"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American's Market Risk Sensitive Instruments and Positions</w:t>
      </w:r>
    </w:p>
    <w:p>
      <w:pPr>
        <w:spacing w:after="0" w:line="1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American's primary market risk exposures include the price of aircraft fuel, foreign currency exchange rates and interest rate risk. American's exposure to these market risks has not changed materially from its exposure discussed in its 2013 10-K except as updated below. See Note 10 to American's condensed consolidated financial statements in Part I, Item 1B for accounting policies and additional information regarding derivatives.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Aircraft Fuel</w:t>
      </w:r>
    </w:p>
    <w:p>
      <w:pPr>
        <w:spacing w:after="0" w:line="13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American has not entered into any fuel hedges since December 9, 2013, and its current policy is not to do so. Assuming American continues to pursue this policy, once its existing hedge contracts expire or otherwise terminate, American will be fully exposed to fluctuations in fuel prices.</w:t>
      </w:r>
    </w:p>
    <w:p>
      <w:pPr>
        <w:spacing w:after="0" w:line="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American has historically hedged the price risk of fuel costs through the use of hedging contracts, which consist primarily of collars (consisting of a purchased call option and a sold put option) and call spreads (consisting of a purchased call option and a sold call option). Jet fuel, crude oil, and ultra low sulfur diesel are the primary underlying commodities in the hedge portfolio. Market risk is estimated as a hypothetical 10% increase in the March 31, 2014 cost per gallon of fuel. Based on projected fuel usage for the next twelve months, such an increase would result in an increase to American's Aircraft fuel and related taxes of approximately $621 million over the next twelve months, inclusive of the impact of effective fuel hedge instruments outstanding at March 31, 2014, and assumes American's fuel hedging program remains effective.</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2014, American had cash flow hedges covering approximately 25% of its estimated remaining 2014 fuel requirements. American's consumption hedged for the remaining 2014 is capped at an average price of approximately $2.86 per gallon of jet fuel. Less than one percent of American's estimated remaining 2014 fuel requirement is hedged using call spreads with protection capped at an average price of approximately $2.94 per gallon of jet fuel. Twenty-five percent of American's estimated remaining 2014 fuel requirement is hedged using collars with an average floor price of approximately $2.58 per gallon of jet fuel. The cap and floor prices exclude taxes and transportation costs.</w:t>
      </w:r>
    </w:p>
    <w:p>
      <w:pPr>
        <w:spacing w:after="0" w:line="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Ineffectiveness is inherent in hedging jet fuel with derivative positions based in crude oil or other crude oil related commodities. American assess, both at the inception of each hedge and on an ongoing basis, whether the derivatives that are used in its hedging transactions are highly effective in offsetting changes in cash flows of the hedged items. In doing so, American uses a regression model to determine the correlation of the change in prices of the commodities used to hedge jet fuel (e.g., NY Harbor Ultra Low Sulfur Diesel) to the change in the price of jet fuel. American also monitors the actual dollar offset of the hedges' market values as compared to hypothetical jet fuel hedges. The fuel hedge contracts are generally deemed to be "highly effective" if the R-squared is greater than 80% and the dollar offset correlation is within 80% to 125%. American discontinues hedge accounting prospectively if it determines that a derivative is no longer expected to be highly effective as a hedge or if American decides to discontinue the hedging relationship.</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Foreign Currency</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American is exposed to the effect of foreign exchange rate fluctuations on the U.S. dollar value of foreign currency-denominated operating revenues and expenses. American's largest exposure comes from the British pound, Euro, Canadian dollar, Japanese yen and various Latin American currencies, particularly Venezuela and Argentina. American does not currently have a foreign currency hedge program related to its foreign currency-denominated ticket sales.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Venezuela Cash and Short-term Investments</w:t>
      </w:r>
    </w:p>
    <w:p>
      <w:pPr>
        <w:spacing w:after="0" w:line="1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of March 31, 2014, approximately $750 million of American's unrestricted cash balance was held in Venezuelan bolivars, valued at the weighted average applicable exchange rate of 6.32 bolivars to the dollar. This includes approximately $94 million valued at 4.3 bolivars, approximately $611 million valued at 6.3 bolivars, and approximately $45 million valued at 10.7 bolivars, with the rate depending on the date American submitted its repatriation request to the Venezuelan government. In the first quarter of 2014, the Venezuelan government announced that a newly-implemented system (SICAD I) will determine the exchange rate (which fluctuates as determined by weekly auctions and at March 31, 2014 was 10.7 bolivars to the dollar) for repatriation of cash proceeds from ticket sales after January 1, 2014, and introduced new procedures for approval of repatriation of local currency. American is continuing to work with Venezuelan authorities regarding the timing and exchange rate applicable to the repatriation of funds held in local currency, is monitoring this situation closely and continues to evaluate its holdings of Venezuelan bolivars for potential impairment. See Part II, Item 1A. - Risk Factors "</w:t>
      </w:r>
      <w:r>
        <w:rPr>
          <w:rFonts w:ascii="Arial" w:cs="Arial" w:eastAsia="Arial" w:hAnsi="Arial"/>
          <w:sz w:val="16"/>
          <w:szCs w:val="16"/>
          <w:i w:val="1"/>
          <w:iCs w:val="1"/>
          <w:color w:val="auto"/>
        </w:rPr>
        <w:t>We operate 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global 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6"/>
          <w:szCs w:val="16"/>
          <w:color w:val="auto"/>
        </w:rPr>
        <w:t>for additional discussion of these and other currency risks.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 An evaluation was performed under the supervision and with the participation of the Company’s management, including the Chief Executive Officer (CEO) and Chief Financial Officer (CFO), of the effectiveness of the AAG's and American’s disclosure controls and procedures as of March 31, 2014. Based on that evaluation, the Company’s management, including the CEO and CFO, concluded that AAG's and American’s disclosure controls and procedures were effective as of March 31, 2014.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December 9, 2013, we acquired US Airways Group and its subsidiaries. We have begun to integrate policies, processes, people, technology and operations for the post-Merger combined company, and we will continue to evaluate the impact of any related changes to internal control over financial reporting. Except for any changes in internal controls related to the integration of US Airways Group and its subsidiaries into the post-Merger combined company, during the quarter ending on March 31, 2014, there has been no change in AAG’s or American's internal control over financial reporting that has materially affected, or is reasonably likely to materially affect, AAG's and American's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the CEO and CFO believe that our disclosure controls and procedures were effective at the “reasonable assurance” level as of March 31, 2014.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688"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Chapter 11 Cases. </w:t>
      </w:r>
      <w:r>
        <w:rPr>
          <w:rFonts w:ascii="Arial" w:cs="Arial" w:eastAsia="Arial" w:hAnsi="Arial"/>
          <w:sz w:val="17"/>
          <w:szCs w:val="17"/>
          <w:color w:val="auto"/>
        </w:rPr>
        <w:t>As previously disclosed, on the Petition Date, November 29, 2011, the Debtors filed voluntary petitions for relief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Bankruptcy Code. On October 21, 2013, the Bankruptcy Court entered the Confirmation Order approving and confirming the Debtors' Plan. On the Effective Date, December 9, 2013, the Debtors consummated their reorganization pursuant to the Plan, principally through the transactions contemplated by the Merger Agreement pursuant to which Merger Sub merged with and into US Airways Group, with US Airways Group surviving as a wholly-owned subsidiary of AAG. From the Petition Date through the Effective Date, pursuant to automatic stay provisions under the Bankruptcy Code and orders granted by the Bankruptcy Court, all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the extent the parties to such litigation have obtained relief from the permanent injunction.</w:t>
      </w:r>
    </w:p>
    <w:p>
      <w:pPr>
        <w:spacing w:after="0" w:line="12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Pursuant to rulings of the Bankruptcy Court, the Plan has established a disputed claims reserve to hold shares of AAG Series A Preferred Stock and AAG Common Stock reserved for issuance to disputed claimholders that ultimately become allowed Single-Dip general unsecured claimholders after emergence. The shares provided for under the Plan are determined based upon a disputed claims reserve amount of approximately $755 million. As disputed claims are resolved, the claimants will receive distributions of shares from the reserve on the same basis as if such distributions had been made on or about the Effective Date. To the extent that any of the reserved shares remain undistributed upon resolution of the remaining disputed claims, such shares will not be returned to AAG but rather will be distributed by priority first, if necessary, to satisfy unsecured claims or labor-related obligations, and then to former AMR shareholders as of the Effective Date. AAG is not required to distribute additional shares above the limits contemplated by the Plan, even if the shares remaining for distribution are not sufficient to fully pay all allowed unsecured claims. However, resolution of disputed claims could have a material effect on Single-Dip creditor recoveries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1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post-employee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Government Antitrust Actions</w:t>
      </w:r>
      <w:r>
        <w:rPr>
          <w:rFonts w:ascii="Arial" w:cs="Arial" w:eastAsia="Arial" w:hAnsi="Arial"/>
          <w:sz w:val="17"/>
          <w:szCs w:val="17"/>
          <w:color w:val="auto"/>
        </w:rPr>
        <w:t>. On August 13, 2013, the U.S. government, along with the States of Arizona, Florida, Tennessee and Texas,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Commonwealths of Pennsylvania and Virginia, and the District of Columbia (collectively, the plaintiff states), filed a complaint against US Airways Group and AMR in the U.S. District Court for the District of Columbia. The plaintiffs alleged, among other things, that the proposed Merger would substantially lessen competition in violation of Section 7 of the Clayton Act and sought to permanently enjoin the transaction. On September 5, 2013, the plaintiffs filed an amended complaint, adding the State of Michigan as a plaintiff. On October 1, 2013, the State of Texas entered into an agreement with US Airways Group and AMR that resolved that state’s objections to the Merger, and its claims were dismissed with prejudice on October 7, 2013. On November 11, 2013, US Airways and American entered into agreements with the U.S. government and the plaintiff states resolving all claims in the litigation. The agreement with the U.S. government requires the carriers to divest assets at certain airports and remains subject to public comment and court approval. In the agreement with the United States government, among other things, we agreed to divest and not reacquire for 10 years certain rights and assets consisting of 52 slot pairs at DCA, and 17 slot pairs at LaGuardia Airport, in each case together with associated gates and related ground facilities necessary to operate those slot pairs, and two gates at each of Boston Logan International Airport, Chicago O’Hare International Airport, Dallas Love Field, Los Angeles International Airport and Miami International Airport. The agreement with the plaintiff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42" w:right="239" w:bottom="1440" w:gutter="0" w:footer="0" w:header="0"/>
        </w:sectPr>
      </w:pPr>
    </w:p>
    <w:bookmarkStart w:id="80" w:name="page81"/>
    <w:bookmarkEnd w:id="80"/>
    <w:p>
      <w:pPr>
        <w:jc w:val="both"/>
        <w:spacing w:after="0" w:line="312" w:lineRule="auto"/>
        <w:rPr>
          <w:sz w:val="20"/>
          <w:szCs w:val="20"/>
          <w:color w:val="auto"/>
        </w:rPr>
      </w:pPr>
      <w:r>
        <w:rPr>
          <w:rFonts w:ascii="Arial" w:cs="Arial" w:eastAsia="Arial" w:hAnsi="Arial"/>
          <w:sz w:val="16"/>
          <w:szCs w:val="16"/>
          <w:color w:val="auto"/>
        </w:rPr>
        <w:t>states, which was entered by the court on November 12, 2013, requires American and US Airways, subject to certain conditions and exceptions, to maintain certain hub operations in a manner generally consistent with historical operations and to continue to provide scheduled daily service to certain specified communities, both for limited periods of time. In addition, we entered into a related settlement with the DOT related to small community service from DCA.</w:t>
      </w:r>
    </w:p>
    <w:p>
      <w:pPr>
        <w:spacing w:after="0" w:line="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Merger Class Action</w:t>
      </w:r>
      <w:r>
        <w:rPr>
          <w:rFonts w:ascii="Arial" w:cs="Arial" w:eastAsia="Arial" w:hAnsi="Arial"/>
          <w:sz w:val="17"/>
          <w:szCs w:val="17"/>
          <w:color w:val="auto"/>
        </w:rPr>
        <w:t>. On March 1, 2013, a complaint captioned Plumbers &amp; Steamfitters Local Union No. 248 Pension Fund v. US Airways Group,</w:t>
      </w:r>
      <w:r>
        <w:rPr>
          <w:rFonts w:ascii="Arial" w:cs="Arial" w:eastAsia="Arial" w:hAnsi="Arial"/>
          <w:sz w:val="17"/>
          <w:szCs w:val="17"/>
          <w:i w:val="1"/>
          <w:iCs w:val="1"/>
          <w:color w:val="auto"/>
        </w:rPr>
        <w:t xml:space="preserve"> </w:t>
      </w:r>
      <w:r>
        <w:rPr>
          <w:rFonts w:ascii="Arial" w:cs="Arial" w:eastAsia="Arial" w:hAnsi="Arial"/>
          <w:sz w:val="17"/>
          <w:szCs w:val="17"/>
          <w:color w:val="auto"/>
        </w:rPr>
        <w:t>Inc., et al., No. CV2013-051605, was filed as a putative class action on behalf of the stockholders of US Airways Group in the Superior Court for Maricopa County, Arizona. On July 3, 2013, an amended complaint, captioned Dennis Palkon, et al. v. US Airways Group, Inc., et al., No. CV2013-051605, was filed with the same court. The amended complaint names as defendants US Airways Group and the members of its board of directors, and alleges that the directors failed to maximize the value of US Airways Group in connection with the Merger and that US Airways Group aided and abetted those breaches of fiduciary duty. The relief sought in the amended complaint includes an injunction against the Merger, or rescission in the event it has been consummated. The court in the above-referenced action denied the plaintiff’s motion for a temporary restraining order that had sought to enjoin the US Airways Group Annual Meeting of Stockholders. The above-referenced action was stayed pending the outcome of the antitrust lawsuit filed by the U.S. government and various states on August 13, 2013 (described above). This stay has now been lifted and a motion to dismiss this action filed by US Airways Group is pending before the court. We believe this lawsuit is without merit and intend to vigorously defend against the allegations.</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Private Party Antitrust Action</w:t>
      </w:r>
      <w:r>
        <w:rPr>
          <w:rFonts w:ascii="Arial" w:cs="Arial" w:eastAsia="Arial" w:hAnsi="Arial"/>
          <w:sz w:val="16"/>
          <w:szCs w:val="16"/>
          <w:color w:val="auto"/>
        </w:rPr>
        <w:t>. On July 2, 2013, a lawsuit captioned Carolyn Fjord, et al., v. US Airways Group, Inc., et al., was filed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District Court for the Northern District of California. The complaint names as defendants US Airways Group and US Airways, and alleges that the effect of the Merger may be to substantially lessen competition or tend to create a monopoly in violation of Section 7 of the Clayton Antitrust Act. The relief sought in the complaint includes an injunction against the Merger, or divestiture. On August 6, 2013, the plaintiffs re-filed their complaint in the Bankruptcy Court, adding AMR and American as defendants, and on October 2, 2013, dismissed the initial California action. The Bankruptcy Court denied plaintiffs’ motion to preliminarily enjoin the Merger. On January 10, 2014, the plaintiffs moved to amend their complaint to add additional factual allegations, a claim for money damages and a request for preliminary injunctive relief requiring the carriers to hold separate their assets. On March 14, 2014, the Court allowed plaintiffs to add certain allegations but denied plaintiffs' requests to add a damages claim or seek preliminary injunctive relief requiring the carriers to hold separate their assets. There is currently no trial date set. We believe this lawsuit is without merit and intend to vigorously defend against the allegations.</w:t>
      </w:r>
    </w:p>
    <w:p>
      <w:pPr>
        <w:spacing w:after="0" w:line="1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US Airways Sabre Matter</w:t>
      </w:r>
      <w:r>
        <w:rPr>
          <w:rFonts w:ascii="Arial" w:cs="Arial" w:eastAsia="Arial" w:hAnsi="Arial"/>
          <w:sz w:val="18"/>
          <w:szCs w:val="18"/>
          <w:color w:val="auto"/>
        </w:rPr>
        <w:t>. On April 21, 2011, US Airways filed an antitrust lawsuit against Sabre Holdings Corporation, Sabre Inc. and Sabre Travel</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Limited (collectively, Sabre) in Federal District Court for the Southern District of New York. The lawsuit, as amended to date, alleges, among other things, that Sabre has engaged in anticompetitive practices to preserve its market power by restricting our ability to distribute our products to our customers. The lawsuit also alleges that these actions have permitted Sabre to charge supracompetitive booking fees and to use technologies that are not as robust and as efficient as alternatives in a competitive market. The lawsuit seeks both injunctive relief and money damages. Sabre filed a motion to dismiss the case, which the court denied in part and granted in part in September 2011, allowing two of the four counts in the complaint to proceed. On April 1, 2014, Sabre filed motions for summary judgment that are pending before the court. We intend to pursue our claims against Sabre vigorously, but there can be no assurance of the outcome of this litigation.</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and our subsidiaries are also engaged in other legal proceedings from time to time. Legal proceedings can be complex and take many</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even years, to reach resolution, with the final outcome depending on a number of variables, some of which are not within our control. Therefore, although we will vigorously defend ourself in each of the actions described above and such other legal proceedings, their ultimate resolution and potential financial and other impacts on us are uncertain.</w:t>
      </w:r>
    </w:p>
    <w:p>
      <w:pPr>
        <w:spacing w:after="0" w:line="29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Company and Industry-Related Risks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could experience significant operating losses in the future.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a number of reasons, including those addressed in these risk factors, we might fail to achieve or maintain profitability and might experience significant losses. In particular, the condition of the economy, the level and volatility of fuel prices, the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30" w:right="239" w:bottom="1440" w:gutter="0" w:footer="0" w:header="0"/>
        </w:sectPr>
      </w:pPr>
    </w:p>
    <w:bookmarkStart w:id="81" w:name="page82"/>
    <w:bookmarkEnd w:id="81"/>
    <w:p>
      <w:pPr>
        <w:jc w:val="both"/>
        <w:spacing w:after="0" w:line="277" w:lineRule="auto"/>
        <w:rPr>
          <w:sz w:val="20"/>
          <w:szCs w:val="20"/>
          <w:color w:val="auto"/>
        </w:rPr>
      </w:pPr>
      <w:r>
        <w:rPr>
          <w:rFonts w:ascii="Arial" w:cs="Arial" w:eastAsia="Arial" w:hAnsi="Arial"/>
          <w:sz w:val="18"/>
          <w:szCs w:val="18"/>
          <w:color w:val="auto"/>
        </w:rPr>
        <w:t>state of travel demand and intense competition in the airline industry have had and will continue to have an impact on our operating results, and may increase the risk that we will experience losses.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Downturns in economic conditions adversely affect our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Due to the discretionary nature of business and leisure travel spending, airline industry revenues are heavily influenced by the condition of the U.S. economy and economies in other regions of the world. Unfavorable conditions in these broader economies have resulted, and may result in the future, in decreased passenger demand for air travel and changes in booking practices, both of which in turn have had, and may have in the future, a strong negative effect on our revenues. In addition, during challenging economic times, actions by our competitors to increase their revenues can have an adverse impact on our revenues. See "</w:t>
      </w:r>
      <w:r>
        <w:rPr>
          <w:rFonts w:ascii="Arial" w:cs="Arial" w:eastAsia="Arial" w:hAnsi="Arial"/>
          <w:sz w:val="17"/>
          <w:szCs w:val="17"/>
          <w:i w:val="1"/>
          <w:iCs w:val="1"/>
          <w:color w:val="auto"/>
        </w:rPr>
        <w:t>The airline industry is intensely competitive and dynamic"</w:t>
      </w:r>
      <w:r>
        <w:rPr>
          <w:rFonts w:ascii="Arial" w:cs="Arial" w:eastAsia="Arial" w:hAnsi="Arial"/>
          <w:sz w:val="17"/>
          <w:szCs w:val="17"/>
          <w:color w:val="auto"/>
        </w:rPr>
        <w:t xml:space="preserve"> below. Certain labor agreements to which we are a party limit our ability to reduce the number of aircraft in operation, and the utilization of such aircraft, below certain levels. As a result, we may not be able to optimize the number of aircraft in operation in response to a decrease in passenger demand for air travel.</w:t>
      </w:r>
    </w:p>
    <w:p>
      <w:pPr>
        <w:spacing w:after="0" w:line="178"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b w:val="1"/>
          <w:bCs w:val="1"/>
          <w:i w:val="1"/>
          <w:iCs w:val="1"/>
          <w:color w:val="auto"/>
        </w:rPr>
        <w:t>Our business is dependent on the price and availability of aircraft fuel. Continued periods of high volatility in fuel costs, increased fuel prices and significant disruptions in the supply of aircraft fuel could have a significant negative impact on our operating results and liquidity.</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Jet fuel market prices have fluctuated substantially over the past several years and prices continued to be volatile in 2013.</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Because of the amount of fuel needed to operate our business, even a relatively small increase in the price of fuel can have a material adverse aggregate effect on our operating results and liquidity. Due to the competitive nature of the airline industry and unpredictability of the market, we can offer no assurance that we may be able to increase our fares, impose fuel surcharges or otherwise increase revenues sufficiently to offset fuel price increases.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additional fuel price volatility and cost increases in the future.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 large number of older aircraft in our fleet, and these aircraft are not as fuel efficient as more recent models of aircraft, including those we have on order. We intend to continue to execute our fleet renewal plans to, among other things, improve the fuel efficiency of our fleet, and we are dependent on a limited number of major aircraft manufacturers to deliver aircraft on schedule. If we experience delays in delivery of the more fuel efficient aircraft that we have on order, we will be adversely affected.</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aviation fuel purchase contracts generally do not provide meaningful price protection against increases in fuel costs. Prior to the closing of the Merger, we sought to manage the risk of fuel price increases by using derivative contracts. There can be no assurance that, at any given time, we will have derivatives in place to provide any particular level of protection against increased fuel costs or that our counterparties will be able to perform under our derivative contracts. To the extent we use derivative contracts that have the potential to create an obligation to pay upon settlement if prices decline significantly, such derivative contracts may limit our ability to benefit from lower fuel costs in the future. Also, a rapid decline in the projected price of fuel at a time when we have fuel hedging contracts in place could adversely impact our short-term liquidity, because hedge counterparties could require that we post collateral in the form of cash or letters of credit. See also the discussion in Part I, Item 3. Quantitative and Qualitative Disclosures About Market Risk - "</w:t>
      </w:r>
      <w:r>
        <w:rPr>
          <w:rFonts w:ascii="Arial" w:cs="Arial" w:eastAsia="Arial" w:hAnsi="Arial"/>
          <w:sz w:val="16"/>
          <w:szCs w:val="16"/>
          <w:i w:val="1"/>
          <w:iCs w:val="1"/>
          <w:color w:val="auto"/>
        </w:rPr>
        <w:t>AAG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Market Risk Sensitive Instruments and Positions - Aircraft Fuel" </w:t>
      </w:r>
      <w:r>
        <w:rPr>
          <w:rFonts w:ascii="Arial" w:cs="Arial" w:eastAsia="Arial" w:hAnsi="Arial"/>
          <w:sz w:val="16"/>
          <w:szCs w:val="16"/>
          <w:color w:val="auto"/>
        </w:rPr>
        <w:t>and "</w:t>
      </w:r>
      <w:r>
        <w:rPr>
          <w:rFonts w:ascii="Arial" w:cs="Arial" w:eastAsia="Arial" w:hAnsi="Arial"/>
          <w:sz w:val="16"/>
          <w:szCs w:val="16"/>
          <w:i w:val="1"/>
          <w:iCs w:val="1"/>
          <w:color w:val="auto"/>
        </w:rPr>
        <w:t>American Airlines Market Risk Sensitive Instruments and Positions - Aircraft Fuel."</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the Dodd-Frank Wall Street Reform and Consumer Protection Act of 2010 and regulations promulgated by the Commodity Futures Trading Commission (CFTC) introduce new requirements for centralized clearing for over-the-counter derivatives. This may include our fuel derivative contracts. Our board of directors has approved our election of the CFTC’s end-user exemption, which permits us as a non-financial end user of derivatives to hedge commercial risk and be exempt from the CFTC mandatory clearing requirements. However, depending on the final regulations adopted by the CFTC and other regulators, our derivative contract counterparties may be subject to regulatory requirements and resulting new practices that may raise their costs. Those increased costs may in turn be passed on to us, resulting in increased transaction costs to execute derivative contracts and lower credit thresholds to post collateral. We have not entered into any fuel hedges since the Effective Date, and our current policy is not to do so. Assuming we continue to pursue this policy, once our existing hedge contracts expire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76" w:right="239" w:bottom="1440" w:gutter="0" w:footer="0" w:header="0"/>
        </w:sectPr>
      </w:pPr>
    </w:p>
    <w:bookmarkStart w:id="82" w:name="page83"/>
    <w:bookmarkEnd w:id="82"/>
    <w:p>
      <w:pPr>
        <w:jc w:val="center"/>
        <w:ind w:right="5820"/>
        <w:spacing w:after="0"/>
        <w:rPr>
          <w:sz w:val="20"/>
          <w:szCs w:val="20"/>
          <w:color w:val="auto"/>
        </w:rPr>
      </w:pPr>
      <w:r>
        <w:rPr>
          <w:rFonts w:ascii="Arial" w:cs="Arial" w:eastAsia="Arial" w:hAnsi="Arial"/>
          <w:sz w:val="16"/>
          <w:szCs w:val="16"/>
          <w:color w:val="auto"/>
        </w:rPr>
        <w:t>or otherwise terminate, we will be fully exposed to fluctuations in fuel prices.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air carrier. Our revenues are sensitive to the actions of other carriers in many areas including pricing, scheduling, capacity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2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Low-cost carriers have a profound impact on industry revenues. Using the advantage of low unit costs, these carriers offer lower fares in order to shift demand from larger, more established airlines. Some low-cost carriers, which have cost structures lower than ours, have better recent financial performance and have announced growth strategies including commitments to acquire significant numbers of aircraft for delivery in the next few years. These low-cost carriers are expected to continue to increase their market share through growth and, potentially, consolidation, and could continue to have an impact on our overall performance. For example, amendments to the Wright Amendment have reduced geographic restrictions on operations by Southwest Airlines and other carriers at Dallas Love Field (DAL) and will eliminate all domestic non-stop geographic restrictions on operations there in October 2014. This has increased low-cost carrier competition for our operations at Dallas/Fort Worth (DFW). In addition, we expect that the two gates at DAL that we divested as part of our settlement of antitrust litigation related to the Merger will be allocated to low-cost carriers. The actions of the low-cost carriers, including those described above, could have a material adverse effect on our operations and financial performance.</w:t>
      </w:r>
    </w:p>
    <w:p>
      <w:pPr>
        <w:spacing w:after="0" w:line="12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airline alliances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implemented a JBA with British Airways, Iberia and Finnair, and antitrust-immunized cooperation with British Airways, Iberia, Finnair and Royal Jordanian. In addition, we have implemented an antitrust-immunized JBA with Japan Airlines and a JBA with Qantas. No assurances can be given as to any benefits that we may derive from such arrangements or any other arrangements that may ultimately be implemented.</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unable to integrate operations successfully and realize the anticipated synergies and other benefits of the Merger.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Merger involves the combination of two companies that operated as independent public companies prior to the Merger, and each of which operated its own international network airline. Historically, the integration of separate airlines has often proven to be more time consuming and to require more resources than initially estimated. We must devote significant management attention and resources to integrating our business practices, cultures and operations. Potential difficulties we may encounter as part of the integration process include the following:</w:t>
      </w:r>
    </w:p>
    <w:p>
      <w:pPr>
        <w:spacing w:after="0" w:line="63" w:lineRule="exact"/>
        <w:rPr>
          <w:sz w:val="20"/>
          <w:szCs w:val="20"/>
          <w:color w:val="auto"/>
        </w:rPr>
      </w:pPr>
    </w:p>
    <w:p>
      <w:pPr>
        <w:ind w:left="980" w:right="20" w:hanging="324"/>
        <w:spacing w:after="0" w:line="258"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inability to successfully combine our businesses in a manner that permits us to achieve the synergies and other benefits anticipated to result from the Merger;</w:t>
      </w:r>
    </w:p>
    <w:p>
      <w:pPr>
        <w:spacing w:after="0" w:line="1" w:lineRule="exact"/>
        <w:rPr>
          <w:rFonts w:ascii="Arial" w:cs="Arial" w:eastAsia="Arial" w:hAnsi="Arial"/>
          <w:sz w:val="18"/>
          <w:szCs w:val="18"/>
          <w:color w:val="auto"/>
        </w:rPr>
      </w:pPr>
    </w:p>
    <w:p>
      <w:pPr>
        <w:ind w:left="980" w:hanging="324"/>
        <w:spacing w:after="0" w:line="265" w:lineRule="auto"/>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challenge of integrating complex systems, operating procedures, regulatory compliance programs, technology, aircraft fleets, networks, and other assets in a manner that minimizes any adverse impact on customers, suppliers, employees, and other constituencies;</w:t>
      </w:r>
    </w:p>
    <w:p>
      <w:pPr>
        <w:ind w:left="980" w:hanging="324"/>
        <w:spacing w:after="0" w:line="250"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effects of divestitures and other operational commitments in connection with the settlement of the litigation brought by the DOJ and certain states prior to the closing of the Merger;</w:t>
      </w: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challenge of forming and maintaining an effective and cohesive management team;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diversion of the attention of our management and other key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76" w:right="239" w:bottom="1440" w:gutter="0" w:footer="0" w:header="0"/>
        </w:sectPr>
      </w:pPr>
    </w:p>
    <w:bookmarkStart w:id="83" w:name="page84"/>
    <w:bookmarkEnd w:id="83"/>
    <w:p>
      <w:pPr>
        <w:ind w:left="980" w:hanging="324"/>
        <w:spacing w:after="0" w:line="258"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challenge of integrating workforces while maintaining focus on providing consistent, high quality customer service and running an efficient operation;</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risks relating to integrating various computer, communications and other technology systems, including designing and implementing an integrated customer reservations system, that will be necessary to operate American and US Airways as a single airline and to achieve cost synergies by eliminating redundancies in the businesses;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disruption of, or the loss of momentum in, our ongoing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branding or rebranding initiatives may involve substantial costs and may not be favorably received by customers; and</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potential unknown liabilities, liabilities that are significantly larger than we currently anticipate and unforeseen increased expenses or delays associated with the Merger, including costs in excess of the cash transition costs that we currently anticipate.</w:t>
      </w:r>
    </w:p>
    <w:p>
      <w:pPr>
        <w:spacing w:after="0" w:line="7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submitted to the FAA a transition plan for merging the day-to-day operations of American and US Airways under a single operating certificate. The issuance of a single operating certificate will occur when the FAA agrees that we have achieved a level of integration that can be safely managed under one certificate. While the parties currently believe that such approval can be obtained within two years from the closing of the Merger, the actual time required and cost incurred to receive this approval cannot be predicted. Any delay in the grant of such approval or increase in costs beyond those presently expected could have a material adverse effect on the completion date of our integration plan and receipt of the benefits expected from that plan.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We may face challenges in integrating our computer, communications and other technology systems"</w:t>
      </w:r>
      <w:r>
        <w:rPr>
          <w:rFonts w:ascii="Arial" w:cs="Arial" w:eastAsia="Arial" w:hAnsi="Arial"/>
          <w:sz w:val="18"/>
          <w:szCs w:val="18"/>
          <w:color w:val="auto"/>
        </w:rPr>
        <w:t xml:space="preserve"> below.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Accordingly, we may not be able to realize the contemplated benefits of the Merger fully, or at all, or it may take longer and cost more to realize such benefits than expected.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indebtedness and other obligations are substantial and could adversely affect our business and liquidity.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and substantial non-cancelable obligations under aircraft and related spare engine purchase agreements. Moreover, currently a substantial portion of our assets are pledged to secure our indebtedness. Our substantial indebtedness and other obligations could have important consequences. For example, they:</w:t>
      </w:r>
    </w:p>
    <w:p>
      <w:pPr>
        <w:spacing w:after="0" w:line="79" w:lineRule="exact"/>
        <w:rPr>
          <w:sz w:val="20"/>
          <w:szCs w:val="20"/>
          <w:color w:val="auto"/>
        </w:rPr>
      </w:pPr>
    </w:p>
    <w:p>
      <w:pPr>
        <w:jc w:val="both"/>
        <w:ind w:left="1300" w:hanging="320"/>
        <w:spacing w:after="0" w:line="256"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to withstand operating risks that are customary in the industry, capital expenditures, acquisitions, investments, integration costs, and general corporate purposes, and adversely affect the terms on which such funding can be obtained;</w:t>
      </w:r>
    </w:p>
    <w:p>
      <w:pPr>
        <w:ind w:left="1300" w:hanging="320"/>
        <w:spacing w:after="0" w:line="250"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us more vulnerable to economic downturns and catastrophic external events;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contain restrictive covenants that could:</w:t>
      </w:r>
    </w:p>
    <w:p>
      <w:pPr>
        <w:spacing w:after="0" w:line="9" w:lineRule="exact"/>
        <w:rPr>
          <w:rFonts w:ascii="Arial" w:cs="Arial" w:eastAsia="Arial" w:hAnsi="Arial"/>
          <w:sz w:val="18"/>
          <w:szCs w:val="18"/>
          <w:color w:val="auto"/>
        </w:rPr>
      </w:pPr>
    </w:p>
    <w:p>
      <w:pPr>
        <w:ind w:left="1620" w:right="20" w:hanging="315"/>
        <w:spacing w:after="0" w:line="250"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jc w:val="both"/>
        <w:ind w:left="1620" w:hanging="315"/>
        <w:spacing w:after="0" w:line="250"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limit our ability to withstand competitive pressures and reduce our flexibility in responding to changing business and economic conditions.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business plan contemplates significant investments in modernizing our fleet and integrating the American and US Airways businesses. Significant capital resources will be required to execute this plan, and, as a result, we estimate that, based on our commitments as of March 31, 2014, our planned aggregate expenditures for aircraft purchase commitments and certain engines on a consolidated basis for calendar years 2014-2018 would be approximately $20.6 billion, of which $17.5 billion represents commitments by American. We also currently anticipate cash transition costs to integrate our businesses following the Merger to be approximately $1.2 billion, and these costs could exceed our expectations. Accordingly, we will need substantial financing or other capital resources. In addition, as of the date of this report, we had not secured financing commitments for some of the aircraft that we have on order, and we cannot be assured of the availability or cost of that financing. In particular, we do not have financing commitments for the following aircraft currently on order and scheduled to be delivered through 2016: 53 Airbus 320 family aircraft, 2 Boeing 737 family aircraft, 9 Boeing 777-300ER aircraft and 18 Boeing 787 family aircraft. In addition, we do not have financing commitments in place for the majority of aircraft currently on order and scheduled to be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68" w:right="239" w:bottom="1440" w:gutter="0" w:footer="0" w:header="0"/>
        </w:sectPr>
      </w:pPr>
    </w:p>
    <w:bookmarkStart w:id="84" w:name="page85"/>
    <w:bookmarkEnd w:id="84"/>
    <w:p>
      <w:pPr>
        <w:jc w:val="both"/>
        <w:spacing w:after="0" w:line="290" w:lineRule="auto"/>
        <w:rPr>
          <w:sz w:val="20"/>
          <w:szCs w:val="20"/>
          <w:color w:val="auto"/>
        </w:rPr>
      </w:pPr>
      <w:r>
        <w:rPr>
          <w:rFonts w:ascii="Arial" w:cs="Arial" w:eastAsia="Arial" w:hAnsi="Arial"/>
          <w:sz w:val="16"/>
          <w:szCs w:val="16"/>
          <w:color w:val="auto"/>
        </w:rPr>
        <w:t>delivered in 2017 and beyond. The number of aircraft for which we do not have financing may change as we exercise purchase options or otherwise change our purchase and delivery schedules. If we are unable to arrange financing for such aircraft at customary advance rates and on terms and conditions acceptable to us, we may need to use cash from operations or cash on hand to purchase such aircraft or may seek to negotiate deferrals for such aircraft with the aircraft manufacturers. Depending on numerous factors, many of which are out of our control, such as the state of the domestic and global economies, the capital and credit markets’ view of our prospects and the airline industry in general, and the general availability of debt and equity capital at the time we seek capital, the financing or other capital resources that we will need may not be available to us, or may only be available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16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Increased costs of financing, a reduction in the availability of financing and fluctuations in interest rates could adversely affect our liquidity, results of operations and financial condition.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Concerns about the systemic impact of inflation, the availability and cost of credit, energy costs and geopolitical issues, combined with continued changes in business activity levels and consumer confidence, increased unemployment and volatile oil prices, have in the past and may in the future contribute to volatility in the capital and credit markets. These market conditions could result in illiquid credit markets and wider credit spreads. Any such changes in the domestic and global financial markets may increase our costs of financing and adversely affect our ability to obtain financing needed for the acquisition of aircraft that we have contractual commitments to purchase and for other types of financings we may seek in order to refinance debt maturities, raise capital or fund other types of obligations. Any downgrades to our credit rating may likewise increase the cost and reduce the availability of financing.</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a substantial portion of our indebtedness bears interest at fluctuating interest rates, primarily based on the London interbank offered rate for deposits of U.S. dollars (LIBOR). LIBOR tends to fluctuate based on general economic conditions, general interest rates, rates set by the Federal Reserve and other central banks, and the supply of and demand for credit in the London interbank market. We have not hedged our interest rate exposure with respect to our 2013 Citicorp Credit Facility, the Credit Facilities and other of our floating rate debt, and accordingly, our interest expense for any particular period may fluctuate based on LIBOR and other variable interest rates. To the extent these interest rates increase, our interest expense will increase, in which event we may have difficulties making interest payments and funding our other fixed costs, and our available cash flow for general corporate requirements may be adversely affected.</w:t>
      </w:r>
    </w:p>
    <w:p>
      <w:pPr>
        <w:spacing w:after="0" w:line="189" w:lineRule="exact"/>
        <w:rPr>
          <w:sz w:val="20"/>
          <w:szCs w:val="20"/>
          <w:color w:val="auto"/>
        </w:rPr>
      </w:pPr>
    </w:p>
    <w:p>
      <w:pPr>
        <w:ind w:left="660" w:right="20"/>
        <w:spacing w:after="0" w:line="381" w:lineRule="auto"/>
        <w:rPr>
          <w:sz w:val="20"/>
          <w:szCs w:val="20"/>
          <w:color w:val="auto"/>
        </w:rPr>
      </w:pPr>
      <w:r>
        <w:rPr>
          <w:rFonts w:ascii="Arial" w:cs="Arial" w:eastAsia="Arial" w:hAnsi="Arial"/>
          <w:sz w:val="15"/>
          <w:szCs w:val="15"/>
          <w:b w:val="1"/>
          <w:bCs w:val="1"/>
          <w:i w:val="1"/>
          <w:iCs w:val="1"/>
          <w:color w:val="auto"/>
        </w:rPr>
        <w:t>Our high level of fixed obligations may limit our ability to fund general corporate requirements and obtain additional financing, may limit our flexibility in responding to competitive developments and causes our business to be vulnerable to adverse economic and industry conditions.</w:t>
      </w:r>
    </w:p>
    <w:p>
      <w:pPr>
        <w:spacing w:after="0" w:line="1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significant amount of fixed obligations, including debt, pension costs, aircraft leases and financings, aircraft purchase commitments, leases and developments of airport and other facilities and other cash obligations. We also have certain guaranteed costs associated with our regional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the substantial fixed costs associated with these obligations:</w:t>
      </w:r>
    </w:p>
    <w:p>
      <w:pPr>
        <w:spacing w:after="0" w:line="117" w:lineRule="exact"/>
        <w:rPr>
          <w:sz w:val="20"/>
          <w:szCs w:val="20"/>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decrease in revenues results in a disproportionately greater percentage decrease in earnings;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not have sufficient liquidity to fund all of these fixed obligations if our revenues decline or costs increase; and</w:t>
      </w:r>
    </w:p>
    <w:p>
      <w:pPr>
        <w:spacing w:after="0" w:line="9" w:lineRule="exact"/>
        <w:rPr>
          <w:rFonts w:ascii="Arial" w:cs="Arial" w:eastAsia="Arial" w:hAnsi="Arial"/>
          <w:sz w:val="18"/>
          <w:szCs w:val="18"/>
          <w:color w:val="auto"/>
        </w:rPr>
      </w:pPr>
    </w:p>
    <w:p>
      <w:pPr>
        <w:ind w:left="1620" w:hanging="640"/>
        <w:spacing w:after="0" w:line="261" w:lineRule="auto"/>
        <w:tabs>
          <w:tab w:leader="none" w:pos="129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have to use our working capital to fund these fixed obligations instead of funding general corporate requirements, including capital expenditures.</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b w:val="1"/>
          <w:bCs w:val="1"/>
          <w:i w:val="1"/>
          <w:iCs w:val="1"/>
          <w:color w:val="auto"/>
        </w:rPr>
        <w:t>We have significant pension and other post-employment benefit funding obligations, which may adversely affect our liquidity, results of operations and financial condition.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Currently, our minimum funding obligation for our pension plans is subject to temporary favorable rules that are scheduled to expire at the end of 2017. Upon the expiration of those rules, our funding obligations are likely to increase materially. In addition, we may have significant obligations for other post-employment benefits depending on the outcome of an adversary proceeding related to retiree medical and life insurance obligations filed in the Chapter 11 cases.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76" w:right="239" w:bottom="1440" w:gutter="0" w:footer="0" w:header="0"/>
        </w:sectPr>
      </w:pPr>
    </w:p>
    <w:bookmarkStart w:id="85" w:name="page86"/>
    <w:bookmarkEnd w:id="85"/>
    <w:p>
      <w:pPr>
        <w:ind w:left="660"/>
        <w:spacing w:after="0" w:line="277" w:lineRule="auto"/>
        <w:rPr>
          <w:sz w:val="20"/>
          <w:szCs w:val="20"/>
          <w:color w:val="auto"/>
        </w:rPr>
      </w:pPr>
      <w:r>
        <w:rPr>
          <w:rFonts w:ascii="Arial" w:cs="Arial" w:eastAsia="Arial" w:hAnsi="Arial"/>
          <w:sz w:val="18"/>
          <w:szCs w:val="18"/>
          <w:b w:val="1"/>
          <w:bCs w:val="1"/>
          <w:i w:val="1"/>
          <w:iCs w:val="1"/>
          <w:color w:val="auto"/>
        </w:rPr>
        <w:t>Any failure to comply with the covenants contained in our financing arrangements may have a material adverse effect on our business, results of operations and financial condition.</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terms of our 2013 Citicorp Credit Facility and the Credit Facilities require us to ensure that AAG and its restricted subsidiaries maintain consolidated unrestricted cash and cash equivalents and amounts available to be drawn under revolving credit facilities in an aggregate amount not less than $2.0 billion, and the 2013 Citicorp Credit Facility also requires us and the other obligors thereunder to hold not less than $750 million (subject to partial reductions upon certain reductions in the outstanding amount of the loan) of that amount in accounts subject to control agreements.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ability to comply with these liquidity covenants while paying the fixed costs associated with our contractual obligations and our other expenses, including significant pension and other post-employment funding obligations and cash transition costs associated with the Merger, will depend on our operating performance and cash flow, which are seasonal, as well as factors including fuel costs and general economic and political conditions.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our credit facilities and certain other financing arrangements include covenants that, among other things, limit our ability to pay dividends and make certain other payments, make certain investments, incur additional indebtedness, enter into certain affiliate transactions and engage in certain business activities, in each case subject to certain exceptions.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factors affecting our liquidity (and our ability to comply with related liquidity and other covenants) will remain subject to significant fluctuations and uncertainties, many of which are outside our control. Any breach of our liquidity and other covenants or failure to timely pay our obligations could result in a variety of adverse consequences, including the acceleration of our indebtedness, the withholding of credit card proceeds by our credit card processors and the exercise of remedies by our creditors and lessors. In such a situation, we may not be able to fulfill our contractual obligations, repay the accelerated indebtedness, make required lease payments or otherwise cover our fixed costs.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If our financial condition worsens, provisions in our credit card processing and other commercial agreements may adversely affect our liquidity.</w:t>
      </w:r>
    </w:p>
    <w:p>
      <w:pPr>
        <w:spacing w:after="0" w:line="2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agreements with companies that process customer credit card transactions for the sale of air travel and other services. These agreements allow these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company, but for which we have not yet provided the air transportation. We are not currently required to maintain any holdbacks pursuant to these requirements. These holdback requirements can be modified at the discretion of the processing companies upon the occurrence of specific events, including material adverse changes in our financial condition. An increase in the current holdback balances to higher percentages up to and including 100% of relevant advanced ticket sales could materially reduce our liquidity. Likewise, other of our commercial agreements contain provisions that allow other entities to impose less favorable terms, including the acceleration of amounts due, in the event of material adverse changes in our financial condition.</w:t>
      </w:r>
    </w:p>
    <w:p>
      <w:pPr>
        <w:spacing w:after="0" w:line="16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The historical consolidated financial information contained in this report is not directly comparable to our financial information for prior or future periods</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number of factors render our historical consolidated financial information not directly comparable to our financial information for prior or future periods, including:</w:t>
      </w:r>
    </w:p>
    <w:p>
      <w:pPr>
        <w:spacing w:after="0" w:line="62" w:lineRule="exact"/>
        <w:rPr>
          <w:sz w:val="20"/>
          <w:szCs w:val="20"/>
          <w:color w:val="auto"/>
        </w:rPr>
      </w:pPr>
    </w:p>
    <w:p>
      <w:pPr>
        <w:ind w:left="1380" w:hanging="400"/>
        <w:spacing w:after="0" w:line="258" w:lineRule="auto"/>
        <w:tabs>
          <w:tab w:leader="none" w:pos="1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because the Merger was completed on December 9, 2013, AAG's 2013 consolidated results of operations include the results of US Airways Group and its subsidiaries only for 23 days of 2013;</w:t>
      </w:r>
    </w:p>
    <w:p>
      <w:pPr>
        <w:spacing w:after="0" w:line="1" w:lineRule="exact"/>
        <w:rPr>
          <w:rFonts w:ascii="Arial" w:cs="Arial" w:eastAsia="Arial" w:hAnsi="Arial"/>
          <w:sz w:val="18"/>
          <w:szCs w:val="18"/>
          <w:color w:val="auto"/>
        </w:rPr>
      </w:pPr>
    </w:p>
    <w:p>
      <w:pPr>
        <w:ind w:left="1380" w:hanging="400"/>
        <w:spacing w:after="0" w:line="250" w:lineRule="auto"/>
        <w:tabs>
          <w:tab w:leader="none" w:pos="1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Merger was accounted for using the acquisition method of accounting with AAG as the acquiring entity, resulting in an adjustment to the carrying values of the assets and liabilities of US Airways Group compared to its historical carrying values;</w:t>
      </w:r>
    </w:p>
    <w:p>
      <w:pPr>
        <w:jc w:val="both"/>
        <w:ind w:left="1380" w:hanging="400"/>
        <w:spacing w:after="0" w:line="250" w:lineRule="auto"/>
        <w:tabs>
          <w:tab w:leader="none" w:pos="1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during the course of our Chapter 11 Cases and in connection with our emergence from Chapter 11 and the effectiveness of the Plan, we recorded material expenses, charges, costs and other accounting entries related to our restructuring process, many of which generally had not been incurred in the past and are not expected to be incurred in the future; and</w:t>
      </w:r>
    </w:p>
    <w:p>
      <w:pPr>
        <w:spacing w:after="0" w:line="1" w:lineRule="exact"/>
        <w:rPr>
          <w:rFonts w:ascii="Arial" w:cs="Arial" w:eastAsia="Arial" w:hAnsi="Arial"/>
          <w:sz w:val="18"/>
          <w:szCs w:val="18"/>
          <w:color w:val="auto"/>
        </w:rPr>
      </w:pPr>
    </w:p>
    <w:p>
      <w:pPr>
        <w:ind w:left="1380" w:hanging="400"/>
        <w:spacing w:after="0" w:line="261" w:lineRule="auto"/>
        <w:tabs>
          <w:tab w:leader="none" w:pos="1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prior accounting presentations, including the manner in which we report our regional operations, have been changed and historical results restated to conform to the current presentation.</w:t>
      </w:r>
    </w:p>
    <w:p>
      <w:pPr>
        <w:spacing w:after="0" w:line="76"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Due to these and other factors largely related to the Merger and the Plan, investors are cautioned as to the limitations of our historical financial statements and urged to review carefully Part I, Item 2. Management’s Discussion and Analysis of Financial Condition and Results of Operations.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76"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b w:val="1"/>
          <w:bCs w:val="1"/>
          <w:i w:val="1"/>
          <w:iCs w:val="1"/>
          <w:color w:val="auto"/>
        </w:rPr>
        <w:t>Union disputes, employee strikes and other labor-related disruptions may adversely affect our operations.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Relations between air carriers and labor unions in the U.S. are governed by the Railway Labor Act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9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color w:val="auto"/>
        </w:rPr>
        <w:t xml:space="preserve">We are currently in negotiations with </w:t>
      </w:r>
      <w:r>
        <w:rPr>
          <w:rFonts w:ascii="Arial" w:cs="Arial" w:eastAsia="Arial" w:hAnsi="Arial"/>
          <w:sz w:val="19"/>
          <w:szCs w:val="19"/>
          <w:color w:val="auto"/>
        </w:rPr>
        <w:t>the</w:t>
      </w:r>
      <w:r>
        <w:rPr>
          <w:rFonts w:ascii="Arial" w:cs="Arial" w:eastAsia="Arial" w:hAnsi="Arial"/>
          <w:sz w:val="18"/>
          <w:szCs w:val="18"/>
          <w:color w:val="auto"/>
        </w:rPr>
        <w:t xml:space="preserve"> IAM with respect to US Airways mechanic and related employees, stock clerks and fleet service employees, and the IAM has requested that the NMB issue a proffer of arbitration. To date, no such proffer has been issued.</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None of these unions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See Part I, Item 1 Business-"Employees and Labor Relations" in our 2013 Form 10-K.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inability to maintain labor costs at competitive levels would harm our financial performance.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Currently, we believe our labor costs are competitive relative to the other large network carriers. However, we cannot provide assurance that labor costs going forward will remain competitive because some of our agreements are amendable now and others may become amendable, competitors may significantly reduce their labor costs or we may agree to higher-cost provisions in our current or future labor negotiations. As of December 31, 2013, approximately 73% of our employees were represented for collective bargaining purposes by labor unions. Some of our unions have brought and may continue to bring grievances to binding arbitration, including related to wages. Unions may also bring court actions and may seek to compel us to engage in bargaining processes where we believe we have no such obligation. If successful, there is a risk these judicial or arbitral avenues could create material additional costs that we did not anticipate.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hub airports could have a material adverse impact on our operations.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operate principally through hubs in Charlotte, Chicago, Dallas/Fort Worth, Los Angeles, Miami, New York City, Philadelphia, Phoenix and Washington, D.C. Substantially all of our flights either originate in or fly into one of these locations. A significant interruption or disruption in service at one of our hubs resulting from air traffic control (ATC) delays, weather conditions, natural disasters, growth constraints, relations with third-party service providers, failure of computer systems, facility disruptions, labor relations, power supplies, fuel supplies, terrorist activities or otherwise could result in the cancellation or delay of a significant portion of our flights and, as a result, could have a severe impact on our business, results of operations and financial condition.</w:t>
      </w:r>
    </w:p>
    <w:p>
      <w:pPr>
        <w:spacing w:after="0" w:line="19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order to operate our existing and proposed flight schedule and, where appropriate, add service along new or existing routes, we must be able to maintain and/or obtain adequate gates, ticketing facilities, operations areas, and office space. As airports around the world become more congested, we will not always be able to ensure that our plans for new service can be implemented in a commercially viable manner, given operating constraints at airports throughout our network, including due to inadequate facilities at desirable airports. Further, our operating costs at airports at which we operate, including our hubs, may increase significantly because of capital improvements at such airports that we may be required to fund, directly or indirectly. In some circumstances, such costs could be imposed by the relevant airport authority without our approval.</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76" w:right="239" w:bottom="1440" w:gutter="0" w:footer="0" w:header="0"/>
        </w:sectPr>
      </w:pPr>
    </w:p>
    <w:bookmarkStart w:id="87" w:name="page88"/>
    <w:bookmarkEnd w:id="87"/>
    <w:p>
      <w:pPr>
        <w:jc w:val="both"/>
        <w:ind w:firstLine="648"/>
        <w:spacing w:after="0" w:line="289" w:lineRule="auto"/>
        <w:rPr>
          <w:sz w:val="20"/>
          <w:szCs w:val="20"/>
          <w:color w:val="auto"/>
        </w:rPr>
      </w:pPr>
      <w:r>
        <w:rPr>
          <w:rFonts w:ascii="Arial" w:cs="Arial" w:eastAsia="Arial" w:hAnsi="Arial"/>
          <w:sz w:val="16"/>
          <w:szCs w:val="16"/>
          <w:color w:val="auto"/>
        </w:rPr>
        <w:t>In addition, operations at four major domestic airports, certain smaller domestic airports and certain foreign airports served by us are regulated by governmental entities through the use of slots or similar regulatory mechanisms which limit the rights of carriers to conduct operations at those airports. Each slot represents the authorization to land at or take off from the particular airport during a specified time period and may have other operational restrictions as well. In the U.S., the FAA currently regulates the allocation of slot or slot exemptions at Ronald Reagan Washington National Airport and three New York City airports: Newark, JFK and LaGuardia. Our operations at these airports generally require the allocation of Slots or similar regulatory authority. Similarly, our operations at international airports in Frankfurt, London Heathrow, Paris and other airports outside the U.S. are regulated by local slot authorities pursuant to the International Air Transport Association’s Worldwide Scheduling Guidelines and applicable local law. We cannot provide any assurance that regulatory changes regarding the allocation of slots or similar regulatory authority will not have a material adverse impact on our operations. For example, the FAA is planning a new rulemaking in 2014 to modify the current rules limiting flight operations at New York City’s JFK and LaGuardia airports.</w:t>
      </w:r>
    </w:p>
    <w:p>
      <w:pPr>
        <w:spacing w:after="0" w:line="2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connection with the settlement of litigation relating to the Merger brought by the DOJ and certain states, we entered into settlement agreements that provide for certain asset divestitures. In the agreement with the United States government, among other things, we agreed to divest and not reacquire for 10 years certain rights and assets consisting of 52 slot pairs at Washington Reagan National Airport, and 17 slot pairs at LaGuardia, in each case together with associated gates and related ground facilities necessary to operate those slot pairs, and two gates at each of Boston Logan International Airport, Chicago O’Hare International Airport, Dallas Love Field, Los Angeles International Airport and Miami International Airport. The agreement with the plaintiff states requires our airlines, subject to certain conditions and exceptions, to maintain certain hub operations in a manner generally consistent with historical operations and to continue to provide scheduled daily service to certain specified communities, both for limited periods of time. In addition, we entered into a related settlement with the DOT related to small community service from Washington Reagan National Airport. Further, as a consequence of the Merger clearance process in the EU, we are required to make available one pair of London Heathrow slots for use by another carrier between London and Philadelphia, which the acquiring carrier can deploy on another Heathrow city pair after operating the slots on London-Philadelphia for a period of not less than three consecutive years, and, along with our JBA partners, we are required to make available for an initial period of up to seven years one pair of Heathrow slots for service between London and Miami that may be operated via an intermediate point.</w:t>
      </w:r>
    </w:p>
    <w:p>
      <w:pPr>
        <w:spacing w:after="0" w:line="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slots (where applicable), or office space could have a material adverse effect on our business, results of operations and financial condition.</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If we incur problems with any of our third-party regional operators or third-party service providers, our operations could be adversely affected by a resulting decline in revenue or negative public perception about our services.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primarily under capacity purchase agreements. Due to our reliance on third parties to provide these essential services, we are subject to the risks of disruptions to their operations, which may result from many of the same risk factors disclosed in this report, such as the impact of adverse economic conditions, and other risk factors, such as a bankruptcy restructuring of any of the regional operators. We may also experience disruption to our regional operations if we terminate the capacity purchase agreement with one or more of our current operators and transition the services to another provider. As our regional segment provides revenues to us directly and indirectly (by providing flow traffic to our hubs), any significant disruption to our regional operations would have a material adverse effect on our business, results of operations and financial condition.</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provision of information technology and services, regional operations, aircraft maintenance, ground services and facilities, reservations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Volatility in fuel prices, disruptions to capital markets and adverse economic conditions in general have subjected certain of these third-party regional carriers to significant financial pressures, which have led to several bankruptcies among these carriers. Any material problems with the efficiency and timeliness of contract services, resulting from financial hardships or otherwise, could have a material adverse effect on our business, results of operations and financial condition.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rely on third-party distribution channels and must manage effectively the costs, rights and functionality of these channels.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rely on third-party distribution channels, including those provided by or through global distribution systems, or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76" w:right="239" w:bottom="1440" w:gutter="0" w:footer="0" w:header="0"/>
        </w:sectPr>
      </w:pPr>
    </w:p>
    <w:bookmarkStart w:id="88" w:name="page89"/>
    <w:bookmarkEnd w:id="88"/>
    <w:p>
      <w:pPr>
        <w:jc w:val="both"/>
        <w:spacing w:after="0" w:line="290" w:lineRule="auto"/>
        <w:rPr>
          <w:sz w:val="20"/>
          <w:szCs w:val="20"/>
          <w:color w:val="auto"/>
        </w:rPr>
      </w:pPr>
      <w:r>
        <w:rPr>
          <w:rFonts w:ascii="Arial" w:cs="Arial" w:eastAsia="Arial" w:hAnsi="Arial"/>
          <w:sz w:val="16"/>
          <w:szCs w:val="16"/>
          <w:color w:val="auto"/>
        </w:rPr>
        <w:t>GDSs (e.g., Amadeus, Sabre and Travelport), conventional travel agents and online travel agents, or OTAs (e.g., Expedia, Orbitz and Travelocity), to distribute a significant portion of our airline tickets, and we expect in the future to continue to rely on these channels and hope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call centers and our website.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third-party distribution channels, while maintaining an industry-competitive cost structure.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16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has passed laws, and DOT, the FAA, the TSA and the Department of Homeland Security have issued a number of directives and other regulations, that affect the airline industry. These requirements impose substantial costs on us and restrict the ways we may conduct our business.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Our failure to timely comply with these requirements has in the past and may in the future result in fines and other enforcement actions by the FAA or other regulators. In addition, the FAA recently issued its final regulations governing pilot rest periods and work hours for all airlines certificated under Part 121 of the Federal Aviation Regulations. The rule, which became effective on January 4, 2014, impacts the required amount and timing of rest periods for pilots between work assignments and modifies duty and rest requirements based on the time of day, number of scheduled segments, flight types, time zones, and other factors. These regulations, or other regulations, could have a material adverse effect on us and the industry.</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Recent DOT consumer rules require new procedures for customer handling during long onboard delays, further regulate airline interactions with passengers through the reservations process, at the airport, and on board the aircraft, and require new disclosures concerning airline fares and ancillary fees such as baggage fees. The DOT has been aggressively investigating alleged violations of these new rules. Other DOT rules apply to post-ticket purchase price increases and an expansion of tarmac delay regulations to international airlines.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62" w:lineRule="exact"/>
        <w:rPr>
          <w:sz w:val="20"/>
          <w:szCs w:val="20"/>
          <w:color w:val="auto"/>
        </w:rPr>
      </w:pPr>
    </w:p>
    <w:p>
      <w:pPr>
        <w:ind w:left="1380" w:hanging="400"/>
        <w:spacing w:after="0" w:line="258" w:lineRule="auto"/>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law which affect the services that can be offered by airlines in particular markets and at particular airports, or the types of fees that can be charged to passengers;</w:t>
      </w:r>
    </w:p>
    <w:p>
      <w:pPr>
        <w:spacing w:after="0" w:line="1" w:lineRule="exact"/>
        <w:rPr>
          <w:rFonts w:ascii="Arial" w:cs="Arial" w:eastAsia="Arial" w:hAnsi="Arial"/>
          <w:sz w:val="18"/>
          <w:szCs w:val="18"/>
          <w:color w:val="auto"/>
        </w:rPr>
      </w:pPr>
    </w:p>
    <w:p>
      <w:pPr>
        <w:ind w:left="1380" w:right="20" w:hanging="400"/>
        <w:spacing w:after="0" w:line="250" w:lineRule="auto"/>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and other arrangements with other airlines;</w:t>
      </w:r>
    </w:p>
    <w:p>
      <w:pPr>
        <w:ind w:left="1380" w:hanging="400"/>
        <w:spacing w:after="0" w:line="250" w:lineRule="auto"/>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ind w:left="1380" w:hanging="400"/>
        <w:spacing w:after="0" w:line="250" w:lineRule="auto"/>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 (for example, a "passenger bill of rights");</w:t>
      </w:r>
    </w:p>
    <w:p>
      <w:pPr>
        <w:ind w:left="1380" w:right="20" w:hanging="400"/>
        <w:spacing w:after="0" w:line="250" w:lineRule="auto"/>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 and</w:t>
      </w:r>
    </w:p>
    <w:p>
      <w:pPr>
        <w:ind w:left="1380" w:hanging="400"/>
        <w:spacing w:after="0"/>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1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2013, the FAA announced the imposition of furloughs that resulted in reduced staffing, including among air traffic controllers, in connection with its implementation of budget reductions related to the federal government’s response to the so-called "sequester" of government funding. These furloughs have been suspended as a result of Congressional legislation.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76" w:right="239" w:bottom="1440" w:gutter="0" w:footer="0" w:header="0"/>
        </w:sectPr>
      </w:pPr>
    </w:p>
    <w:bookmarkStart w:id="89" w:name="page90"/>
    <w:bookmarkEnd w:id="89"/>
    <w:p>
      <w:pPr>
        <w:jc w:val="both"/>
        <w:spacing w:after="0" w:line="259" w:lineRule="auto"/>
        <w:rPr>
          <w:sz w:val="20"/>
          <w:szCs w:val="20"/>
          <w:color w:val="auto"/>
        </w:rPr>
      </w:pPr>
      <w:r>
        <w:rPr>
          <w:rFonts w:ascii="Arial" w:cs="Arial" w:eastAsia="Arial" w:hAnsi="Arial"/>
          <w:sz w:val="18"/>
          <w:szCs w:val="18"/>
          <w:color w:val="auto"/>
        </w:rPr>
        <w:t>However, we cannot predict whether there will be further furloughs or the impact of any such furloughs on our business. Any significant reduction in air traffic capacity at key airports in the U.S. could have a material adverse effect on our business, results of operations and financial condition. We also experienced delays in routine non-operational interactions with the FAA as a result of the government shut-down in 2013, and we may experience delays again in the event of any future government shut-down.</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 ATC system is not successfully managing the growing demand for U.S. air travel. Air traffic controllers rely on outdated technologies that routinely overwhelm the system and compel airlines to fly inefficient, indirect routes. On February 14, 2012, the FAA Modernization and Reform Act of 2012 was signed. The law provides funding for the FAA to rebuild its ATC system, including switching from radar to a GPS-based system. It is uncertain when any improvements to the ATC system will take effect. Failure to update the ATC system in a timely manner and the substantial funding requirements that may be imposed on airlines of a modernized ATC system may have a material adverse effect on our business.</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ability of U.S. airlines to operate international routes is subject to change because the applicable arrangements between the U.S. and foreign governments may be amended from time to time and appropriate Slots or facilities may not be made available. We currently operate on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routes, such an event could have a material adverse impact on us and could result in the impairment of material amounts of our related tangible and intangible assets. In addition, competition from revenue-sharing joint ventures, JBAs, and other alliance arrangements by and among other airlines could impair the value of our business and assets on the open skies routes.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London’s Heathrow Airport. As a result of the agreement, we face increased competition in these markets, including Heathrow Airport. In addition, the open skies agreement between the U.S. and Brazil, which was signed in 2010 and takes full effect in 2015, has resulted in increased competition in the U.S./Brazil market.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airline industry is subject to extensive government fees and taxation that negatively impact our revenue.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a per-ticket tax on passengers to fund the TSA, which fee is scheduled to increase effective July 1, 2014), and pass along the collected amounts to the appropriate governmental agencies. Although these taxes are not operating expenses, they represent an additional cost to our customers. There are continuing efforts in Congress and in other countries to raise different portions of the various taxes, fees, and charges imposed on airlines and their passengers. Increases in such taxes, fees and charges could negatively impact our business, results of operations and financial condition.</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 For example, in January 2014, Congress restructured the September 11 security fee, which will increase the fee on some customers.</w:t>
      </w:r>
    </w:p>
    <w:p>
      <w:pPr>
        <w:spacing w:after="0" w:line="18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implemented several new measures designed to increase revenue and offset costs. These measures include charging separately for services that had previously been included within the price of a ticket and increasing other pre-existing fees. We may introduce additional initiatives in the future; however, as time goes on, we expect that it will be more difficult to identify and implement additional initiatives. We cannot assure you that these new measures or any future initiatives will be successful in increasing our revenues. Additionally, the implementation of these initiatives creates logistical challenges that could harm the operational performance of our airline. Also, the new and increased fees might reduce the demand for air travel on our airline or across the industry in general, particularly if weakened economic conditions continue to make our customers more sensitive to increased travel costs or provide a significant competitive advantage to other carriers that determine not to</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76"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institute similar charges.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be adversely affected by conflicts overseas or terrorist attacks; the travel industry continues to face ongoing security concerns.</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and attempted attacks materially impacted and continue to impact air travel. Increased security procedures introduced at airports since the attacks and other such measures as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U.S. Customs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w:t>
      </w:r>
    </w:p>
    <w:p>
      <w:pPr>
        <w:spacing w:after="0" w:line="182"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20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operate a global business with operations outside of the U.S. from which American derived approximately 40% of its operating revenues and US Airways derived approximately 24% of its operating revenues in 2013, as measured and reported to the DOT. Our current international activities and prospects have been and in the future could be adversely affected by reversals or delays in the opening of foreign markets, exchange controls or other restrictions on repatriation of funds, currency and political risks (including changes in exchange rates and currency devaluations, which are more likely in countries with exchange controls such as Venezuela and Argentina), environmental regulation, increases in taxes and fees and changes in international government regulation of our operations, including the inability to obtain or retain needed route authorities and/or Slots.</w:t>
      </w:r>
    </w:p>
    <w:p>
      <w:pPr>
        <w:spacing w:after="0" w:line="12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particular, fluctuations in foreign currencies, including devaluations, and exchange controls and other restrictions on the repatriation of funds, have significantly affected and may continue to significantly affect our operating performance, liquidity and the value of any cash held outside the U.S. in local currency. For example, the business environment in Venezuela has been challenging, with economic uncertainty fueled by currency devaluation, high inflation and governmental restrictions, including currency exchange and payment controls, price controls and the possibility of expropriation of property or other resources. As of March 31, 2014, approximately $750 million of our unrestricted cash balance was held in Venezuelan bolivars, valued at the weighted average applicable exchange rate of 6.32 bolivars to the dollar. This includes approximately $94 million valued at 4.3 bolivars, approximately $611 million valued at 6.3 bolivars, and approximately $45 million valued at 10.7 bolivars, with the rate depending on the date we submitted our repatriation request to the Venezuelan government. In the first quarter of 2014, the Venezuelan government announced that a newly-implemented system (SICAD I) will determine the exchange rate (which fluctuates as determined by weekly auctions and at March 31, 2014 was 10.7 bolivars to the dollar) for repatriation of cash proceeds from ticket sales after January 1, 2014, and introduced new procedures for approval of repatriation of local currency. We are continuing to work with Venezuelan authorities regarding the timing and exchange rate applicable to the repatriation of funds held in local currency, are monitoring this situation closely and continue to evaluate our holdings of Venezuelan bolivars for potential impairment. Further, the current, devalued rates may have an ongoing adverse effect on our reported results if we are unable to fully adjust prices on flights to and from Venezuela, of which there can be no assurance. More 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76" w:right="23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b w:val="1"/>
          <w:bCs w:val="1"/>
          <w:i w:val="1"/>
          <w:iCs w:val="1"/>
          <w:color w:val="auto"/>
        </w:rPr>
        <w:t>We are subject to many forms of environmental regulation and may incur substantial costs as a result.</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including those relating to emissions to the air, discharges to surface and subsurface waters, safe drinking water, and the management of hazardous substances, oils and waste materials. Compliance with all environmental laws and regulations can require significant expenditures, and violations can lead to significant fines and penalties.</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EPA has proposed changes to underground storage tank regulations that could affect certain airport fuel hydrant systems. Airport systems that fall within threshold requirements would need to be modified in order to comply with applicable regulations. Additionally, the EPA has proposed the draft 2013 National Pollutant Discharge Elimination System General Permit for Stormwater Discharges from Industrial Activities. This permit would impose new limitations on certain discharges along with mandatory best management practices. Concurrently, California has proposed the State Final Draft Industrial General Permit for stormwater discharges. This permit employs the use of benchmark values to trigger response actions when exceeding those limits and eliminates group monitoring. These permits have not been finalized, and cost estimates have not been defined, but American and US Airways along with other airlines would share a portion of these costs at applicable airports. In addition to the proposed EPA and state regulations, several U.S. airport authorities are actively engaged in efforts to limit discharges of de-icing fluid to the environment, often by requiring airlines to participate in the building or reconfiguring of airport de-icing facilities. Such efforts are likely to impose additional costs and restrictions on airlines using those airports. We do not believe, however, that such environmental developments will have a material impact on our capital expenditures or otherwise materially adversely affect our operations, operating costs or competitive position.</w:t>
      </w:r>
    </w:p>
    <w:p>
      <w:pPr>
        <w:spacing w:after="0" w:line="1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objectives.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 We have liability for investigation and remediation costs at various sites, although such costs are currently not expected to have a material adverse effect on our business.</w:t>
      </w:r>
    </w:p>
    <w:p>
      <w:pPr>
        <w:spacing w:after="0" w:line="15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1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There is increasing global regulatory focus on climate change and greenhouse gas emissions. For example, the EU has established the Emissions Trading Scheme (ETS) to regulate carbon dioxide emissions in the EU. The EU adopted a directive under which each EU member state is required to extend the ETS to aviation operations. This directive would have required us, beginning in 2012, to annually submit emission allowances in order to operate flights to and from airports in the European Economic Area (EEA), including flights between the U.S. and EU member states. However, in an effort to allow ICAO time to propose an alternate scheme to manage global aviation emissions, in April 2013 the EU suspended for one year the ETS' application to flights entering and departing the EEA, limiting its application, for flights flown in 2012, to intra-EEA flights only. In October 2013, the ICAO Assembly adopted a resolution calling for the development through ICAO of a global, market-based scheme for aviation emissions, to be implemented in 2020. Subsequently, the EU has proposed amending the EU ETS so that the monitoring, reporting and submission of allowances for emissions from flights flown in 2013 would continue to be limited to only intra-EEA flights. For flights flown from 2014 to 2020, the scope of coverage under the amendment would include intra-EEA flights and the portion of aviation emissions of flights to and from EU member states that take place in European regional airspace. The U.S. enacted legislation in November 2012 which encourages the DOT to seek an international solution through ICAO and that will allow the U.S. Secretary of Transportation to prohibit U.S. airlines from participating in the ETS. Ultimately, the scope and application of ETS or other emissions trading schemes to our operations, now or in the near future, remains uncertain. We do not anticipate any significant emissions allowance expenditures in 2014. Beyond 2014, compliance with the ETS or similar emissions-related requirements could significantly increase our operating costs. Further, the potential impact of ETS or other emissions-related requirements on our costs will ultimately depend on a number of factors, including baseline emissions, the price of emission allowances and the number of future flights subject to ETS or other emissions-related requirements. These costs have not been completely defined and could fluctuate.</w:t>
      </w:r>
    </w:p>
    <w:p>
      <w:pPr>
        <w:spacing w:after="0" w:line="1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Similarly, within the U.S., there is an increasing trend toward regulating greenhouse gas emissions directly under the Clean Air Act. While the EPA's recent regulatory activity in this area has focused on industries other than aviation, it is possible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76" w:right="239" w:bottom="1440" w:gutter="0" w:footer="0" w:header="0"/>
        </w:sectPr>
      </w:pPr>
    </w:p>
    <w:bookmarkStart w:id="92" w:name="page93"/>
    <w:bookmarkEnd w:id="92"/>
    <w:p>
      <w:pPr>
        <w:jc w:val="both"/>
        <w:spacing w:after="0" w:line="273" w:lineRule="auto"/>
        <w:rPr>
          <w:sz w:val="20"/>
          <w:szCs w:val="20"/>
          <w:color w:val="auto"/>
        </w:rPr>
      </w:pPr>
      <w:r>
        <w:rPr>
          <w:rFonts w:ascii="Arial" w:cs="Arial" w:eastAsia="Arial" w:hAnsi="Arial"/>
          <w:sz w:val="17"/>
          <w:szCs w:val="17"/>
          <w:color w:val="auto"/>
        </w:rPr>
        <w:t>that future EPA regulations, or new legislation, could impact airlines. Several states are also considering initiatives to regulate emissions of greenhouse gases, primarily through the planned development of greenhouse gas emissions inventories and/or regional greenhouse gas cap and trade programs. These regulatory efforts, both internationally and in the U.S. at the federal and state levels, are still developing, and we cannot yet determine what the final regulatory programs will be in the U.S., the EU or in other areas in which we do business. However, such climate change-related regulatory activity in the future may adversely affect our business and financial results by requiring us to reduce our emissions, purchase allowances or otherwise pay for our emissions. Such activity may also impact us indirectly by increasing our operating costs, including fuel costs.</w:t>
      </w:r>
    </w:p>
    <w:p>
      <w:pPr>
        <w:spacing w:after="0" w:line="1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Governmental authorities in several U.S. and foreign cities are also considering, or have already implemented, aircraft noise reduction programs, including the imposition of nighttime curfews and limitations on daytime take-offs and landings. We have been able to accommodate local noise restrictions imposed to date, but our operations could be adversely affected if locally-imposed regulations become more restrictive or widespread.</w:t>
      </w:r>
    </w:p>
    <w:p>
      <w:pPr>
        <w:spacing w:after="0" w:line="23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are highly dependent on technology and automated systems to operate our business and achieve low operating costs. These technologies and systems include our computerized airline reservation systems,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 Our automated systems cannot be completely protected against other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you that our security measures, change control procedures or disaster recovery plans are adequate to prevent disruptions or delays. Disruption in or changes to these systems could result in a disruption to our business and the loss of important data. Any of the foregoing could result in a material adverse effect on our business, results of operations and financial condition.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Among the principal risks of integrating our businesses and operations are the risks relating to integrating various computer, communications and other technology systems, including designing and implementing an integrated customer reservations system, that will be necessary to operate US Airways and American as a single airline and to achieve cost synergies by eliminating redundancies in the businesses. The integration of these systems in a number of prior airline mergers has taken longer, been more disruptive and cost more than originally forecast. The implementation process to integrate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with any large project, there will be many factors that may materially affect the schedule, cost and execution of the integration of our computer, communications and other technology systems. These factors include, among others: problems during the design, implementation and testing phases; systems delays and/or malfunctions; the risk that suppliers and contractors will not perform as required under their contracts; the diversion of management attention from daily operations to the project; reworks due to unanticipated changes in business processes; challenges in simultaneously activating new systems throughout our global network; difficulty in training employees in the operations of new systems; the risk of security breach or disruption; and other unexpected events beyond our control. We cannot assure you that our security measures, change control procedures or disaster recovery plans will be adequate to prevent disruptions or delays.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68" w:right="239" w:bottom="1440" w:gutter="0" w:footer="0" w:header="0"/>
        </w:sectPr>
      </w:pPr>
    </w:p>
    <w:bookmarkStart w:id="93" w:name="page94"/>
    <w:bookmarkEnd w:id="93"/>
    <w:p>
      <w:pPr>
        <w:ind w:left="660"/>
        <w:spacing w:after="0" w:line="277" w:lineRule="auto"/>
        <w:rPr>
          <w:sz w:val="20"/>
          <w:szCs w:val="20"/>
          <w:color w:val="auto"/>
        </w:rPr>
      </w:pPr>
      <w:r>
        <w:rPr>
          <w:rFonts w:ascii="Arial" w:cs="Arial" w:eastAsia="Arial" w:hAnsi="Arial"/>
          <w:sz w:val="18"/>
          <w:szCs w:val="18"/>
          <w:b w:val="1"/>
          <w:bCs w:val="1"/>
          <w:i w:val="1"/>
          <w:iCs w:val="1"/>
          <w:color w:val="auto"/>
        </w:rPr>
        <w:t>Ongoing data security compliance requirements could increase our costs, and any significant data breach could harm our business, results of operations and financial condition.</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business requires the appropriate and secure utilization of customer and other sensitive information. We cannot be certain that advances in criminal capabilities (including cyber-attacks or cyber intrusions over the Internet, malware, computer viruses and the like), discovery of new vulnerabilities or attempts to exploit existing vulnerabilities in our systems, other data thefts, physical system or network break-ins or inappropriate access, or other developments will not compromise or breach the technology protecting the networks that access and store sensitive information. The risk of a security breach or disruption, particularly through cyber-attack or cyber intrusion, including by computer hackers, foreign governments and cyber terrorists, has increased as the number, intensity and sophistication of attempted attacks and intrusions from around the world have increased. Furthermore, there has been heightened legislative and regulatory focus on data security in the U.S. and abroad (particularly in the EU), including requirements for varying levels of customer notification in the event of a data breach.</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Failure to comply with the Payment Card Industry Standards or other privacy and data use and security requirements of our partners or related laws, rules and regulations to which we are subject may expose us to claims for contract breach, fines, sanctions or other penalties, which could materially and adversely affect our business, results of operations and financial condition. In addition, failure to address these issues appropriately could also give rise to additional legal risks, which, in turn, could increase the size and number of litigation claims and damages asserted or subject us to enforcement actions, fines and penalties and cause us to incur further related costs and expenses.</w:t>
      </w:r>
    </w:p>
    <w:p>
      <w:pPr>
        <w:spacing w:after="0" w:line="18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accident involving any of our aircraft or the aircraft of our regional or codeshare operators.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one of our aircraft, an aircraft that is operated under our brand by one of our regional operators or an aircraft that is operated by an airline with which we have a marketing alliance or codeshare relationship were to be involved in an accident, we could be exposed to significant tort liability. The insurance we carry to cover damages arising from any future accidents may be inadequate. In the event that our insurance is not adequate, we may be forced to bear substantial losses from an accident. In addition, any accident involving an aircraft that we operate, an aircraft that is operated under our brand by one of our regional operators or an aircraft that is operated by an airline that is one of our codeshare partners could create a public perception that our aircraft or those of our regional operators or codeshare partners are not safe or reliable, which could harm our reputation, result in air travelers being reluctant to fly on our aircraft or those of our regional operators or codeshare partners and adversely impact our business, results of operations and financial condition.</w:t>
      </w:r>
    </w:p>
    <w:p>
      <w:pPr>
        <w:spacing w:after="0" w:line="16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success of our business depends on, among other things, the ability to operate an optimum number and type of aircraft. In many cases, the aircraft we intend to operate are not yet in our fleet, but we have contractual commitments to purchase or lease them. If for any reason we were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depend on a limited number of suppliers for aircraft, aircraft engines and many aircraft and engine parts. As a result, we are vulnerable to any problems associated with the supply of those aircraft, parts and engines, including design defects, mechanical problems, contractual performance by the suppliers, or adverse perception by the public that would result in customer avoidance or in actions by the FAA resulting in an inability to operate our aircraft.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76" w:right="239" w:bottom="1440" w:gutter="0" w:footer="0" w:header="0"/>
        </w:sectPr>
      </w:pPr>
    </w:p>
    <w:bookmarkStart w:id="94" w:name="page95"/>
    <w:bookmarkEnd w:id="94"/>
    <w:p>
      <w:pPr>
        <w:ind w:left="660"/>
        <w:spacing w:after="0" w:line="308" w:lineRule="auto"/>
        <w:rPr>
          <w:sz w:val="20"/>
          <w:szCs w:val="20"/>
          <w:color w:val="auto"/>
        </w:rPr>
      </w:pPr>
      <w:r>
        <w:rPr>
          <w:rFonts w:ascii="Arial" w:cs="Arial" w:eastAsia="Arial" w:hAnsi="Arial"/>
          <w:sz w:val="17"/>
          <w:szCs w:val="17"/>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business, results of operations and financial condition has been and will continue to be affected by many changing economic and other conditions beyond our control, including, among others:</w:t>
      </w:r>
    </w:p>
    <w:p>
      <w:pPr>
        <w:spacing w:after="0" w:line="62" w:lineRule="exact"/>
        <w:rPr>
          <w:sz w:val="20"/>
          <w:szCs w:val="20"/>
          <w:color w:val="auto"/>
        </w:rPr>
      </w:pPr>
    </w:p>
    <w:p>
      <w:pPr>
        <w:ind w:left="1380" w:hanging="400"/>
        <w:spacing w:after="0" w:line="258" w:lineRule="auto"/>
        <w:tabs>
          <w:tab w:leader="none" w:pos="1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or political instability;</w:t>
      </w:r>
    </w:p>
    <w:p>
      <w:pPr>
        <w:spacing w:after="0" w:line="1" w:lineRule="exact"/>
        <w:rPr>
          <w:rFonts w:ascii="Arial" w:cs="Arial" w:eastAsia="Arial" w:hAnsi="Arial"/>
          <w:sz w:val="18"/>
          <w:szCs w:val="18"/>
          <w:color w:val="auto"/>
        </w:rPr>
      </w:pPr>
    </w:p>
    <w:p>
      <w:pPr>
        <w:ind w:left="1380" w:hanging="400"/>
        <w:spacing w:after="0"/>
        <w:tabs>
          <w:tab w:leader="none" w:pos="1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or demographic trends;</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actual or potential disruptions to the ATC systems, including as a result of "sequestration" or any other interruption in government funding;</w:t>
      </w:r>
    </w:p>
    <w:p>
      <w:pPr>
        <w:spacing w:after="0" w:line="32" w:lineRule="exact"/>
        <w:rPr>
          <w:rFonts w:ascii="Arial" w:cs="Arial" w:eastAsia="Arial" w:hAnsi="Arial"/>
          <w:sz w:val="16"/>
          <w:szCs w:val="16"/>
          <w:color w:val="auto"/>
        </w:rPr>
      </w:pPr>
    </w:p>
    <w:p>
      <w:pPr>
        <w:ind w:left="1380" w:hanging="400"/>
        <w:spacing w:after="0"/>
        <w:tabs>
          <w:tab w:leader="none" w:pos="1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weather and natural disasters.</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particular, an outbreak of a contagious disease such as Severe Acute Respiratory Syndrome, H1N1 influenza virus, avian flu, or any other influenza-type illness, if it were to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higher than normal number of pilot retirements and a potential shortage of pilots could adversely affect us.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currently have a higher than normal number of pilots eligible for retirement. Among other things, the extension of pilot careers facilitated by the FAA’s 2007 modification of the mandatory retirement age from age 60 to age 65 has now been fully implemented, resulting in large numbers of pilots in the industry approaching the revised mandatory retirement age. If pilot retirements were to exceed normal levels in the future, it may adversely affect us. The FAA also recently issued regulations that increase the flight experience required for pilots working for airlines certificated under Part 121 of the Federal Aviation Regulations. These and other factors could contribute to a shortage of qualified pilots, which could adversely affect us.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In addition, we have obtained third-party war risk (terrorism) insurance through a special program administered by the FAA, resulting in lower premiums than if we had obtained this insurance in the commercial insurance market. The program has been extended, with the same conditions and premiums, until September 30, 2014. If the federal insurance program terminates, we would likely face a material increase in the cost of war risk insurance. The failure of one or more of our insurers could result in a lack of coverage for a period of time.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additional insurance costs to passengers is limited. As a result, further increases in insurance costs or reductions in available insurance coverage could have an adverse impact on our financial results.</w:t>
      </w:r>
    </w:p>
    <w:p>
      <w:pPr>
        <w:spacing w:after="0" w:line="17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Several lawsuits were filed in connection with the Merger and remain pending, and these lawsuits could have a material adverse impact on our business.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US Airways Group, as well as the members of US Airways Group’s board of directors, were named as defendants in a lawsuit brought by a purported class of US Airways Group’s stockholders challenging the Merger and seeking a declaration that the Merger Agreement is unenforceable, an injunction against the Merger (or rescission in the event it has been consummated), imposition of a constructive trust, an award of fees and costs, including attorneys’ and experts’ fees, and other relief. US Airways Group, US Airways, AMR and American were also named as defendants in a private antitrust lawsuit. The complaint alleges that the effect of the Merger may be to substantially lessen competition or tend to create a monopoly in violation of Section 7 of the Clayton Antitrust Act. The relief sought in the complaint includes an injunction against the Merger, or divestiture. In January 2014, the complaint was amended to add a claim for money damages and to request injunctive relief requiring the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76" w:right="239" w:bottom="1440" w:gutter="0" w:footer="0" w:header="0"/>
        </w:sectPr>
      </w:pPr>
    </w:p>
    <w:bookmarkStart w:id="95" w:name="page96"/>
    <w:bookmarkEnd w:id="95"/>
    <w:p>
      <w:pPr>
        <w:jc w:val="both"/>
        <w:spacing w:after="0" w:line="264" w:lineRule="auto"/>
        <w:rPr>
          <w:sz w:val="20"/>
          <w:szCs w:val="20"/>
          <w:color w:val="auto"/>
        </w:rPr>
      </w:pPr>
      <w:r>
        <w:rPr>
          <w:rFonts w:ascii="Arial" w:cs="Arial" w:eastAsia="Arial" w:hAnsi="Arial"/>
          <w:sz w:val="18"/>
          <w:szCs w:val="18"/>
          <w:color w:val="auto"/>
        </w:rPr>
        <w:t>carriers to hold separate their assets. Such private lawsuits could result in an obligation to pay damages or terms, conditions, requirements, limitations, costs or restrictions that would impose additional material costs on or materially limit our revenues, or materially limit some of the synergies and other benefits we anticipate following the Merger. See Part II, Item 1. Legal Proceedings.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Internal Revenue Code of 1986, as amended (the Internal Revenue Code), a corporation is generally allowed a deduction for NOL Carryforwards. As of December 31, 2013, we had available NOL Carryforwards of approximately $10.6 billion for regular federal income tax purposes which will expire, if unused, beginning in 2022, and approximately $4.7 billion for state income tax purposes which will expire, if unused, between 2014 and 2033. The amount of NOL Carryforwards for state income tax purposes that will expire, if unused, in the remainder of 2014 is $106 million. Our NOL Carryforwards are subject to adjustment on audit by the Internal Revenue Service and the respective state taxing authorities.</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corporation's ability to deduct its federal NOL Carryforwards and to utilize certain other available tax attributes can be substantially constrained under the general annual limitation rules of Section 382 of the Internal Revenue Code (Section 382) if it undergoes an "ownership change" as defined in Section 382 (generally where cumulative stock ownership changes among material shareholders exceed 50 percent during a rolling three-year period). We experienced an ownership change in connection with our emergence from bankruptcy and US Airways Group experienced an ownership change in connection with the Merger. The general limitation rules for a debtor in a bankruptcy case are liberalized where the ownership change occurs upon emergence from bankruptcy. While we anticipate taking advantage of certain special rules for federal income tax purposes that would permit approximately $9.0 billion of our federal NOL Carryforwards to be utilized without regard to the annual limitation generally imposed by Section 382, there can be no assurance that these special rules will apply to the ownership change we experienced upon our emergence from bankruptcy, including that we may ultimately elect not to apply them. If the special rules do not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Notwithstanding the foregoing, an ownership change subsequent to our emergence from bankruptcy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shareholders. Although the purpose of these transfer restrictions is to prevent an ownership change from occurring, no assurance can be given that such an ownership change will not occur, in which case our ability to utilize our NOL Carryforwards and other tax attributes could be severely limited or effectively eliminated.</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27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The application of the acquisition method of accounting resulted in AAG recording a significant amount of goodwill, which amount is tested for impairment at least annually. In addition, AAG and American may never realize the full value of their respective intangible assets or long-lived assets, causing them to record material impairment charges.</w:t>
      </w:r>
    </w:p>
    <w:p>
      <w:pPr>
        <w:spacing w:after="0" w:line="3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applicable acquisition accounting rules, AAG recorded goodwill on its consolidated balance sheet to the extent the US Airways Group acquisition purchase price exceeded the net fair value of US Airway Group’s tangible and intangible assets and liabilities as of the acquisition date. Goodwill is not amortized, but is tested for impairment at least annually. Also, in accordance with applicable accounting standards, AAG and American will be required to test their respective indefinite-lived intangible assets for impairment on an annual basis, or more frequently if conditions indicate that an impairment may have occurred. In addition, AAG and American are required to test certain of their other assets for impairment if conditions indicate that an impairment may have occurred.</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Future impairment of goodwill or other assets could be recorded in results of operations as a result of changes in assumptions, estimates, or circumstances, some of which are beyond our control. Factors which could result in an impairment could include, but are not limited to: (i) reduced passenger demand as a result of domestic or global economic conditions; (ii) higher prices for jet fuel; (iii) lower fares or passenger yields as a result of increased competition or lower demand; (iv) a significant increase in future capital expenditure commitments; and (v) significant disruptions to our operations as a result of both internal and external events such as terrorist activities, actual or threatened war, labor actions by employees, or further industry regulation. There can be no assurance that a material impairment charge of goodwill or tangible or intangible assets will be avoided. The value of our aircraft could be impacted in future periods by changes in supply and demand for these aircraft.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76" w:right="239" w:bottom="1440" w:gutter="0" w:footer="0" w:header="0"/>
        </w:sectPr>
      </w:pPr>
    </w:p>
    <w:bookmarkStart w:id="96" w:name="page97"/>
    <w:bookmarkEnd w:id="96"/>
    <w:p>
      <w:pPr>
        <w:ind w:right="20"/>
        <w:spacing w:after="0" w:line="277" w:lineRule="auto"/>
        <w:rPr>
          <w:sz w:val="20"/>
          <w:szCs w:val="20"/>
          <w:color w:val="auto"/>
        </w:rPr>
      </w:pPr>
      <w:r>
        <w:rPr>
          <w:rFonts w:ascii="Arial" w:cs="Arial" w:eastAsia="Arial" w:hAnsi="Arial"/>
          <w:sz w:val="18"/>
          <w:szCs w:val="18"/>
          <w:color w:val="auto"/>
        </w:rPr>
        <w:t>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AAG's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price of our common stock has recently been and may in the future be volatile.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market price of our common stock may fluctuate substantially due to a variety of factors, many of which are beyond our control, including:</w:t>
      </w:r>
    </w:p>
    <w:p>
      <w:pPr>
        <w:spacing w:after="0" w:line="129" w:lineRule="exact"/>
        <w:rPr>
          <w:sz w:val="20"/>
          <w:szCs w:val="20"/>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AAG's operating and financial results failing to meet the expectations of securities analysts or investors;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movements in fuel prices;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success or failure of AAG's integration efforts;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9" w:lineRule="exact"/>
        <w:rPr>
          <w:rFonts w:ascii="Arial" w:cs="Arial" w:eastAsia="Arial" w:hAnsi="Arial"/>
          <w:sz w:val="18"/>
          <w:szCs w:val="18"/>
          <w:color w:val="auto"/>
        </w:rPr>
      </w:pPr>
    </w:p>
    <w:p>
      <w:pPr>
        <w:ind w:left="1300" w:hanging="320"/>
        <w:spacing w:after="0" w:line="259"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distributions of shares of our common stock pursuant to our plan of reorganization</w:t>
      </w:r>
      <w:r>
        <w:rPr>
          <w:rFonts w:ascii="Arial" w:cs="Arial" w:eastAsia="Arial" w:hAnsi="Arial"/>
          <w:sz w:val="19"/>
          <w:szCs w:val="19"/>
          <w:color w:val="auto"/>
        </w:rPr>
        <w:t>,</w:t>
      </w:r>
      <w:r>
        <w:rPr>
          <w:rFonts w:ascii="Arial" w:cs="Arial" w:eastAsia="Arial" w:hAnsi="Arial"/>
          <w:sz w:val="18"/>
          <w:szCs w:val="18"/>
          <w:color w:val="auto"/>
        </w:rPr>
        <w:t xml:space="preserve"> including distributions from the disputed claims reserve established under the plan of reorganization upon the resolution of the underlying claims;</w:t>
      </w:r>
    </w:p>
    <w:p>
      <w:pPr>
        <w:ind w:left="1300" w:right="20" w:hanging="320"/>
        <w:spacing w:after="0" w:line="250"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our common stock or issuances of our common stock upon the exercise or conversion of convertible securities, options, warrants, RSUs, SARs, or similar rights;</w:t>
      </w: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03"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provisions of our Certificate of Incorporation and Bylaws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73" w:lineRule="exact"/>
        <w:rPr>
          <w:sz w:val="20"/>
          <w:szCs w:val="20"/>
          <w:color w:val="auto"/>
        </w:rPr>
      </w:pPr>
    </w:p>
    <w:p>
      <w:pPr>
        <w:ind w:left="1380" w:hanging="400"/>
        <w:spacing w:after="0"/>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23" w:lineRule="exact"/>
        <w:rPr>
          <w:rFonts w:ascii="Arial" w:cs="Arial" w:eastAsia="Arial" w:hAnsi="Arial"/>
          <w:sz w:val="18"/>
          <w:szCs w:val="18"/>
          <w:color w:val="auto"/>
        </w:rPr>
      </w:pPr>
    </w:p>
    <w:p>
      <w:pPr>
        <w:ind w:left="1380" w:hanging="400"/>
        <w:spacing w:after="0"/>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prohibition against stockholders calling special meetings of stockholders;</w:t>
      </w:r>
    </w:p>
    <w:p>
      <w:pPr>
        <w:spacing w:after="0" w:line="9" w:lineRule="exact"/>
        <w:rPr>
          <w:rFonts w:ascii="Arial" w:cs="Arial" w:eastAsia="Arial" w:hAnsi="Arial"/>
          <w:sz w:val="18"/>
          <w:szCs w:val="18"/>
          <w:color w:val="auto"/>
        </w:rPr>
      </w:pPr>
    </w:p>
    <w:p>
      <w:pPr>
        <w:ind w:left="1380" w:hanging="400"/>
        <w:spacing w:after="0" w:line="250" w:lineRule="auto"/>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ind w:left="1380" w:hanging="400"/>
        <w:spacing w:after="0"/>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interests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AAG's Certificate of Incorporation and Bylaws include provisions that limit voting and acquisition and disposition of our equity interests.</w:t>
      </w:r>
    </w:p>
    <w:p>
      <w:pPr>
        <w:spacing w:after="0" w:line="14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Certificate of Incorporation and Bylaws include certain provisions that limit voting and ownership and disposition of our equity interests, including AAG Common Stock, AAG Series A Preferred Stock and convertible notes. These restrictions may adversely affect the ability of certain holders of our common stock and other equity interests to vote such interests and adversely affect the ability of persons to acquire shares of our common stock and other equity interests.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84" w:right="239" w:bottom="1440" w:gutter="0" w:footer="0" w:header="0"/>
        </w:sectPr>
      </w:pPr>
    </w:p>
    <w:bookmarkStart w:id="97" w:name="page98"/>
    <w:bookmarkEnd w:id="97"/>
    <w:p>
      <w:pPr>
        <w:ind w:left="660" w:right="20"/>
        <w:spacing w:after="0" w:line="308" w:lineRule="auto"/>
        <w:rPr>
          <w:sz w:val="20"/>
          <w:szCs w:val="20"/>
          <w:color w:val="auto"/>
        </w:rPr>
      </w:pPr>
      <w:r>
        <w:rPr>
          <w:rFonts w:ascii="Arial" w:cs="Arial" w:eastAsia="Arial" w:hAnsi="Arial"/>
          <w:sz w:val="17"/>
          <w:szCs w:val="17"/>
          <w:b w:val="1"/>
          <w:bCs w:val="1"/>
          <w:i w:val="1"/>
          <w:iCs w:val="1"/>
          <w:color w:val="auto"/>
        </w:rPr>
        <w:t>In order to protect AAG's NOL Carryforwards and certain other tax attributes, AAG's Certificate of Incorporation includes certain limitations on acquisitions and dispositions of the AAG Common Stock, which may limit the liquidity of our common stock.</w:t>
      </w:r>
    </w:p>
    <w:p>
      <w:pPr>
        <w:spacing w:after="0" w:line="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reduce the risk of a potential adverse effect on our ability to use our NOL Carryforwards and certain other tax attributes for federal income tax purposes, our Certificate of Incorporation contains certain restrictions on the acquisition and disposition of AAG's Common Stock by substantial stockholders. These restrictions may adversely affect the ability of certain holders of AAG's Common Stock to dispose of or acquire shares of AAG's Common Stock. Although the purpose of these transfer restrictions is to prevent an "ownership change" (as defined in Section 382 of the Internal Revenue Code) from occurring, no assurance can be given that an ownership change will not occur even with these restrictions in place.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76" w:right="239" w:bottom="1440" w:gutter="0" w:footer="0" w:header="0"/>
        </w:sectPr>
      </w:pPr>
    </w:p>
    <w:bookmarkStart w:id="98" w:name="page99"/>
    <w:bookmarkEnd w:id="98"/>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in the Exhibit Index following the signature pages to this report are filed as part of, or incorporated by reference into, this report.</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715" w:right="2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00" w:lineRule="exact"/>
        <w:rPr>
          <w:sz w:val="20"/>
          <w:szCs w:val="20"/>
          <w:color w:val="auto"/>
        </w:rPr>
      </w:pPr>
    </w:p>
    <w:p>
      <w:pPr>
        <w:spacing w:after="0" w:line="2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Date: April 23, 2014 By: /s/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310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American Airlines, Inc.</w:t>
      </w:r>
    </w:p>
    <w:p>
      <w:pPr>
        <w:spacing w:after="0" w:line="200" w:lineRule="exact"/>
        <w:rPr>
          <w:sz w:val="20"/>
          <w:szCs w:val="20"/>
          <w:color w:val="auto"/>
        </w:rPr>
      </w:pPr>
    </w:p>
    <w:p>
      <w:pPr>
        <w:spacing w:after="0" w:line="2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Date: April 23, 2014 By: /s/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310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526" w:right="2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24"/>
                <w:szCs w:val="24"/>
                <w:color w:val="auto"/>
              </w:rPr>
            </w:pPr>
          </w:p>
        </w:tc>
      </w:tr>
      <w:tr>
        <w:trPr>
          <w:trHeight w:val="234"/>
        </w:trPr>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222"/>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Amended and Restated Guarantee, dated as of March 31, 2014, from US Airways Group and AAG, relating to obligations of US Airways</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under the equipment notes relating to its Series 2010-1 Pass Through Certificates.</w:t>
            </w: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Amended and Restated Guarantee, dated as of March 31, 2014, from US Airways Group and AAG, relating to obligations of US Airways</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under the equipment notes relating to its Series 2011-1 Pass Through Certificates.</w:t>
            </w: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Amended and Restated Guarantee, dated as of March 31, 2014, from US Airways Group and AAG, relating to obligations of US Airways</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under the equipment notes relating to its Series 2012-1 Pass Through Certificates.</w:t>
            </w: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Amended and Restated Guarantee, dated as of March 31, 2014, from US Airways Group and AAG, relating to obligations of US Airways</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under the equipment notes relating to its Series 2012-2 Pass Through Certificates.</w:t>
            </w: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Amended and Restated Guarantee, dated as of March 31, 2014, from US Airways Group and AAG, relating to obligations of US Airways</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under the equipment notes relating to its Series 2013-1 Pass Through Certificates.</w:t>
            </w: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Computation of ratio of earnings to combined fixed charges and preferred dividends American Airlines Group Inc. for the quarter ended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March 31, 2014 and 2013.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Computation of ratio of earnings to fixed charges American Airlines, Inc. for the quarter ended March 31, 2014 and 2013.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AAG Chief Executive Officer pursuant to Rule 13a-14(a).</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AAG Chief Financial Officer pursuant to Rule 13a-14(a).</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American Chief Executive Officer pursuant to Rule 13a-14(a).</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American Chief Financial Officer pursuant to Rule 13a-14(a).</w:t>
            </w: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Certification pursuant to Rule 13a-14(b) and section 906 of the Sarbanes-Oxley Act of 2002 (subsections (a) and (b) of section 1350, chapter</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63 of title 18, United States Code).</w:t>
            </w: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Certification pursuant to Rule 13a-14(b) and section 906 of the Sarbanes-Oxley Act of 2002 (subsections (a) and (b) of section 1350, chapter</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63 of title 18, United States Code).</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Interactive data files pursuant to Rule 405 of Regulation S-T.</w:t>
            </w:r>
          </w:p>
        </w:tc>
      </w:tr>
      <w:tr>
        <w:trPr>
          <w:trHeight w:val="486"/>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442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AMENDED AND RESTATED GUARANTEE</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March 31, 2014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from</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AIRWAYS GROUP,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AMERICAN AIRLINES GROUP INC.</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One (1) Airbus A320-200 Aircraft</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Five (5) Airbus A321-200 Aircraft</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Two (2) Airbus A330-200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00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Guarantee</w:t>
            </w:r>
          </w:p>
        </w:tc>
        <w:tc>
          <w:tcPr>
            <w:tcW w:w="1920" w:type="dxa"/>
            <w:vAlign w:val="bottom"/>
            <w:tcBorders>
              <w:top w:val="single" w:sz="8" w:color="auto"/>
            </w:tcBorders>
            <w:vMerge w:val="restart"/>
          </w:tcPr>
          <w:p>
            <w:pPr>
              <w:spacing w:after="0"/>
              <w:rPr>
                <w:sz w:val="24"/>
                <w:szCs w:val="24"/>
                <w:color w:val="auto"/>
              </w:rPr>
            </w:pPr>
          </w:p>
        </w:tc>
        <w:tc>
          <w:tcPr>
            <w:tcW w:w="4340" w:type="dxa"/>
            <w:vAlign w:val="bottom"/>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960" w:type="dxa"/>
            <w:vAlign w:val="bottom"/>
            <w:vMerge w:val="continue"/>
          </w:tcPr>
          <w:p>
            <w:pPr>
              <w:spacing w:after="0"/>
              <w:rPr>
                <w:sz w:val="19"/>
                <w:szCs w:val="19"/>
                <w:color w:val="auto"/>
              </w:rPr>
            </w:pPr>
          </w:p>
        </w:tc>
        <w:tc>
          <w:tcPr>
            <w:tcW w:w="3800" w:type="dxa"/>
            <w:vAlign w:val="bottom"/>
            <w:vMerge w:val="continue"/>
          </w:tcPr>
          <w:p>
            <w:pPr>
              <w:spacing w:after="0"/>
              <w:rPr>
                <w:sz w:val="19"/>
                <w:szCs w:val="19"/>
                <w:color w:val="auto"/>
              </w:rPr>
            </w:pPr>
          </w:p>
        </w:tc>
        <w:tc>
          <w:tcPr>
            <w:tcW w:w="1920" w:type="dxa"/>
            <w:vAlign w:val="bottom"/>
            <w:tcBorders>
              <w:top w:val="single" w:sz="8" w:color="auto"/>
            </w:tcBorders>
            <w:vMerge w:val="continue"/>
          </w:tcPr>
          <w:p>
            <w:pPr>
              <w:spacing w:after="0"/>
              <w:rPr>
                <w:sz w:val="19"/>
                <w:szCs w:val="19"/>
                <w:color w:val="auto"/>
              </w:rPr>
            </w:pPr>
          </w:p>
        </w:tc>
        <w:tc>
          <w:tcPr>
            <w:tcW w:w="434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Section 2.</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No Implied Third Party Beneficiaries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3.</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Waiver; No Set-off; Reinstatement; Subrogation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4.</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Amendments, Etc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5.</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Payments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6.</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Integration; Counterparts; Successors and Assigns; Headings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7.</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Notices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8.</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No Waivers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9.</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Severability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10.</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GOVERNING LAW</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260" w:type="dxa"/>
            <w:vAlign w:val="bottom"/>
            <w:gridSpan w:val="2"/>
          </w:tcPr>
          <w:p>
            <w:pPr>
              <w:jc w:val="center"/>
              <w:ind w:right="4360"/>
              <w:spacing w:after="0"/>
              <w:rPr>
                <w:sz w:val="20"/>
                <w:szCs w:val="20"/>
                <w:color w:val="auto"/>
              </w:rPr>
            </w:pPr>
            <w:r>
              <w:rPr>
                <w:rFonts w:ascii="Arial" w:cs="Arial" w:eastAsia="Arial" w:hAnsi="Arial"/>
                <w:sz w:val="18"/>
                <w:szCs w:val="18"/>
                <w:color w:val="auto"/>
              </w:rPr>
              <w:t>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3" w:name="page104"/>
    <w:bookmarkEnd w:id="10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GUARANTEE</w:t>
      </w:r>
    </w:p>
    <w:p>
      <w:pPr>
        <w:spacing w:after="0" w:line="22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AMENDED AND RESTATED GUARANTEE, dated as of March 31, 2014 (as amended, modified or supplemented from time to time, this “Guarantee”), from US AIRWAYS GROUP, INC., a Delaware corporation (together with its permitted successors and assigns, “USAG”) and AMERICAN AIRLINES GROUP INC., a Delaware corporation (together with its permitted successors and assigns, “AAG” and, together with USAG, the “Guarantors”), to the parties listed in Schedule I hereto (collectively, together with their successors and permitted assigns, the “Parties”, and, individually, a “Party”).</w:t>
      </w:r>
    </w:p>
    <w:p>
      <w:pPr>
        <w:spacing w:after="0" w:line="154"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WHEREAS, US Airways, Inc., a Delaware corporation (“Owner”), a direct wholly-owned subsidiary of USAG, a direct wholly-owned subsidiary of AAG, has entered into that certain Note Purchase Agreement dated as of December 21, 2010 (the “Note Purchase Agreement”), among Owner, Wilmington Trust Company, as pass through trustee under each of the Pass Through Trust Agreements (the “Pass Through Trustee”), Wilmington Trust Company, as Subordination Agent (the “Subordination Agent”), Wells Fargo Bank Northwest, National Association, as Escrow Agent under each of the Escrow and Paying Agent Agreements, and Wilmington Trust Company, as Paying Agent under each of the Escrow and Paying Agent Agreements;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capitalized terms used but not defined herein shall have the meanings set forth in the Note Purchase Agreement; and</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WHEREAS, in order to finance the aircraft identified on Schedule II hereto (the “Aircraft”), Owner has issued or will issue, as the case may be, the Equipment Notes under the Trust Indentures;</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WHEREAS, in order to induce the Pass Through Trustee to purchase the Equipment Notes and for other good and valuable consideration, USAG delivered the Guarantee dated as of April 24, 2013 (the “Prior Guarantee”) to the Parties;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USAG and AAG desire to amend and restate the Prior Guarantee on the terms set forth herein and each of the Parties desires to consent to such amendment and restatement;</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NOW, THEREFORE, in order to induce the Pass Through Trustee to purchase the Equipment Notes and for other good and valuable consideration, receipt of which is hereby acknowledged, the parties hereto agree as follows:</w:t>
      </w:r>
    </w:p>
    <w:p>
      <w:pPr>
        <w:sectPr>
          <w:pgSz w:w="11900" w:h="16838" w:orient="portrait"/>
          <w:cols w:equalWidth="0" w:num="1">
            <w:col w:w="11360"/>
          </w:cols>
          <w:pgMar w:left="240" w:top="270" w:right="299" w:bottom="1440" w:gutter="0" w:footer="0" w:header="0"/>
        </w:sectPr>
      </w:pPr>
    </w:p>
    <w:bookmarkStart w:id="104" w:name="page105"/>
    <w:bookmarkEnd w:id="104"/>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117" w:lineRule="exact"/>
        <w:rPr>
          <w:sz w:val="20"/>
          <w:szCs w:val="20"/>
          <w:color w:val="auto"/>
        </w:rPr>
      </w:pPr>
    </w:p>
    <w:p>
      <w:pPr>
        <w:ind w:left="-40" w:right="40" w:firstLine="921"/>
        <w:spacing w:after="0" w:line="286" w:lineRule="auto"/>
        <w:tabs>
          <w:tab w:leader="none" w:pos="1118"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Guarantor does hereby acknowledge that it is fully aware of the terms and conditions of the Trust Indentures, the Participation Agreements, the Equipment Notes and the transactions and the other documents contemplated thereby, and the Guarantors jointly and severally hereby irrevocably and fully and unconditionally guarantee, as primary obligor and not as surety merely, to the Parties, as their respective interests may appear, the payment by Owner of all payment obligations when due under the Trust Indentures, the Participation Agreements and the Equipment Notes (such obligations of Owner guaranteed hereby being hereafter referred to, individually, as a “Guaranteed Obligation” and, collectively, as the “Guaranteed Obligations”) in accordance with the terms of the Financing Agreements. The Guarantors jointly and severally hereby agree that in the event that Owner fails to pay any Guaranteed Obligation when due for any reason (including, without limitation, the liquidation, dissolution, receivership, insolvency, bankruptcy, assignment for the benefit of creditors, reorganization, arrangement, composition or readjustment of, or other similar proceedings affecting the status, existence, assets or obligations of Owner, or the disaffirmance with respect to Owner of any Trust Indenture or any other Financing Agreement to which Owner is a party in any such proceeding) after the date on which such Guaranteed Obligation became due and payable and the applicable grace period has expired, the Guarantors shall pay or cause to be paid forthwith, upon the receipt of notice from the Indenture Trustee (such notice to be sent to Owner (to the extent the Indenture Trustee is not stayed or prevented from doing so by operation of law) and each Guarantor) stating that such Guaranteed Obligation was not paid when due after the applicable grace period has expired and stating the amount of such Guaranteed Obligation.</w:t>
      </w:r>
    </w:p>
    <w:p>
      <w:pPr>
        <w:spacing w:after="0" w:line="66" w:lineRule="exact"/>
        <w:rPr>
          <w:rFonts w:ascii="Arial" w:cs="Arial" w:eastAsia="Arial" w:hAnsi="Arial"/>
          <w:sz w:val="16"/>
          <w:szCs w:val="16"/>
          <w:color w:val="auto"/>
        </w:rPr>
      </w:pPr>
    </w:p>
    <w:p>
      <w:pPr>
        <w:ind w:left="-40" w:firstLine="921"/>
        <w:spacing w:after="0" w:line="285" w:lineRule="auto"/>
        <w:tabs>
          <w:tab w:leader="none" w:pos="112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obligations of the Guarantors hereunder shall not be, to the fullest extent permitted by law, affected by the genuineness, validity, regularity or enforceability (or lack thereof) of any of Owner’s obligations under any Trust Indenture or any other Financing Agreement to which Owner is a party, any amendment, waiver or other modification of any Trust Indenture or such other Financing Agreement (except that any such amendment or other modification shall be given effect in determining the obligations of the Guarantors hereunder), or by any substitution, release or exchange of collateral for or other guaranty of any of the Guaranteed Obligations (except to the extent that such substitution, release or exchange is not undertaken in accordance with the terms of the Financing Agreements) without the consent of each Guarantor, or by any priority or preference to which any other obligations of Owner may be entitled over Owner’s obligations under any Trust Indenture and the other Financing Agreements to which Owner is a party, or by any other circumstance that might otherwise constitute a legal or equitable defense to or discharge of the obligations of a surety or guarantor including, without limitation, any defense arising out of any laws of the United States of America or of any State thereof which would excuse, discharge, exempt, modify or delay the due or punctual payment and performance of the obligations of the Guarantors hereunder. Without limiting the generality of the foregoing, it is agreed that the occurrence of any one or more of the following shall not, to the fullest extent permitted by law, affect the liability of the Guarantors hereunder: (a) the extension of the time for or waiver of, at any time or from time to time, without notice to the Guarantors, Owner’s performance of or compliance with any of its obligations under the Financing Agreements (except that such extension or waiver shall be given effect in determining the obligations of the Guarantors hereunder), (b) any assignment, transfer, lease or other arrangement by which Owner transfers possession or loses control of the use of any Aircraft, (c) any defect in the title, condition, design, operation or fitness for use of, or damage to or loss or destruction of, any Aircraft, whether or not due to the fault of Owner, (d) any merger or consolidation of Owner or either Guarantor into or with any other Person, or any sale, transfer, lease or disposal of any of its assets, (e) any issuance of Additional Series Equipment Notes or (f) any change in the ownership of any shares of capital stock of Owner.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74" w:right="279" w:bottom="1440" w:gutter="0" w:footer="0" w:header="0"/>
        </w:sectPr>
      </w:pPr>
    </w:p>
    <w:bookmarkStart w:id="105" w:name="page106"/>
    <w:bookmarkEnd w:id="105"/>
    <w:p>
      <w:pPr>
        <w:ind w:firstLine="921"/>
        <w:spacing w:after="0" w:line="269" w:lineRule="auto"/>
        <w:tabs>
          <w:tab w:leader="none" w:pos="1158" w:val="left"/>
        </w:tabs>
        <w:numPr>
          <w:ilvl w:val="0"/>
          <w:numId w:val="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Guarantee is an absolute, present and continuing guaranty of payment and performance and not of collection and is in no way conditional or contingent upon any attempt to collect from Owner any unpaid amounts due. The Guarantors specifically agree, to the fullest extent permitted by law, that it shall not be necessary or required, and that the Guarantors shall not be entitled to require, that any Party (i) file suit or proceed to obtain or assert a claim for personal judgment against Owner for the Guaranteed Obligations, or (ii) make any effort at collection of the Guaranteed Obligations from Owner, or (iii) foreclose against or seek to realize upon any security now or hereafter existing for the Guaranteed Obligations, including the Collateral (as defined in the Trust Indentures), or (iv) file suit or proceed to obtain or assert a claim for personal judgment against any other Person liable for the Guaranteed Obligations, or make any effort at collection of the Guaranteed Obligations from any such other Person, or exercise or assert any other right or remedy to which any Party is or may be entitled in connection with the Guaranteed Obligations or any security or other guaranty therefor, or (v) assert or file any claim against the assets of Owner or any other guarantor or other Person liable for the Guaranteed Obligations, or any part thereof, before or as a condition of enforcing the liability of the Guarantors under this Guarantee or requiring payment of said Guaranteed Obligations by the Guarantors hereunder, or at any time thereafter.</w:t>
      </w:r>
    </w:p>
    <w:p>
      <w:pPr>
        <w:spacing w:after="0" w:line="18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No Implied Third Party Beneficiaries</w:t>
      </w:r>
      <w:r>
        <w:rPr>
          <w:rFonts w:ascii="Arial" w:cs="Arial" w:eastAsia="Arial" w:hAnsi="Arial"/>
          <w:sz w:val="18"/>
          <w:szCs w:val="18"/>
          <w:color w:val="auto"/>
        </w:rPr>
        <w:t>. This Guarantee shall not be deemed to create any right in any Person except a Party and shall not be construed in any respect to be a contract in whole or in part for the benefit of any other Person.</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Waiver; No Set-off; Reinstatement; Subrogation</w:t>
      </w:r>
      <w:r>
        <w:rPr>
          <w:rFonts w:ascii="Arial" w:cs="Arial" w:eastAsia="Arial" w:hAnsi="Arial"/>
          <w:sz w:val="16"/>
          <w:szCs w:val="16"/>
          <w:color w:val="auto"/>
        </w:rPr>
        <w:t xml:space="preserve">. The Guarantors waive notice of the acceptance of this Guarantee and of the performance or nonperformance by Owner, demand for payment from Owner or any other Person, notice of nonpayment or failure to perform on the part of Owner, diligence, presentment, protest, dishonor and, to the fullest extent permitted by law, all other demands or notices whatsoever, other than the request for payment hereunder and notice provided for in Section 1 hereof. The obligations of the Guarantors shall be absolute and unconditional and shall remain in full force and effect until satisfaction of all Guaranteed Obligations and, without limiting the generality of the foregoing, to the extent not prohibited by applicable law, shall not be released, discharged or otherwise affected by the existence of any claims, set-off, defense or other rights that the Guarantors may have at any time and from time to time against any Party, whether in connection herewith or any unrelated transactions. This Guarantee shall continue to be effective or be reinstated, as the case may be, if at any time any payment of any Guaranteed Obligation is rescinded or must otherwise be returned by any Party upon the insolvency, bankruptcy, reorganization, arrangement, readjustment of debt, dissolution, liquidation or similar proceeding with respect to Owner or otherwise, all as though such payment had not been made. The Guarantor, by virtue of any payment hereunder to a Party, shall be subrogated to such Party’s claim against Owner or any other Person relating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Guarantor shall be entitled to receive payment from Owner in respect of any claim against Owner arising from a payment by such Guarantor in the event of any insolvency, bankruptcy, liquidation, reorganization or other similar proceedings relating to Owner, or in the event of any proceedings for voluntary liquidation, dissolution or other winding-up of Owner, whether or not involving insolvency or bankruptcy proceedings, in which case the Guaranteed Obligations shall be paid and performed in full before any payment in respect of a claim by such Guarantor shall be made by or on behalf of Owner.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06" w:name="page107"/>
    <w:bookmarkEnd w:id="106"/>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Amendments, Etc</w:t>
      </w:r>
      <w:r>
        <w:rPr>
          <w:rFonts w:ascii="Arial" w:cs="Arial" w:eastAsia="Arial" w:hAnsi="Arial"/>
          <w:sz w:val="18"/>
          <w:szCs w:val="18"/>
          <w:color w:val="auto"/>
        </w:rPr>
        <w:t>. No amendment of or supplement to this Guarantee, or waiver or modification of, or consent under, the terms hereof, shall be effective unless evidenced by an instrument in writing signed by the Guarantors and each Party against whom such amendment, supplement, waiver, modification or consent is to be enforced.</w:t>
      </w:r>
    </w:p>
    <w:p>
      <w:pPr>
        <w:spacing w:after="0" w:line="18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Payments</w:t>
      </w:r>
      <w:r>
        <w:rPr>
          <w:rFonts w:ascii="Arial" w:cs="Arial" w:eastAsia="Arial" w:hAnsi="Arial"/>
          <w:sz w:val="16"/>
          <w:szCs w:val="16"/>
          <w:color w:val="auto"/>
        </w:rPr>
        <w:t>. All payments by the Guarantors hereunder in respect of any Obligation shall be made in Dollars and otherwise as provided in the relevant Trust Indenture, the relevant Participation Agreement or the relevant Equipment Note in which such Guaranteed Obligation is contained.</w:t>
      </w:r>
    </w:p>
    <w:p>
      <w:pPr>
        <w:spacing w:after="0" w:line="12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Integration; Counterparts; Successors and Assigns; Headings</w:t>
      </w:r>
      <w:r>
        <w:rPr>
          <w:rFonts w:ascii="Arial" w:cs="Arial" w:eastAsia="Arial" w:hAnsi="Arial"/>
          <w:sz w:val="16"/>
          <w:szCs w:val="16"/>
          <w:color w:val="auto"/>
        </w:rPr>
        <w:t>. This Guarantee (a) constitutes the entire agreement, and supersedes all prior agreements and understandings, both written and oral, among the Guarantors and the Parties, with respect to the subject matter hereof, (b) may be executed in several counterparts, each of which shall be deemed an original, but all of which together shall constitute one and the same instrument, and (c) shall be binding upon the successors and assigns of the Guarantors and shall inure to the benefit of, and shall be enforceable by, each of the Parties to the fullest extent permitted by applicable laws. The headings in this Guarantee are for purposes of reference only, and shall not limit or otherwise affect the meanings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Notices</w:t>
      </w:r>
      <w:r>
        <w:rPr>
          <w:rFonts w:ascii="Arial" w:cs="Arial" w:eastAsia="Arial" w:hAnsi="Arial"/>
          <w:sz w:val="18"/>
          <w:szCs w:val="18"/>
          <w:color w:val="auto"/>
        </w:rPr>
        <w:t>. All requests, notices or other communications hereunder shall be in writing, addressed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to USAG: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817-967-4318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AAG: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817-967-4318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 Party: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address or telecopy number set forth in the Participation Agreements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All requests, notices or other communications shall be given in the manner, and shall be effective at the times and under the terms, set forth in Section 12.7 of the Participation Agreements.</w:t>
      </w:r>
    </w:p>
    <w:p>
      <w:pPr>
        <w:spacing w:after="0" w:line="170"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 Waivers</w:t>
      </w:r>
      <w:r>
        <w:rPr>
          <w:rFonts w:ascii="Arial" w:cs="Arial" w:eastAsia="Arial" w:hAnsi="Arial"/>
          <w:sz w:val="18"/>
          <w:szCs w:val="18"/>
          <w:color w:val="auto"/>
        </w:rPr>
        <w:t>. No failure on the part of any Party to exercise, no delay in exercising, and no course of dealing with respect to, any right or remedy hereunder will operate as a waiver thereof; nor will any single or partial exercise of any right or remedy hereunder preclude any other or further exercise of such right or remedy or the exercise of any other right or remedy.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07" w:name="page108"/>
    <w:bookmarkEnd w:id="107"/>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fullest extent permitted by applicable law, any provision of this Guarantee that is prohibited or unenforceable in any jurisdiction shall, as to such jurisdiction, be ineffective to the extent of such prohibition or unenforceability without invalidating the remaining provisions hereof or any provision in any other Operative Agreement, and any such prohibition or unenforceability in any jurisdiction shall not invalidate or render unenforceable such provision in any other jurisdiction.</w:t>
      </w:r>
    </w:p>
    <w:p>
      <w:pPr>
        <w:spacing w:after="0" w:line="18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GOVERNING LAW</w:t>
      </w:r>
      <w:r>
        <w:rPr>
          <w:rFonts w:ascii="Arial" w:cs="Arial" w:eastAsia="Arial" w:hAnsi="Arial"/>
          <w:sz w:val="17"/>
          <w:szCs w:val="17"/>
          <w:color w:val="auto"/>
        </w:rPr>
        <w:t>. THIS GUARANTEE SHALL BE GOVERNED BY, AND CONSTRUED IN ACCORDANCE WITH, THE LAW OF THE STATE OF NEW YORK (WITHOUT REGARD TO PRINCIPLES OF CONFLICTS OF LAWS THEREOF (OTHER THAN SECTIONS 5-1401 AND 5-1402 OF THE NEW YORK GENERAL OBLIGATIONS LAW)). THIS GUARANTEE IS BEING DELIVERED IN NEW YORK, NEW YORK.</w:t>
      </w:r>
    </w:p>
    <w:p>
      <w:pPr>
        <w:spacing w:after="0" w:line="166"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Consent</w:t>
      </w:r>
      <w:r>
        <w:rPr>
          <w:rFonts w:ascii="Arial" w:cs="Arial" w:eastAsia="Arial" w:hAnsi="Arial"/>
          <w:sz w:val="18"/>
          <w:szCs w:val="18"/>
          <w:color w:val="auto"/>
        </w:rPr>
        <w:t>. By agreeing, acknowledging and consenting to this Guarantee by their signatures below, each Party hereby consents to the amendment and restatement effected by this Guarantee.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274" w:right="41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caused this Guarantee to be duly executed as of the day and year first written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US AIRWAYS GROUP,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Thomas T. Weir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 &amp; Treasurer</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AMERICAN AIRLINES GROUP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Thomas T. Weir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 &amp; Treasurer</w:t>
      </w:r>
    </w:p>
    <w:p>
      <w:pPr>
        <w:sectPr>
          <w:pgSz w:w="11900" w:h="16838" w:orient="portrait"/>
          <w:cols w:equalWidth="0" w:num="1">
            <w:col w:w="9759"/>
          </w:cols>
          <w:pgMar w:left="700" w:top="274" w:right="1440"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AGREED AND CONSENTED: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Indenture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P. Hines,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75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Robert P. Hines, Jr.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Pass Through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P. Hines,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75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Robert P. Hines, Jr.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Vice President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Subordination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P. Hines,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75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Robert P. Hines, Jr.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Vice President</w:t>
      </w:r>
    </w:p>
    <w:p>
      <w:pPr>
        <w:spacing w:after="0" w:line="15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110" w:name="page111"/>
    <w:bookmarkEnd w:id="11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GUARANTEE</w:t>
      </w:r>
    </w:p>
    <w:p>
      <w:pPr>
        <w:spacing w:after="0" w:line="207" w:lineRule="exact"/>
        <w:rPr>
          <w:sz w:val="20"/>
          <w:szCs w:val="20"/>
          <w:color w:val="auto"/>
        </w:rPr>
      </w:pPr>
    </w:p>
    <w:p>
      <w:pPr>
        <w:ind w:left="5340"/>
        <w:spacing w:after="0"/>
        <w:rPr>
          <w:sz w:val="20"/>
          <w:szCs w:val="20"/>
          <w:color w:val="auto"/>
        </w:rPr>
      </w:pPr>
      <w:r>
        <w:rPr>
          <w:rFonts w:ascii="Arial" w:cs="Arial" w:eastAsia="Arial" w:hAnsi="Arial"/>
          <w:sz w:val="18"/>
          <w:szCs w:val="18"/>
          <w:b w:val="1"/>
          <w:bCs w:val="1"/>
          <w:u w:val="single" w:color="auto"/>
          <w:color w:val="auto"/>
        </w:rPr>
        <w:t>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Indenture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Pass Through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Subordination Agent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I</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219"/>
          </w:cols>
          <w:pgMar w:left="240" w:top="270" w:right="1440"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GUARANTEE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AIRCRAFT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0" w:type="dxa"/>
            <w:vAlign w:val="bottom"/>
          </w:tcPr>
          <w:p>
            <w:pPr>
              <w:spacing w:after="0"/>
              <w:rPr>
                <w:sz w:val="16"/>
                <w:szCs w:val="16"/>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U.S. Registration Mark</w:t>
            </w:r>
          </w:p>
        </w:tc>
        <w:tc>
          <w:tcPr>
            <w:tcW w:w="1940" w:type="dxa"/>
            <w:vAlign w:val="bottom"/>
          </w:tcPr>
          <w:p>
            <w:pPr>
              <w:spacing w:after="0"/>
              <w:rPr>
                <w:sz w:val="16"/>
                <w:szCs w:val="16"/>
                <w:color w:val="auto"/>
              </w:rPr>
            </w:pPr>
          </w:p>
        </w:tc>
        <w:tc>
          <w:tcPr>
            <w:tcW w:w="16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rPr>
              <w:t>MSN #</w:t>
            </w:r>
          </w:p>
        </w:tc>
        <w:tc>
          <w:tcPr>
            <w:tcW w:w="25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4"/>
              </w:rPr>
              <w:t>Aircraft Type</w:t>
            </w:r>
          </w:p>
        </w:tc>
        <w:tc>
          <w:tcPr>
            <w:tcW w:w="1840" w:type="dxa"/>
            <w:vAlign w:val="bottom"/>
            <w:gridSpan w:val="2"/>
          </w:tcPr>
          <w:p>
            <w:pPr>
              <w:ind w:left="60"/>
              <w:spacing w:after="0"/>
              <w:rPr>
                <w:sz w:val="20"/>
                <w:szCs w:val="20"/>
                <w:color w:val="auto"/>
              </w:rPr>
            </w:pPr>
            <w:r>
              <w:rPr>
                <w:rFonts w:ascii="Arial" w:cs="Arial" w:eastAsia="Arial" w:hAnsi="Arial"/>
                <w:sz w:val="14"/>
                <w:szCs w:val="14"/>
                <w:b w:val="1"/>
                <w:bCs w:val="1"/>
                <w:color w:val="auto"/>
              </w:rPr>
              <w:t>Engines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Engine Model Type</w:t>
            </w:r>
          </w:p>
        </w:tc>
      </w:tr>
      <w:tr>
        <w:trPr>
          <w:trHeight w:val="189"/>
        </w:trPr>
        <w:tc>
          <w:tcPr>
            <w:tcW w:w="7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N125UW</w:t>
            </w:r>
          </w:p>
        </w:tc>
        <w:tc>
          <w:tcPr>
            <w:tcW w:w="19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4086</w:t>
            </w:r>
          </w:p>
        </w:tc>
        <w:tc>
          <w:tcPr>
            <w:tcW w:w="124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Airbus A320-214</w:t>
            </w:r>
          </w:p>
        </w:tc>
        <w:tc>
          <w:tcPr>
            <w:tcW w:w="1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699598</w:t>
            </w:r>
          </w:p>
        </w:tc>
        <w:tc>
          <w:tcPr>
            <w:tcW w:w="12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CFM56-5B4</w:t>
            </w:r>
          </w:p>
        </w:tc>
      </w:tr>
      <w:tr>
        <w:trPr>
          <w:trHeight w:val="244"/>
        </w:trPr>
        <w:tc>
          <w:tcPr>
            <w:tcW w:w="7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699611</w:t>
            </w:r>
          </w:p>
        </w:tc>
        <w:tc>
          <w:tcPr>
            <w:tcW w:w="1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02"/>
        </w:trPr>
        <w:tc>
          <w:tcPr>
            <w:tcW w:w="720" w:type="dxa"/>
            <w:vAlign w:val="bottom"/>
          </w:tcPr>
          <w:p>
            <w:pPr>
              <w:spacing w:after="0"/>
              <w:rPr>
                <w:sz w:val="17"/>
                <w:szCs w:val="17"/>
                <w:color w:val="auto"/>
              </w:rPr>
            </w:pP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5"/>
              </w:rPr>
              <w:t>N535UW</w:t>
            </w:r>
          </w:p>
        </w:tc>
        <w:tc>
          <w:tcPr>
            <w:tcW w:w="2380" w:type="dxa"/>
            <w:vAlign w:val="bottom"/>
            <w:gridSpan w:val="2"/>
          </w:tcPr>
          <w:p>
            <w:pPr>
              <w:jc w:val="center"/>
              <w:ind w:left="1850"/>
              <w:spacing w:after="0" w:line="201" w:lineRule="exact"/>
              <w:rPr>
                <w:sz w:val="20"/>
                <w:szCs w:val="20"/>
                <w:color w:val="auto"/>
              </w:rPr>
            </w:pPr>
            <w:r>
              <w:rPr>
                <w:rFonts w:ascii="Arial" w:cs="Arial" w:eastAsia="Arial" w:hAnsi="Arial"/>
                <w:sz w:val="18"/>
                <w:szCs w:val="18"/>
                <w:color w:val="auto"/>
                <w:w w:val="89"/>
              </w:rPr>
              <w:t>3993</w:t>
            </w:r>
          </w:p>
        </w:tc>
        <w:tc>
          <w:tcPr>
            <w:tcW w:w="1240" w:type="dxa"/>
            <w:vAlign w:val="bottom"/>
          </w:tcPr>
          <w:p>
            <w:pPr>
              <w:spacing w:after="0"/>
              <w:rPr>
                <w:sz w:val="17"/>
                <w:szCs w:val="17"/>
                <w:color w:val="auto"/>
              </w:rPr>
            </w:pPr>
          </w:p>
        </w:tc>
        <w:tc>
          <w:tcPr>
            <w:tcW w:w="2540" w:type="dxa"/>
            <w:vAlign w:val="bottom"/>
            <w:gridSpan w:val="2"/>
          </w:tcPr>
          <w:p>
            <w:pPr>
              <w:jc w:val="center"/>
              <w:ind w:right="1240"/>
              <w:spacing w:after="0" w:line="201" w:lineRule="exact"/>
              <w:rPr>
                <w:sz w:val="20"/>
                <w:szCs w:val="20"/>
                <w:color w:val="auto"/>
              </w:rPr>
            </w:pPr>
            <w:r>
              <w:rPr>
                <w:rFonts w:ascii="Arial" w:cs="Arial" w:eastAsia="Arial" w:hAnsi="Arial"/>
                <w:sz w:val="18"/>
                <w:szCs w:val="18"/>
                <w:color w:val="auto"/>
                <w:w w:val="93"/>
              </w:rPr>
              <w:t>Airbus A321-231</w:t>
            </w:r>
          </w:p>
        </w:tc>
        <w:tc>
          <w:tcPr>
            <w:tcW w:w="1840" w:type="dxa"/>
            <w:vAlign w:val="bottom"/>
            <w:gridSpan w:val="2"/>
          </w:tcPr>
          <w:p>
            <w:pPr>
              <w:jc w:val="center"/>
              <w:ind w:right="1220"/>
              <w:spacing w:after="0" w:line="201" w:lineRule="exact"/>
              <w:rPr>
                <w:sz w:val="20"/>
                <w:szCs w:val="20"/>
                <w:color w:val="auto"/>
              </w:rPr>
            </w:pPr>
            <w:r>
              <w:rPr>
                <w:rFonts w:ascii="Arial" w:cs="Arial" w:eastAsia="Arial" w:hAnsi="Arial"/>
                <w:sz w:val="18"/>
                <w:szCs w:val="18"/>
                <w:color w:val="auto"/>
                <w:w w:val="93"/>
              </w:rPr>
              <w:t>V15206</w:t>
            </w:r>
          </w:p>
        </w:tc>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97"/>
              </w:rPr>
              <w:t>V2533-A5</w:t>
            </w:r>
          </w:p>
        </w:tc>
      </w:tr>
      <w:tr>
        <w:trPr>
          <w:trHeight w:val="237"/>
        </w:trPr>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40" w:type="dxa"/>
            <w:vAlign w:val="bottom"/>
            <w:gridSpan w:val="2"/>
          </w:tcPr>
          <w:p>
            <w:pPr>
              <w:jc w:val="center"/>
              <w:ind w:right="1220"/>
              <w:spacing w:after="0"/>
              <w:rPr>
                <w:sz w:val="20"/>
                <w:szCs w:val="20"/>
                <w:color w:val="auto"/>
              </w:rPr>
            </w:pPr>
            <w:r>
              <w:rPr>
                <w:rFonts w:ascii="Arial" w:cs="Arial" w:eastAsia="Arial" w:hAnsi="Arial"/>
                <w:sz w:val="18"/>
                <w:szCs w:val="18"/>
                <w:color w:val="auto"/>
                <w:w w:val="93"/>
              </w:rPr>
              <w:t>V15208</w:t>
            </w:r>
          </w:p>
        </w:tc>
        <w:tc>
          <w:tcPr>
            <w:tcW w:w="1260" w:type="dxa"/>
            <w:vAlign w:val="bottom"/>
          </w:tcPr>
          <w:p>
            <w:pPr>
              <w:spacing w:after="0"/>
              <w:rPr>
                <w:sz w:val="20"/>
                <w:szCs w:val="20"/>
                <w:color w:val="auto"/>
              </w:rPr>
            </w:pPr>
          </w:p>
        </w:tc>
      </w:tr>
      <w:tr>
        <w:trPr>
          <w:trHeight w:val="209"/>
        </w:trPr>
        <w:tc>
          <w:tcPr>
            <w:tcW w:w="7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N537UW</w:t>
            </w:r>
          </w:p>
        </w:tc>
        <w:tc>
          <w:tcPr>
            <w:tcW w:w="2380" w:type="dxa"/>
            <w:vAlign w:val="bottom"/>
            <w:gridSpan w:val="2"/>
            <w:shd w:val="clear" w:color="auto" w:fill="CCEEFF"/>
          </w:tcPr>
          <w:p>
            <w:pPr>
              <w:jc w:val="center"/>
              <w:ind w:left="1850"/>
              <w:spacing w:after="0"/>
              <w:rPr>
                <w:sz w:val="20"/>
                <w:szCs w:val="20"/>
                <w:color w:val="auto"/>
              </w:rPr>
            </w:pPr>
            <w:r>
              <w:rPr>
                <w:rFonts w:ascii="Arial" w:cs="Arial" w:eastAsia="Arial" w:hAnsi="Arial"/>
                <w:sz w:val="18"/>
                <w:szCs w:val="18"/>
                <w:color w:val="auto"/>
                <w:w w:val="89"/>
              </w:rPr>
              <w:t>4041</w:t>
            </w:r>
          </w:p>
        </w:tc>
        <w:tc>
          <w:tcPr>
            <w:tcW w:w="124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1240"/>
              <w:spacing w:after="0"/>
              <w:rPr>
                <w:sz w:val="20"/>
                <w:szCs w:val="20"/>
                <w:color w:val="auto"/>
              </w:rPr>
            </w:pPr>
            <w:r>
              <w:rPr>
                <w:rFonts w:ascii="Arial" w:cs="Arial" w:eastAsia="Arial" w:hAnsi="Arial"/>
                <w:sz w:val="18"/>
                <w:szCs w:val="18"/>
                <w:color w:val="auto"/>
                <w:w w:val="93"/>
              </w:rPr>
              <w:t>Airbus A321-231</w:t>
            </w:r>
          </w:p>
        </w:tc>
        <w:tc>
          <w:tcPr>
            <w:tcW w:w="1840" w:type="dxa"/>
            <w:vAlign w:val="bottom"/>
            <w:gridSpan w:val="2"/>
            <w:shd w:val="clear" w:color="auto" w:fill="CCEEFF"/>
          </w:tcPr>
          <w:p>
            <w:pPr>
              <w:jc w:val="center"/>
              <w:ind w:right="1220"/>
              <w:spacing w:after="0"/>
              <w:rPr>
                <w:sz w:val="20"/>
                <w:szCs w:val="20"/>
                <w:color w:val="auto"/>
              </w:rPr>
            </w:pPr>
            <w:r>
              <w:rPr>
                <w:rFonts w:ascii="Arial" w:cs="Arial" w:eastAsia="Arial" w:hAnsi="Arial"/>
                <w:sz w:val="18"/>
                <w:szCs w:val="18"/>
                <w:color w:val="auto"/>
                <w:w w:val="93"/>
              </w:rPr>
              <w:t>V15242</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V2533-A5</w:t>
            </w:r>
          </w:p>
        </w:tc>
      </w:tr>
      <w:tr>
        <w:trPr>
          <w:trHeight w:val="244"/>
        </w:trPr>
        <w:tc>
          <w:tcPr>
            <w:tcW w:w="7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center"/>
              <w:ind w:right="1220"/>
              <w:spacing w:after="0"/>
              <w:rPr>
                <w:sz w:val="20"/>
                <w:szCs w:val="20"/>
                <w:color w:val="auto"/>
              </w:rPr>
            </w:pPr>
            <w:r>
              <w:rPr>
                <w:rFonts w:ascii="Arial" w:cs="Arial" w:eastAsia="Arial" w:hAnsi="Arial"/>
                <w:sz w:val="18"/>
                <w:szCs w:val="18"/>
                <w:color w:val="auto"/>
                <w:w w:val="93"/>
              </w:rPr>
              <w:t>V15244</w:t>
            </w:r>
          </w:p>
        </w:tc>
        <w:tc>
          <w:tcPr>
            <w:tcW w:w="1260" w:type="dxa"/>
            <w:vAlign w:val="bottom"/>
            <w:shd w:val="clear" w:color="auto" w:fill="CCEEFF"/>
          </w:tcPr>
          <w:p>
            <w:pPr>
              <w:spacing w:after="0"/>
              <w:rPr>
                <w:sz w:val="21"/>
                <w:szCs w:val="21"/>
                <w:color w:val="auto"/>
              </w:rPr>
            </w:pPr>
          </w:p>
        </w:tc>
      </w:tr>
      <w:tr>
        <w:trPr>
          <w:trHeight w:val="202"/>
        </w:trPr>
        <w:tc>
          <w:tcPr>
            <w:tcW w:w="720" w:type="dxa"/>
            <w:vAlign w:val="bottom"/>
          </w:tcPr>
          <w:p>
            <w:pPr>
              <w:spacing w:after="0"/>
              <w:rPr>
                <w:sz w:val="17"/>
                <w:szCs w:val="17"/>
                <w:color w:val="auto"/>
              </w:rPr>
            </w:pP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5"/>
              </w:rPr>
              <w:t>N539UW</w:t>
            </w:r>
          </w:p>
        </w:tc>
        <w:tc>
          <w:tcPr>
            <w:tcW w:w="2380" w:type="dxa"/>
            <w:vAlign w:val="bottom"/>
            <w:gridSpan w:val="2"/>
          </w:tcPr>
          <w:p>
            <w:pPr>
              <w:jc w:val="center"/>
              <w:ind w:left="1850"/>
              <w:spacing w:after="0" w:line="201" w:lineRule="exact"/>
              <w:rPr>
                <w:sz w:val="20"/>
                <w:szCs w:val="20"/>
                <w:color w:val="auto"/>
              </w:rPr>
            </w:pPr>
            <w:r>
              <w:rPr>
                <w:rFonts w:ascii="Arial" w:cs="Arial" w:eastAsia="Arial" w:hAnsi="Arial"/>
                <w:sz w:val="18"/>
                <w:szCs w:val="18"/>
                <w:color w:val="auto"/>
                <w:w w:val="89"/>
              </w:rPr>
              <w:t>4082</w:t>
            </w:r>
          </w:p>
        </w:tc>
        <w:tc>
          <w:tcPr>
            <w:tcW w:w="1240" w:type="dxa"/>
            <w:vAlign w:val="bottom"/>
          </w:tcPr>
          <w:p>
            <w:pPr>
              <w:spacing w:after="0"/>
              <w:rPr>
                <w:sz w:val="17"/>
                <w:szCs w:val="17"/>
                <w:color w:val="auto"/>
              </w:rPr>
            </w:pPr>
          </w:p>
        </w:tc>
        <w:tc>
          <w:tcPr>
            <w:tcW w:w="2540" w:type="dxa"/>
            <w:vAlign w:val="bottom"/>
            <w:gridSpan w:val="2"/>
          </w:tcPr>
          <w:p>
            <w:pPr>
              <w:jc w:val="center"/>
              <w:ind w:right="1240"/>
              <w:spacing w:after="0" w:line="201" w:lineRule="exact"/>
              <w:rPr>
                <w:sz w:val="20"/>
                <w:szCs w:val="20"/>
                <w:color w:val="auto"/>
              </w:rPr>
            </w:pPr>
            <w:r>
              <w:rPr>
                <w:rFonts w:ascii="Arial" w:cs="Arial" w:eastAsia="Arial" w:hAnsi="Arial"/>
                <w:sz w:val="18"/>
                <w:szCs w:val="18"/>
                <w:color w:val="auto"/>
                <w:w w:val="93"/>
              </w:rPr>
              <w:t>Airbus A321-231</w:t>
            </w:r>
          </w:p>
        </w:tc>
        <w:tc>
          <w:tcPr>
            <w:tcW w:w="1840" w:type="dxa"/>
            <w:vAlign w:val="bottom"/>
            <w:gridSpan w:val="2"/>
          </w:tcPr>
          <w:p>
            <w:pPr>
              <w:jc w:val="center"/>
              <w:ind w:right="1220"/>
              <w:spacing w:after="0" w:line="201" w:lineRule="exact"/>
              <w:rPr>
                <w:sz w:val="20"/>
                <w:szCs w:val="20"/>
                <w:color w:val="auto"/>
              </w:rPr>
            </w:pPr>
            <w:r>
              <w:rPr>
                <w:rFonts w:ascii="Arial" w:cs="Arial" w:eastAsia="Arial" w:hAnsi="Arial"/>
                <w:sz w:val="18"/>
                <w:szCs w:val="18"/>
                <w:color w:val="auto"/>
                <w:w w:val="93"/>
              </w:rPr>
              <w:t>V15194</w:t>
            </w:r>
          </w:p>
        </w:tc>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97"/>
              </w:rPr>
              <w:t>V2533-A5</w:t>
            </w:r>
          </w:p>
        </w:tc>
      </w:tr>
      <w:tr>
        <w:trPr>
          <w:trHeight w:val="237"/>
        </w:trPr>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40" w:type="dxa"/>
            <w:vAlign w:val="bottom"/>
            <w:gridSpan w:val="2"/>
          </w:tcPr>
          <w:p>
            <w:pPr>
              <w:jc w:val="center"/>
              <w:ind w:right="1220"/>
              <w:spacing w:after="0"/>
              <w:rPr>
                <w:sz w:val="20"/>
                <w:szCs w:val="20"/>
                <w:color w:val="auto"/>
              </w:rPr>
            </w:pPr>
            <w:r>
              <w:rPr>
                <w:rFonts w:ascii="Arial" w:cs="Arial" w:eastAsia="Arial" w:hAnsi="Arial"/>
                <w:sz w:val="18"/>
                <w:szCs w:val="18"/>
                <w:color w:val="auto"/>
                <w:w w:val="93"/>
              </w:rPr>
              <w:t>V15256</w:t>
            </w:r>
          </w:p>
        </w:tc>
        <w:tc>
          <w:tcPr>
            <w:tcW w:w="1260" w:type="dxa"/>
            <w:vAlign w:val="bottom"/>
          </w:tcPr>
          <w:p>
            <w:pPr>
              <w:spacing w:after="0"/>
              <w:rPr>
                <w:sz w:val="20"/>
                <w:szCs w:val="20"/>
                <w:color w:val="auto"/>
              </w:rPr>
            </w:pPr>
          </w:p>
        </w:tc>
      </w:tr>
      <w:tr>
        <w:trPr>
          <w:trHeight w:val="209"/>
        </w:trPr>
        <w:tc>
          <w:tcPr>
            <w:tcW w:w="7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N541UW</w:t>
            </w:r>
          </w:p>
        </w:tc>
        <w:tc>
          <w:tcPr>
            <w:tcW w:w="2380" w:type="dxa"/>
            <w:vAlign w:val="bottom"/>
            <w:gridSpan w:val="2"/>
            <w:shd w:val="clear" w:color="auto" w:fill="CCEEFF"/>
          </w:tcPr>
          <w:p>
            <w:pPr>
              <w:jc w:val="center"/>
              <w:ind w:left="1850"/>
              <w:spacing w:after="0"/>
              <w:rPr>
                <w:sz w:val="20"/>
                <w:szCs w:val="20"/>
                <w:color w:val="auto"/>
              </w:rPr>
            </w:pPr>
            <w:r>
              <w:rPr>
                <w:rFonts w:ascii="Arial" w:cs="Arial" w:eastAsia="Arial" w:hAnsi="Arial"/>
                <w:sz w:val="18"/>
                <w:szCs w:val="18"/>
                <w:color w:val="auto"/>
                <w:w w:val="89"/>
              </w:rPr>
              <w:t>4123</w:t>
            </w:r>
          </w:p>
        </w:tc>
        <w:tc>
          <w:tcPr>
            <w:tcW w:w="124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1240"/>
              <w:spacing w:after="0"/>
              <w:rPr>
                <w:sz w:val="20"/>
                <w:szCs w:val="20"/>
                <w:color w:val="auto"/>
              </w:rPr>
            </w:pPr>
            <w:r>
              <w:rPr>
                <w:rFonts w:ascii="Arial" w:cs="Arial" w:eastAsia="Arial" w:hAnsi="Arial"/>
                <w:sz w:val="18"/>
                <w:szCs w:val="18"/>
                <w:color w:val="auto"/>
                <w:w w:val="93"/>
              </w:rPr>
              <w:t>Airbus A321-231</w:t>
            </w:r>
          </w:p>
        </w:tc>
        <w:tc>
          <w:tcPr>
            <w:tcW w:w="1840" w:type="dxa"/>
            <w:vAlign w:val="bottom"/>
            <w:gridSpan w:val="2"/>
            <w:shd w:val="clear" w:color="auto" w:fill="CCEEFF"/>
          </w:tcPr>
          <w:p>
            <w:pPr>
              <w:jc w:val="center"/>
              <w:ind w:right="1220"/>
              <w:spacing w:after="0"/>
              <w:rPr>
                <w:sz w:val="20"/>
                <w:szCs w:val="20"/>
                <w:color w:val="auto"/>
              </w:rPr>
            </w:pPr>
            <w:r>
              <w:rPr>
                <w:rFonts w:ascii="Arial" w:cs="Arial" w:eastAsia="Arial" w:hAnsi="Arial"/>
                <w:sz w:val="18"/>
                <w:szCs w:val="18"/>
                <w:color w:val="auto"/>
                <w:w w:val="93"/>
              </w:rPr>
              <w:t>V15297</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V2533-A5</w:t>
            </w:r>
          </w:p>
        </w:tc>
      </w:tr>
      <w:tr>
        <w:trPr>
          <w:trHeight w:val="244"/>
        </w:trPr>
        <w:tc>
          <w:tcPr>
            <w:tcW w:w="7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center"/>
              <w:ind w:right="1220"/>
              <w:spacing w:after="0"/>
              <w:rPr>
                <w:sz w:val="20"/>
                <w:szCs w:val="20"/>
                <w:color w:val="auto"/>
              </w:rPr>
            </w:pPr>
            <w:r>
              <w:rPr>
                <w:rFonts w:ascii="Arial" w:cs="Arial" w:eastAsia="Arial" w:hAnsi="Arial"/>
                <w:sz w:val="18"/>
                <w:szCs w:val="18"/>
                <w:color w:val="auto"/>
                <w:w w:val="93"/>
              </w:rPr>
              <w:t>V15299</w:t>
            </w:r>
          </w:p>
        </w:tc>
        <w:tc>
          <w:tcPr>
            <w:tcW w:w="1260" w:type="dxa"/>
            <w:vAlign w:val="bottom"/>
            <w:shd w:val="clear" w:color="auto" w:fill="CCEEFF"/>
          </w:tcPr>
          <w:p>
            <w:pPr>
              <w:spacing w:after="0"/>
              <w:rPr>
                <w:sz w:val="21"/>
                <w:szCs w:val="21"/>
                <w:color w:val="auto"/>
              </w:rPr>
            </w:pPr>
          </w:p>
        </w:tc>
      </w:tr>
      <w:tr>
        <w:trPr>
          <w:trHeight w:val="202"/>
        </w:trPr>
        <w:tc>
          <w:tcPr>
            <w:tcW w:w="720" w:type="dxa"/>
            <w:vAlign w:val="bottom"/>
          </w:tcPr>
          <w:p>
            <w:pPr>
              <w:spacing w:after="0"/>
              <w:rPr>
                <w:sz w:val="17"/>
                <w:szCs w:val="17"/>
                <w:color w:val="auto"/>
              </w:rPr>
            </w:pP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5"/>
              </w:rPr>
              <w:t>N542UW</w:t>
            </w:r>
          </w:p>
        </w:tc>
        <w:tc>
          <w:tcPr>
            <w:tcW w:w="2380" w:type="dxa"/>
            <w:vAlign w:val="bottom"/>
            <w:gridSpan w:val="2"/>
          </w:tcPr>
          <w:p>
            <w:pPr>
              <w:jc w:val="center"/>
              <w:ind w:left="1850"/>
              <w:spacing w:after="0" w:line="201" w:lineRule="exact"/>
              <w:rPr>
                <w:sz w:val="20"/>
                <w:szCs w:val="20"/>
                <w:color w:val="auto"/>
              </w:rPr>
            </w:pPr>
            <w:r>
              <w:rPr>
                <w:rFonts w:ascii="Arial" w:cs="Arial" w:eastAsia="Arial" w:hAnsi="Arial"/>
                <w:sz w:val="18"/>
                <w:szCs w:val="18"/>
                <w:color w:val="auto"/>
                <w:w w:val="89"/>
              </w:rPr>
              <w:t>4134</w:t>
            </w:r>
          </w:p>
        </w:tc>
        <w:tc>
          <w:tcPr>
            <w:tcW w:w="1240" w:type="dxa"/>
            <w:vAlign w:val="bottom"/>
          </w:tcPr>
          <w:p>
            <w:pPr>
              <w:spacing w:after="0"/>
              <w:rPr>
                <w:sz w:val="17"/>
                <w:szCs w:val="17"/>
                <w:color w:val="auto"/>
              </w:rPr>
            </w:pPr>
          </w:p>
        </w:tc>
        <w:tc>
          <w:tcPr>
            <w:tcW w:w="2540" w:type="dxa"/>
            <w:vAlign w:val="bottom"/>
            <w:gridSpan w:val="2"/>
          </w:tcPr>
          <w:p>
            <w:pPr>
              <w:jc w:val="center"/>
              <w:ind w:right="1240"/>
              <w:spacing w:after="0" w:line="201" w:lineRule="exact"/>
              <w:rPr>
                <w:sz w:val="20"/>
                <w:szCs w:val="20"/>
                <w:color w:val="auto"/>
              </w:rPr>
            </w:pPr>
            <w:r>
              <w:rPr>
                <w:rFonts w:ascii="Arial" w:cs="Arial" w:eastAsia="Arial" w:hAnsi="Arial"/>
                <w:sz w:val="18"/>
                <w:szCs w:val="18"/>
                <w:color w:val="auto"/>
                <w:w w:val="93"/>
              </w:rPr>
              <w:t>Airbus A321-231</w:t>
            </w:r>
          </w:p>
        </w:tc>
        <w:tc>
          <w:tcPr>
            <w:tcW w:w="1840" w:type="dxa"/>
            <w:vAlign w:val="bottom"/>
            <w:gridSpan w:val="2"/>
          </w:tcPr>
          <w:p>
            <w:pPr>
              <w:jc w:val="center"/>
              <w:ind w:right="1220"/>
              <w:spacing w:after="0" w:line="201" w:lineRule="exact"/>
              <w:rPr>
                <w:sz w:val="20"/>
                <w:szCs w:val="20"/>
                <w:color w:val="auto"/>
              </w:rPr>
            </w:pPr>
            <w:r>
              <w:rPr>
                <w:rFonts w:ascii="Arial" w:cs="Arial" w:eastAsia="Arial" w:hAnsi="Arial"/>
                <w:sz w:val="18"/>
                <w:szCs w:val="18"/>
                <w:color w:val="auto"/>
                <w:w w:val="93"/>
              </w:rPr>
              <w:t>V15282</w:t>
            </w:r>
          </w:p>
        </w:tc>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97"/>
              </w:rPr>
              <w:t>V2533-A5</w:t>
            </w:r>
          </w:p>
        </w:tc>
      </w:tr>
      <w:tr>
        <w:trPr>
          <w:trHeight w:val="237"/>
        </w:trPr>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40" w:type="dxa"/>
            <w:vAlign w:val="bottom"/>
            <w:gridSpan w:val="2"/>
          </w:tcPr>
          <w:p>
            <w:pPr>
              <w:jc w:val="center"/>
              <w:ind w:right="1220"/>
              <w:spacing w:after="0"/>
              <w:rPr>
                <w:sz w:val="20"/>
                <w:szCs w:val="20"/>
                <w:color w:val="auto"/>
              </w:rPr>
            </w:pPr>
            <w:r>
              <w:rPr>
                <w:rFonts w:ascii="Arial" w:cs="Arial" w:eastAsia="Arial" w:hAnsi="Arial"/>
                <w:sz w:val="18"/>
                <w:szCs w:val="18"/>
                <w:color w:val="auto"/>
                <w:w w:val="93"/>
              </w:rPr>
              <w:t>V15284</w:t>
            </w:r>
          </w:p>
        </w:tc>
        <w:tc>
          <w:tcPr>
            <w:tcW w:w="1260" w:type="dxa"/>
            <w:vAlign w:val="bottom"/>
          </w:tcPr>
          <w:p>
            <w:pPr>
              <w:spacing w:after="0"/>
              <w:rPr>
                <w:sz w:val="20"/>
                <w:szCs w:val="20"/>
                <w:color w:val="auto"/>
              </w:rPr>
            </w:pPr>
          </w:p>
        </w:tc>
      </w:tr>
      <w:tr>
        <w:trPr>
          <w:trHeight w:val="209"/>
        </w:trPr>
        <w:tc>
          <w:tcPr>
            <w:tcW w:w="7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N279AY</w:t>
            </w:r>
          </w:p>
        </w:tc>
        <w:tc>
          <w:tcPr>
            <w:tcW w:w="2380" w:type="dxa"/>
            <w:vAlign w:val="bottom"/>
            <w:gridSpan w:val="2"/>
            <w:shd w:val="clear" w:color="auto" w:fill="CCEEFF"/>
          </w:tcPr>
          <w:p>
            <w:pPr>
              <w:jc w:val="center"/>
              <w:ind w:left="1850"/>
              <w:spacing w:after="0"/>
              <w:rPr>
                <w:sz w:val="20"/>
                <w:szCs w:val="20"/>
                <w:color w:val="auto"/>
              </w:rPr>
            </w:pPr>
            <w:r>
              <w:rPr>
                <w:rFonts w:ascii="Arial" w:cs="Arial" w:eastAsia="Arial" w:hAnsi="Arial"/>
                <w:sz w:val="18"/>
                <w:szCs w:val="18"/>
                <w:color w:val="auto"/>
                <w:w w:val="89"/>
              </w:rPr>
              <w:t>1011</w:t>
            </w:r>
          </w:p>
        </w:tc>
        <w:tc>
          <w:tcPr>
            <w:tcW w:w="124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1240"/>
              <w:spacing w:after="0"/>
              <w:rPr>
                <w:sz w:val="20"/>
                <w:szCs w:val="20"/>
                <w:color w:val="auto"/>
              </w:rPr>
            </w:pPr>
            <w:r>
              <w:rPr>
                <w:rFonts w:ascii="Arial" w:cs="Arial" w:eastAsia="Arial" w:hAnsi="Arial"/>
                <w:sz w:val="18"/>
                <w:szCs w:val="18"/>
                <w:color w:val="auto"/>
                <w:w w:val="93"/>
              </w:rPr>
              <w:t>Airbus A330-243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41625</w:t>
            </w:r>
          </w:p>
        </w:tc>
        <w:tc>
          <w:tcPr>
            <w:tcW w:w="12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Trent 772B</w:t>
            </w:r>
          </w:p>
        </w:tc>
      </w:tr>
      <w:tr>
        <w:trPr>
          <w:trHeight w:val="244"/>
        </w:trPr>
        <w:tc>
          <w:tcPr>
            <w:tcW w:w="7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41626</w:t>
            </w:r>
          </w:p>
        </w:tc>
        <w:tc>
          <w:tcPr>
            <w:tcW w:w="1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02"/>
        </w:trPr>
        <w:tc>
          <w:tcPr>
            <w:tcW w:w="720" w:type="dxa"/>
            <w:vAlign w:val="bottom"/>
          </w:tcPr>
          <w:p>
            <w:pPr>
              <w:spacing w:after="0"/>
              <w:rPr>
                <w:sz w:val="17"/>
                <w:szCs w:val="17"/>
                <w:color w:val="auto"/>
              </w:rPr>
            </w:pP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5"/>
              </w:rPr>
              <w:t>N280AY</w:t>
            </w:r>
          </w:p>
        </w:tc>
        <w:tc>
          <w:tcPr>
            <w:tcW w:w="2380" w:type="dxa"/>
            <w:vAlign w:val="bottom"/>
            <w:gridSpan w:val="2"/>
          </w:tcPr>
          <w:p>
            <w:pPr>
              <w:jc w:val="center"/>
              <w:ind w:left="1850"/>
              <w:spacing w:after="0" w:line="201" w:lineRule="exact"/>
              <w:rPr>
                <w:sz w:val="20"/>
                <w:szCs w:val="20"/>
                <w:color w:val="auto"/>
              </w:rPr>
            </w:pPr>
            <w:r>
              <w:rPr>
                <w:rFonts w:ascii="Arial" w:cs="Arial" w:eastAsia="Arial" w:hAnsi="Arial"/>
                <w:sz w:val="18"/>
                <w:szCs w:val="18"/>
                <w:color w:val="auto"/>
                <w:w w:val="89"/>
              </w:rPr>
              <w:t>1022</w:t>
            </w:r>
          </w:p>
        </w:tc>
        <w:tc>
          <w:tcPr>
            <w:tcW w:w="1240" w:type="dxa"/>
            <w:vAlign w:val="bottom"/>
          </w:tcPr>
          <w:p>
            <w:pPr>
              <w:spacing w:after="0"/>
              <w:rPr>
                <w:sz w:val="17"/>
                <w:szCs w:val="17"/>
                <w:color w:val="auto"/>
              </w:rPr>
            </w:pPr>
          </w:p>
        </w:tc>
        <w:tc>
          <w:tcPr>
            <w:tcW w:w="2540" w:type="dxa"/>
            <w:vAlign w:val="bottom"/>
            <w:gridSpan w:val="2"/>
          </w:tcPr>
          <w:p>
            <w:pPr>
              <w:jc w:val="center"/>
              <w:ind w:right="1240"/>
              <w:spacing w:after="0" w:line="201" w:lineRule="exact"/>
              <w:rPr>
                <w:sz w:val="20"/>
                <w:szCs w:val="20"/>
                <w:color w:val="auto"/>
              </w:rPr>
            </w:pPr>
            <w:r>
              <w:rPr>
                <w:rFonts w:ascii="Arial" w:cs="Arial" w:eastAsia="Arial" w:hAnsi="Arial"/>
                <w:sz w:val="18"/>
                <w:szCs w:val="18"/>
                <w:color w:val="auto"/>
                <w:w w:val="93"/>
              </w:rPr>
              <w:t>Airbus A330-243</w:t>
            </w:r>
          </w:p>
        </w:tc>
        <w:tc>
          <w:tcPr>
            <w:tcW w:w="600" w:type="dxa"/>
            <w:vAlign w:val="bottom"/>
          </w:tcPr>
          <w:p>
            <w:pPr>
              <w:jc w:val="center"/>
              <w:spacing w:after="0" w:line="201" w:lineRule="exact"/>
              <w:rPr>
                <w:sz w:val="20"/>
                <w:szCs w:val="20"/>
                <w:color w:val="auto"/>
              </w:rPr>
            </w:pPr>
            <w:r>
              <w:rPr>
                <w:rFonts w:ascii="Arial" w:cs="Arial" w:eastAsia="Arial" w:hAnsi="Arial"/>
                <w:sz w:val="18"/>
                <w:szCs w:val="18"/>
                <w:color w:val="auto"/>
                <w:w w:val="87"/>
              </w:rPr>
              <w:t>41641</w:t>
            </w:r>
          </w:p>
        </w:tc>
        <w:tc>
          <w:tcPr>
            <w:tcW w:w="1240" w:type="dxa"/>
            <w:vAlign w:val="bottom"/>
          </w:tcPr>
          <w:p>
            <w:pPr>
              <w:spacing w:after="0"/>
              <w:rPr>
                <w:sz w:val="17"/>
                <w:szCs w:val="17"/>
                <w:color w:val="auto"/>
              </w:rPr>
            </w:pPr>
          </w:p>
        </w:tc>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92"/>
              </w:rPr>
              <w:t>Trent 772B</w:t>
            </w:r>
          </w:p>
        </w:tc>
      </w:tr>
      <w:tr>
        <w:trPr>
          <w:trHeight w:val="230"/>
        </w:trPr>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41642</w:t>
            </w:r>
          </w:p>
        </w:tc>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AMENDED AND RESTATED GUARANTEE</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March 31, 2014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from</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AIRWAYS GROUP,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AMERICAN AIRLINES GROUP INC.</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Six (6) Airbus A321-231 Aircraft</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Two (2) Airbus A330-243 Aircraft</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One (1) Airbus A320-214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00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Guarantee</w:t>
            </w:r>
          </w:p>
        </w:tc>
        <w:tc>
          <w:tcPr>
            <w:tcW w:w="1920" w:type="dxa"/>
            <w:vAlign w:val="bottom"/>
            <w:tcBorders>
              <w:top w:val="single" w:sz="8" w:color="auto"/>
            </w:tcBorders>
            <w:vMerge w:val="restart"/>
          </w:tcPr>
          <w:p>
            <w:pPr>
              <w:spacing w:after="0"/>
              <w:rPr>
                <w:sz w:val="24"/>
                <w:szCs w:val="24"/>
                <w:color w:val="auto"/>
              </w:rPr>
            </w:pPr>
          </w:p>
        </w:tc>
        <w:tc>
          <w:tcPr>
            <w:tcW w:w="4340" w:type="dxa"/>
            <w:vAlign w:val="bottom"/>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960" w:type="dxa"/>
            <w:vAlign w:val="bottom"/>
            <w:vMerge w:val="continue"/>
          </w:tcPr>
          <w:p>
            <w:pPr>
              <w:spacing w:after="0"/>
              <w:rPr>
                <w:sz w:val="19"/>
                <w:szCs w:val="19"/>
                <w:color w:val="auto"/>
              </w:rPr>
            </w:pPr>
          </w:p>
        </w:tc>
        <w:tc>
          <w:tcPr>
            <w:tcW w:w="3800" w:type="dxa"/>
            <w:vAlign w:val="bottom"/>
            <w:vMerge w:val="continue"/>
          </w:tcPr>
          <w:p>
            <w:pPr>
              <w:spacing w:after="0"/>
              <w:rPr>
                <w:sz w:val="19"/>
                <w:szCs w:val="19"/>
                <w:color w:val="auto"/>
              </w:rPr>
            </w:pPr>
          </w:p>
        </w:tc>
        <w:tc>
          <w:tcPr>
            <w:tcW w:w="1920" w:type="dxa"/>
            <w:vAlign w:val="bottom"/>
            <w:tcBorders>
              <w:top w:val="single" w:sz="8" w:color="auto"/>
            </w:tcBorders>
            <w:vMerge w:val="continue"/>
          </w:tcPr>
          <w:p>
            <w:pPr>
              <w:spacing w:after="0"/>
              <w:rPr>
                <w:sz w:val="19"/>
                <w:szCs w:val="19"/>
                <w:color w:val="auto"/>
              </w:rPr>
            </w:pPr>
          </w:p>
        </w:tc>
        <w:tc>
          <w:tcPr>
            <w:tcW w:w="434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Section 2.</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No Implied Third Party Beneficiaries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3.</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Waiver; No Set-off; Reinstatement; Subrogation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4.</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Amendments, Etc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5.</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Payments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6.</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Integration; Counterparts; Successors and Assigns; Headings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7.</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Notices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8.</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No Waivers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9.</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Severability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10.</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GOVERNING LAW</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260" w:type="dxa"/>
            <w:vAlign w:val="bottom"/>
            <w:gridSpan w:val="2"/>
          </w:tcPr>
          <w:p>
            <w:pPr>
              <w:jc w:val="center"/>
              <w:ind w:right="4360"/>
              <w:spacing w:after="0"/>
              <w:rPr>
                <w:sz w:val="20"/>
                <w:szCs w:val="20"/>
                <w:color w:val="auto"/>
              </w:rPr>
            </w:pPr>
            <w:r>
              <w:rPr>
                <w:rFonts w:ascii="Arial" w:cs="Arial" w:eastAsia="Arial" w:hAnsi="Arial"/>
                <w:sz w:val="18"/>
                <w:szCs w:val="18"/>
                <w:color w:val="auto"/>
              </w:rPr>
              <w:t>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14" w:name="page115"/>
    <w:bookmarkEnd w:id="11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GUARANTEE</w:t>
      </w:r>
    </w:p>
    <w:p>
      <w:pPr>
        <w:spacing w:after="0" w:line="22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AMENDED AND RESTATED GUARANTEE, dated as of March 31, 2014 (as amended, modified or supplemented from time to time, this “Guarantee”), from US AIRWAYS GROUP, INC., a Delaware corporation (together with its permitted successors and assigns, “USAG”) and AMERICAN AIRLINES GROUP INC., a Delaware corporation (together with its permitted successors and assigns, “AAG” and, together with USAG, the “Guarantors”), to the parties listed in Schedule I hereto (collectively, together with their successors and permitted assigns, the “Parties”, and, individually, a “Party”).</w:t>
      </w:r>
    </w:p>
    <w:p>
      <w:pPr>
        <w:spacing w:after="0" w:line="154"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WHEREAS, US Airways, Inc., a Delaware corporation (“Owner”), a direct wholly-owned subsidiary of USAG, a direct wholly-owned subsidiary of AAG, has entered into that certain Note Purchase Agreement dated as of June 28, 2011 (the “Note Purchase Agreement”), among Owner, Wilmington Trust Company, as pass through trustee under each of the Pass Through Trust Agreements (the “Pass Through Trustee”), Wilmington Trust Company, as Subordination Agent (the “Subordination Agent”), Wells Fargo Bank Northwest, National Association, as Escrow Agent under each of the Escrow and Paying Agent Agreements, and Wilmington Trust Company, as Paying Agent under each of the Escrow and Paying Agent Agreements;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capitalized terms used but not defined herein shall have the meanings set forth in the Note Purchase Agreement; and</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WHEREAS, in order to finance the aircraft identified on Schedule II hereto (the “Aircraft”), Owner has issued or will issue, as the case may be, the Equipment Notes under the Trust Indentures;</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WHEREAS, in order to induce the Pass Through Trustee to purchase the Equipment Notes and for other good and valuable consideration, USAG delivered the Guarantee dated as of April 24, 2013 (the “Prior Guarantee”) to the Parties;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USAG and AAG desire to amend and restate the Prior Guarantee on the terms set forth herein and each of the Parties desires to consent to such amendment and restatement;</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NOW, THEREFORE, in order to induce the Pass Through Trustee to purchase the Equipment Notes and for other good and valuable consideration, receipt of which is hereby acknowledged, the parties hereto agree as follows:</w:t>
      </w:r>
    </w:p>
    <w:p>
      <w:pPr>
        <w:sectPr>
          <w:pgSz w:w="11900" w:h="16838" w:orient="portrait"/>
          <w:cols w:equalWidth="0" w:num="1">
            <w:col w:w="11360"/>
          </w:cols>
          <w:pgMar w:left="240" w:top="270" w:right="299" w:bottom="1440" w:gutter="0" w:footer="0" w:header="0"/>
        </w:sectPr>
      </w:pPr>
    </w:p>
    <w:bookmarkStart w:id="115" w:name="page116"/>
    <w:bookmarkEnd w:id="115"/>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117" w:lineRule="exact"/>
        <w:rPr>
          <w:sz w:val="20"/>
          <w:szCs w:val="20"/>
          <w:color w:val="auto"/>
        </w:rPr>
      </w:pPr>
    </w:p>
    <w:p>
      <w:pPr>
        <w:ind w:left="-40" w:right="40" w:firstLine="921"/>
        <w:spacing w:after="0" w:line="286" w:lineRule="auto"/>
        <w:tabs>
          <w:tab w:leader="none" w:pos="1118" w:val="left"/>
        </w:tabs>
        <w:numPr>
          <w:ilvl w:val="0"/>
          <w:numId w:val="62"/>
        </w:numPr>
        <w:rPr>
          <w:rFonts w:ascii="Arial" w:cs="Arial" w:eastAsia="Arial" w:hAnsi="Arial"/>
          <w:sz w:val="16"/>
          <w:szCs w:val="16"/>
          <w:color w:val="auto"/>
        </w:rPr>
      </w:pPr>
      <w:r>
        <w:rPr>
          <w:rFonts w:ascii="Arial" w:cs="Arial" w:eastAsia="Arial" w:hAnsi="Arial"/>
          <w:sz w:val="16"/>
          <w:szCs w:val="16"/>
          <w:color w:val="auto"/>
        </w:rPr>
        <w:t>Each Guarantor does hereby acknowledge that it is fully aware of the terms and conditions of the Trust Indentures, the Participation Agreements, the Equipment Notes and the transactions and the other documents contemplated thereby, and the Guarantors jointly and severally hereby irrevocably and fully and unconditionally guarantee, as primary obligor and not as surety merely, to the Parties, as their respective interests may appear, the payment by Owner of all payment obligations when due under the Trust Indentures, the Participation Agreements and the Equipment Notes (such obligations of Owner guaranteed hereby being hereafter referred to, individually, as a “Guaranteed Obligation” and, collectively, as the “Guaranteed Obligations”) in accordance with the terms of the Financing Agreements. The Guarantors jointly and severally hereby agree that in the event that Owner fails to pay any Guaranteed Obligation when due for any reason (including, without limitation, the liquidation, dissolution, receivership, insolvency, bankruptcy, assignment for the benefit of creditors, reorganization, arrangement, composition or readjustment of, or other similar proceedings affecting the status, existence, assets or obligations of Owner, or the disaffirmance with respect to Owner of any Trust Indenture or any other Financing Agreement to which Owner is a party in any such proceeding) after the date on which such Guaranteed Obligation became due and payable and the applicable grace period has expired, the Guarantors shall pay or cause to be paid forthwith, upon the receipt of notice from the Indenture Trustee (such notice to be sent to Owner (to the extent the Indenture Trustee is not stayed or prevented from doing so by operation of law) and each Guarantor) stating that such Guaranteed Obligation was not paid when due after the applicable grace period has expired and stating the amount of such Guaranteed Obligation.</w:t>
      </w:r>
    </w:p>
    <w:p>
      <w:pPr>
        <w:spacing w:after="0" w:line="66" w:lineRule="exact"/>
        <w:rPr>
          <w:rFonts w:ascii="Arial" w:cs="Arial" w:eastAsia="Arial" w:hAnsi="Arial"/>
          <w:sz w:val="16"/>
          <w:szCs w:val="16"/>
          <w:color w:val="auto"/>
        </w:rPr>
      </w:pPr>
    </w:p>
    <w:p>
      <w:pPr>
        <w:ind w:left="-40" w:firstLine="921"/>
        <w:spacing w:after="0" w:line="285" w:lineRule="auto"/>
        <w:tabs>
          <w:tab w:leader="none" w:pos="1128"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obligations of the Guarantors hereunder shall not be, to the fullest extent permitted by law, affected by the genuineness, validity, regularity or enforceability (or lack thereof) of any of Owner’s obligations under any Trust Indenture or any other Financing Agreement to which Owner is a party, any amendment, waiver or other modification of any Trust Indenture or such other Financing Agreement (except that any such amendment or other modification shall be given effect in determining the obligations of the Guarantors hereunder), or by any substitution, release or exchange of collateral for or other guaranty of any of the Guaranteed Obligations (except to the extent that such substitution, release or exchange is not undertaken in accordance with the terms of the Financing Agreements) without the consent of each Guarantor, or by any priority or preference to which any other obligations of Owner may be entitled over Owner’s obligations under any Trust Indenture and the other Financing Agreements to which Owner is a party, or by any other circumstance that might otherwise constitute a legal or equitable defense to or discharge of the obligations of a surety or guarantor including, without limitation, any defense arising out of any laws of the United States of America or of any State thereof which would excuse, discharge, exempt, modify or delay the due or punctual payment and performance of the obligations of the Guarantors hereunder. Without limiting the generality of the foregoing, it is agreed that the occurrence of any one or more of the following shall not, to the fullest extent permitted by law, affect the liability of the Guarantors hereunder: (a) the extension of the time for or waiver of, at any time or from time to time, without notice to the Guarantors, Owner’s performance of or compliance with any of its obligations under the Financing Agreements (except that such extension or waiver shall be given effect in determining the obligations of the Guarantors hereunder), (b) any assignment, transfer, lease or other arrangement by which Owner transfers possession or loses control of the use of any Aircraft, (c) any defect in the title, condition, design, operation or fitness for use of, or damage to or loss or destruction of, any Aircraft, whether or not due to the fault of Owner, (d) any merger or consolidation of Owner or either Guarantor into or with any other Person, or any sale, transfer, lease or disposal of any of its assets, (e) any issuance of Additional Series Equipment Notes or (f) any change in the ownership of any shares of capital stock of Owner.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74" w:right="279" w:bottom="1440" w:gutter="0" w:footer="0" w:header="0"/>
        </w:sectPr>
      </w:pPr>
    </w:p>
    <w:bookmarkStart w:id="116" w:name="page117"/>
    <w:bookmarkEnd w:id="116"/>
    <w:p>
      <w:pPr>
        <w:ind w:firstLine="921"/>
        <w:spacing w:after="0" w:line="269" w:lineRule="auto"/>
        <w:tabs>
          <w:tab w:leader="none" w:pos="1158" w:val="left"/>
        </w:tabs>
        <w:numPr>
          <w:ilvl w:val="0"/>
          <w:numId w:val="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Guarantee is an absolute, present and continuing guaranty of payment and performance and not of collection and is in no way conditional or contingent upon any attempt to collect from Owner any unpaid amounts due. The Guarantors specifically agree, to the fullest extent permitted by law, that it shall not be necessary or required, and that the Guarantors shall not be entitled to require, that any Party (i) file suit or proceed to obtain or assert a claim for personal judgment against Owner for the Guaranteed Obligations, or (ii) make any effort at collection of the Guaranteed Obligations from Owner, or (iii) foreclose against or seek to realize upon any security now or hereafter existing for the Guaranteed Obligations, including the Collateral (as defined in the Trust Indentures), or (iv) file suit or proceed to obtain or assert a claim for personal judgment against any other Person liable for the Guaranteed Obligations, or make any effort at collection of the Guaranteed Obligations from any such other Person, or exercise or assert any other right or remedy to which any Party is or may be entitled in connection with the Guaranteed Obligations or any security or other guaranty therefor, or (v) assert or file any claim against the assets of Owner or any other guarantor or other Person liable for the Guaranteed Obligations, or any part thereof, before or as a condition of enforcing the liability of the Guarantors under this Guarantee or requiring payment of said Guaranteed Obligations by the Guarantors hereunder, or at any time thereafter.</w:t>
      </w:r>
    </w:p>
    <w:p>
      <w:pPr>
        <w:spacing w:after="0" w:line="18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No Implied Third Party Beneficiaries</w:t>
      </w:r>
      <w:r>
        <w:rPr>
          <w:rFonts w:ascii="Arial" w:cs="Arial" w:eastAsia="Arial" w:hAnsi="Arial"/>
          <w:sz w:val="18"/>
          <w:szCs w:val="18"/>
          <w:color w:val="auto"/>
        </w:rPr>
        <w:t>. This Guarantee shall not be deemed to create any right in any Person except a Party and shall not be construed in any respect to be a contract in whole or in part for the benefit of any other Person.</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Waiver; No Set-off; Reinstatement; Subrogation</w:t>
      </w:r>
      <w:r>
        <w:rPr>
          <w:rFonts w:ascii="Arial" w:cs="Arial" w:eastAsia="Arial" w:hAnsi="Arial"/>
          <w:sz w:val="16"/>
          <w:szCs w:val="16"/>
          <w:color w:val="auto"/>
        </w:rPr>
        <w:t xml:space="preserve">. The Guarantors waive notice of the acceptance of this Guarantee and of the performance or nonperformance by Owner, demand for payment from Owner or any other Person, notice of nonpayment or failure to perform on the part of Owner, diligence, presentment, protest, dishonor and, to the fullest extent permitted by law, all other demands or notices whatsoever, other than the request for payment hereunder and notice provided for in Section 1 hereof. The obligations of the Guarantors shall be absolute and unconditional and shall remain in full force and effect until satisfaction of all Guaranteed Obligations and, without limiting the generality of the foregoing, to the extent not prohibited by applicable law, shall not be released, discharged or otherwise affected by the existence of any claims, set-off, defense or other rights that the Guarantors may have at any time and from time to time against any Party, whether in connection herewith or any unrelated transactions. This Guarantee shall continue to be effective or be reinstated, as the case may be, if at any time any payment of any Guaranteed Obligation is rescinded or must otherwise be returned by any Party upon the insolvency, bankruptcy, reorganization, arrangement, readjustment of debt, dissolution, liquidation or similar proceeding with respect to Owner or otherwise, all as though such payment had not been made. The Guarantor, by virtue of any payment hereunder to a Party, shall be subrogated to such Party’s claim against Owner or any other Person relating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Guarantor shall be entitled to receive payment from Owner in respect of any claim against Owner arising from a payment by such Guarantor in the event of any insolvency, bankruptcy, liquidation, reorganization or other similar proceedings relating to Owner, or in the event of any proceedings for voluntary liquidation, dissolution or other winding-up of Owner, whether or not involving insolvency or bankruptcy proceedings, in which case the Guaranteed Obligations shall be paid and performed in full before any payment in respect of a claim by such Guarantor shall be made by or on behalf of Owner.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17" w:name="page118"/>
    <w:bookmarkEnd w:id="117"/>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Amendments, Etc</w:t>
      </w:r>
      <w:r>
        <w:rPr>
          <w:rFonts w:ascii="Arial" w:cs="Arial" w:eastAsia="Arial" w:hAnsi="Arial"/>
          <w:sz w:val="18"/>
          <w:szCs w:val="18"/>
          <w:color w:val="auto"/>
        </w:rPr>
        <w:t>. No amendment of or supplement to this Guarantee, or waiver or modification of, or consent under, the terms hereof, shall be effective unless evidenced by an instrument in writing signed by the Guarantors and each Party against whom such amendment, supplement, waiver, modification or consent is to be enforced.</w:t>
      </w:r>
    </w:p>
    <w:p>
      <w:pPr>
        <w:spacing w:after="0" w:line="18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Payments</w:t>
      </w:r>
      <w:r>
        <w:rPr>
          <w:rFonts w:ascii="Arial" w:cs="Arial" w:eastAsia="Arial" w:hAnsi="Arial"/>
          <w:sz w:val="16"/>
          <w:szCs w:val="16"/>
          <w:color w:val="auto"/>
        </w:rPr>
        <w:t>. All payments by the Guarantors hereunder in respect of any Obligation shall be made in Dollars and otherwise as provided in the relevant Trust Indenture, the relevant Participation Agreement or the relevant Equipment Note in which such Guaranteed Obligation is contained.</w:t>
      </w:r>
    </w:p>
    <w:p>
      <w:pPr>
        <w:spacing w:after="0" w:line="12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Integration; Counterparts; Successors and Assigns; Headings</w:t>
      </w:r>
      <w:r>
        <w:rPr>
          <w:rFonts w:ascii="Arial" w:cs="Arial" w:eastAsia="Arial" w:hAnsi="Arial"/>
          <w:sz w:val="16"/>
          <w:szCs w:val="16"/>
          <w:color w:val="auto"/>
        </w:rPr>
        <w:t>. This Guarantee (a) constitutes the entire agreement, and supersedes all prior agreements and understandings, both written and oral, among the Guarantors and the Parties, with respect to the subject matter hereof, (b) may be executed in several counterparts, each of which shall be deemed an original, but all of which together shall constitute one and the same instrument, and (c) shall be binding upon the successors and assigns of the Guarantors and shall inure to the benefit of, and shall be enforceable by, each of the Parties to the fullest extent permitted by applicable laws. The headings in this Guarantee are for purposes of reference only, and shall not limit or otherwise affect the meanings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Notices</w:t>
      </w:r>
      <w:r>
        <w:rPr>
          <w:rFonts w:ascii="Arial" w:cs="Arial" w:eastAsia="Arial" w:hAnsi="Arial"/>
          <w:sz w:val="18"/>
          <w:szCs w:val="18"/>
          <w:color w:val="auto"/>
        </w:rPr>
        <w:t>. All requests, notices or other communications hereunder shall be in writing, addressed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to USAG: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817-967-4318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AAG: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817-967-4318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 Party: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address or telecopy number set forth in the Participation Agreements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All requests, notices or other communications shall be given in the manner, and shall be effective at the times and under the terms, set forth in Section 12.7 of the Participation Agreements.</w:t>
      </w:r>
    </w:p>
    <w:p>
      <w:pPr>
        <w:spacing w:after="0" w:line="170"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 Waivers</w:t>
      </w:r>
      <w:r>
        <w:rPr>
          <w:rFonts w:ascii="Arial" w:cs="Arial" w:eastAsia="Arial" w:hAnsi="Arial"/>
          <w:sz w:val="18"/>
          <w:szCs w:val="18"/>
          <w:color w:val="auto"/>
        </w:rPr>
        <w:t>. No failure on the part of any Party to exercise, no delay in exercising, and no course of dealing with respect to, any right or remedy hereunder will operate as a waiver thereof; nor will any single or partial exercise of any right or remedy hereunder preclude any other or further exercise of such right or remedy or the exercise of any other right or remedy.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18" w:name="page119"/>
    <w:bookmarkEnd w:id="118"/>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fullest extent permitted by applicable law, any provision of this Guarantee that is prohibited or unenforceable in any jurisdiction shall, as to such jurisdiction, be ineffective to the extent of such prohibition or unenforceability without invalidating the remaining provisions hereof or any provision in any other Operative Agreement, and any such prohibition or unenforceability in any jurisdiction shall not invalidate or render unenforceable such provision in any other jurisdiction.</w:t>
      </w:r>
    </w:p>
    <w:p>
      <w:pPr>
        <w:spacing w:after="0" w:line="18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GOVERNING LAW</w:t>
      </w:r>
      <w:r>
        <w:rPr>
          <w:rFonts w:ascii="Arial" w:cs="Arial" w:eastAsia="Arial" w:hAnsi="Arial"/>
          <w:sz w:val="17"/>
          <w:szCs w:val="17"/>
          <w:color w:val="auto"/>
        </w:rPr>
        <w:t>. THIS GUARANTEE SHALL BE GOVERNED BY, AND CONSTRUED IN ACCORDANCE WITH, THE LAW OF THE STATE OF NEW YORK (WITHOUT REGARD TO PRINCIPLES OF CONFLICTS OF LAWS THEREOF (OTHER THAN SECTIONS 5-1401 AND 5-1402 OF THE NEW YORK GENERAL OBLIGATIONS LAW)). THIS GUARANTEE IS BEING DELIVERED IN NEW YORK, NEW YORK.</w:t>
      </w:r>
    </w:p>
    <w:p>
      <w:pPr>
        <w:spacing w:after="0" w:line="166"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Consent</w:t>
      </w:r>
      <w:r>
        <w:rPr>
          <w:rFonts w:ascii="Arial" w:cs="Arial" w:eastAsia="Arial" w:hAnsi="Arial"/>
          <w:sz w:val="18"/>
          <w:szCs w:val="18"/>
          <w:color w:val="auto"/>
        </w:rPr>
        <w:t>. By agreeing, acknowledging and consenting to this Guarantee by their signatures below, each Party hereby consents to the amendment and restatement effected by this Guarantee.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274" w:right="41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caused this Guarantee to be duly executed as of the day and year first written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US AIRWAYS GROUP,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Thomas T. Weir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AMERICAN AIRLINES GROUP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Thomas T. Weir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 &amp; Treasurer</w:t>
      </w:r>
    </w:p>
    <w:p>
      <w:pPr>
        <w:sectPr>
          <w:pgSz w:w="11900" w:h="16838" w:orient="portrait"/>
          <w:cols w:equalWidth="0" w:num="1">
            <w:col w:w="9759"/>
          </w:cols>
          <w:pgMar w:left="700" w:top="274" w:right="1440"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AGREED AND CONSENTED: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Indenture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P. Hines, Jr.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Robert P. Hines,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-130810</wp:posOffset>
            </wp:positionV>
            <wp:extent cx="2727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Pass Through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P. Hines, Jr.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Robert P. Hines,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-130810</wp:posOffset>
            </wp:positionV>
            <wp:extent cx="2727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Subordination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P. Hines, Jr.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Robert P. Hines,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-130810</wp:posOffset>
            </wp:positionV>
            <wp:extent cx="2727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Vice President</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121" w:name="page122"/>
    <w:bookmarkEnd w:id="121"/>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GUARANTEE</w:t>
      </w:r>
    </w:p>
    <w:p>
      <w:pPr>
        <w:spacing w:after="0" w:line="207" w:lineRule="exact"/>
        <w:rPr>
          <w:sz w:val="20"/>
          <w:szCs w:val="20"/>
          <w:color w:val="auto"/>
        </w:rPr>
      </w:pPr>
    </w:p>
    <w:p>
      <w:pPr>
        <w:ind w:left="5340"/>
        <w:spacing w:after="0"/>
        <w:rPr>
          <w:sz w:val="20"/>
          <w:szCs w:val="20"/>
          <w:color w:val="auto"/>
        </w:rPr>
      </w:pPr>
      <w:r>
        <w:rPr>
          <w:rFonts w:ascii="Arial" w:cs="Arial" w:eastAsia="Arial" w:hAnsi="Arial"/>
          <w:sz w:val="18"/>
          <w:szCs w:val="18"/>
          <w:b w:val="1"/>
          <w:bCs w:val="1"/>
          <w:u w:val="single" w:color="auto"/>
          <w:color w:val="auto"/>
        </w:rPr>
        <w:t>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Indenture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Pass Through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Subordination Agent</w:t>
      </w:r>
    </w:p>
    <w:p>
      <w:pPr>
        <w:spacing w:after="0" w:line="200" w:lineRule="exact"/>
        <w:rPr>
          <w:sz w:val="20"/>
          <w:szCs w:val="20"/>
          <w:color w:val="auto"/>
        </w:rPr>
      </w:pPr>
    </w:p>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I</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219"/>
          </w:cols>
          <w:pgMar w:left="240" w:top="270" w:right="1440"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GUARANTEE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AIRCRAFT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w w:val="95"/>
              </w:rPr>
              <w:t>U.S. Registration Mark</w:t>
            </w:r>
          </w:p>
        </w:tc>
        <w:tc>
          <w:tcPr>
            <w:tcW w:w="2680" w:type="dxa"/>
            <w:vAlign w:val="bottom"/>
          </w:tcPr>
          <w:p>
            <w:pPr>
              <w:spacing w:after="0"/>
              <w:rPr>
                <w:sz w:val="14"/>
                <w:szCs w:val="14"/>
                <w:color w:val="auto"/>
              </w:rPr>
            </w:pPr>
          </w:p>
        </w:tc>
        <w:tc>
          <w:tcPr>
            <w:tcW w:w="2120" w:type="dxa"/>
            <w:vAlign w:val="bottom"/>
            <w:gridSpan w:val="2"/>
          </w:tcPr>
          <w:p>
            <w:pPr>
              <w:ind w:left="60"/>
              <w:spacing w:after="0"/>
              <w:rPr>
                <w:sz w:val="20"/>
                <w:szCs w:val="20"/>
                <w:color w:val="auto"/>
              </w:rPr>
            </w:pPr>
            <w:r>
              <w:rPr>
                <w:rFonts w:ascii="Arial" w:cs="Arial" w:eastAsia="Arial" w:hAnsi="Arial"/>
                <w:sz w:val="14"/>
                <w:szCs w:val="14"/>
                <w:b w:val="1"/>
                <w:bCs w:val="1"/>
                <w:color w:val="auto"/>
              </w:rPr>
              <w:t>MSN</w:t>
            </w:r>
          </w:p>
        </w:tc>
        <w:tc>
          <w:tcPr>
            <w:tcW w:w="2980" w:type="dxa"/>
            <w:vAlign w:val="bottom"/>
            <w:gridSpan w:val="2"/>
            <w:vMerge w:val="restart"/>
          </w:tcPr>
          <w:p>
            <w:pPr>
              <w:jc w:val="center"/>
              <w:ind w:right="1700"/>
              <w:spacing w:after="0"/>
              <w:rPr>
                <w:sz w:val="20"/>
                <w:szCs w:val="20"/>
                <w:color w:val="auto"/>
              </w:rPr>
            </w:pPr>
            <w:r>
              <w:rPr>
                <w:rFonts w:ascii="Arial" w:cs="Arial" w:eastAsia="Arial" w:hAnsi="Arial"/>
                <w:sz w:val="14"/>
                <w:szCs w:val="14"/>
                <w:b w:val="1"/>
                <w:bCs w:val="1"/>
                <w:color w:val="auto"/>
                <w:w w:val="97"/>
              </w:rPr>
              <w:t>Aircraft Type</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Engine Model Type</w:t>
            </w: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3100" w:type="dxa"/>
            <w:vAlign w:val="bottom"/>
            <w:gridSpan w:val="2"/>
          </w:tcPr>
          <w:p>
            <w:pPr>
              <w:jc w:val="center"/>
              <w:ind w:left="2612"/>
              <w:spacing w:after="0" w:line="158" w:lineRule="exact"/>
              <w:rPr>
                <w:sz w:val="20"/>
                <w:szCs w:val="20"/>
                <w:color w:val="auto"/>
              </w:rPr>
            </w:pPr>
            <w:r>
              <w:rPr>
                <w:rFonts w:ascii="Arial" w:cs="Arial" w:eastAsia="Arial" w:hAnsi="Arial"/>
                <w:sz w:val="14"/>
                <w:szCs w:val="14"/>
                <w:b w:val="1"/>
                <w:bCs w:val="1"/>
                <w:color w:val="auto"/>
              </w:rPr>
              <w:t>#</w:t>
            </w:r>
          </w:p>
        </w:tc>
        <w:tc>
          <w:tcPr>
            <w:tcW w:w="1700" w:type="dxa"/>
            <w:vAlign w:val="bottom"/>
          </w:tcPr>
          <w:p>
            <w:pPr>
              <w:spacing w:after="0"/>
              <w:rPr>
                <w:sz w:val="15"/>
                <w:szCs w:val="15"/>
                <w:color w:val="auto"/>
              </w:rPr>
            </w:pPr>
          </w:p>
        </w:tc>
        <w:tc>
          <w:tcPr>
            <w:tcW w:w="298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N543UW</w:t>
            </w:r>
          </w:p>
        </w:tc>
        <w:tc>
          <w:tcPr>
            <w:tcW w:w="26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4843</w:t>
            </w:r>
          </w:p>
        </w:tc>
        <w:tc>
          <w:tcPr>
            <w:tcW w:w="17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Airbus A321-231</w:t>
            </w:r>
          </w:p>
        </w:tc>
        <w:tc>
          <w:tcPr>
            <w:tcW w:w="17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V2533-A5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N544UW</w:t>
            </w:r>
          </w:p>
        </w:tc>
        <w:tc>
          <w:tcPr>
            <w:tcW w:w="3100" w:type="dxa"/>
            <w:vAlign w:val="bottom"/>
            <w:gridSpan w:val="2"/>
          </w:tcPr>
          <w:p>
            <w:pPr>
              <w:jc w:val="center"/>
              <w:ind w:left="2612"/>
              <w:spacing w:after="0"/>
              <w:rPr>
                <w:sz w:val="20"/>
                <w:szCs w:val="20"/>
                <w:color w:val="auto"/>
              </w:rPr>
            </w:pPr>
            <w:r>
              <w:rPr>
                <w:rFonts w:ascii="Arial" w:cs="Arial" w:eastAsia="Arial" w:hAnsi="Arial"/>
                <w:sz w:val="18"/>
                <w:szCs w:val="18"/>
                <w:color w:val="auto"/>
                <w:w w:val="89"/>
              </w:rPr>
              <w:t>4847</w:t>
            </w:r>
          </w:p>
        </w:tc>
        <w:tc>
          <w:tcPr>
            <w:tcW w:w="1700" w:type="dxa"/>
            <w:vAlign w:val="bottom"/>
          </w:tcPr>
          <w:p>
            <w:pPr>
              <w:spacing w:after="0"/>
              <w:rPr>
                <w:sz w:val="18"/>
                <w:szCs w:val="18"/>
                <w:color w:val="auto"/>
              </w:rPr>
            </w:pPr>
          </w:p>
        </w:tc>
        <w:tc>
          <w:tcPr>
            <w:tcW w:w="2980" w:type="dxa"/>
            <w:vAlign w:val="bottom"/>
            <w:gridSpan w:val="2"/>
          </w:tcPr>
          <w:p>
            <w:pPr>
              <w:jc w:val="center"/>
              <w:ind w:right="1700"/>
              <w:spacing w:after="0"/>
              <w:rPr>
                <w:sz w:val="20"/>
                <w:szCs w:val="20"/>
                <w:color w:val="auto"/>
              </w:rPr>
            </w:pPr>
            <w:r>
              <w:rPr>
                <w:rFonts w:ascii="Arial" w:cs="Arial" w:eastAsia="Arial" w:hAnsi="Arial"/>
                <w:sz w:val="18"/>
                <w:szCs w:val="18"/>
                <w:color w:val="auto"/>
                <w:w w:val="95"/>
              </w:rPr>
              <w:t>Airbus A321-231</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V2533-A5</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N545UW</w:t>
            </w:r>
          </w:p>
        </w:tc>
        <w:tc>
          <w:tcPr>
            <w:tcW w:w="3100" w:type="dxa"/>
            <w:vAlign w:val="bottom"/>
            <w:gridSpan w:val="2"/>
            <w:shd w:val="clear" w:color="auto" w:fill="CCEEFF"/>
          </w:tcPr>
          <w:p>
            <w:pPr>
              <w:jc w:val="center"/>
              <w:ind w:left="2612"/>
              <w:spacing w:after="0"/>
              <w:rPr>
                <w:sz w:val="20"/>
                <w:szCs w:val="20"/>
                <w:color w:val="auto"/>
              </w:rPr>
            </w:pPr>
            <w:r>
              <w:rPr>
                <w:rFonts w:ascii="Arial" w:cs="Arial" w:eastAsia="Arial" w:hAnsi="Arial"/>
                <w:sz w:val="18"/>
                <w:szCs w:val="18"/>
                <w:color w:val="auto"/>
                <w:w w:val="89"/>
              </w:rPr>
              <w:t>4850</w:t>
            </w:r>
          </w:p>
        </w:tc>
        <w:tc>
          <w:tcPr>
            <w:tcW w:w="17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center"/>
              <w:ind w:right="1700"/>
              <w:spacing w:after="0"/>
              <w:rPr>
                <w:sz w:val="20"/>
                <w:szCs w:val="20"/>
                <w:color w:val="auto"/>
              </w:rPr>
            </w:pPr>
            <w:r>
              <w:rPr>
                <w:rFonts w:ascii="Arial" w:cs="Arial" w:eastAsia="Arial" w:hAnsi="Arial"/>
                <w:sz w:val="18"/>
                <w:szCs w:val="18"/>
                <w:color w:val="auto"/>
                <w:w w:val="95"/>
              </w:rPr>
              <w:t>Airbus A321-231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V2533-A5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N546UW</w:t>
            </w:r>
          </w:p>
        </w:tc>
        <w:tc>
          <w:tcPr>
            <w:tcW w:w="3100" w:type="dxa"/>
            <w:vAlign w:val="bottom"/>
            <w:gridSpan w:val="2"/>
          </w:tcPr>
          <w:p>
            <w:pPr>
              <w:jc w:val="center"/>
              <w:ind w:left="2612"/>
              <w:spacing w:after="0"/>
              <w:rPr>
                <w:sz w:val="20"/>
                <w:szCs w:val="20"/>
                <w:color w:val="auto"/>
              </w:rPr>
            </w:pPr>
            <w:r>
              <w:rPr>
                <w:rFonts w:ascii="Arial" w:cs="Arial" w:eastAsia="Arial" w:hAnsi="Arial"/>
                <w:sz w:val="18"/>
                <w:szCs w:val="18"/>
                <w:color w:val="auto"/>
                <w:w w:val="89"/>
              </w:rPr>
              <w:t>4885</w:t>
            </w:r>
          </w:p>
        </w:tc>
        <w:tc>
          <w:tcPr>
            <w:tcW w:w="1700" w:type="dxa"/>
            <w:vAlign w:val="bottom"/>
          </w:tcPr>
          <w:p>
            <w:pPr>
              <w:spacing w:after="0"/>
              <w:rPr>
                <w:sz w:val="18"/>
                <w:szCs w:val="18"/>
                <w:color w:val="auto"/>
              </w:rPr>
            </w:pPr>
          </w:p>
        </w:tc>
        <w:tc>
          <w:tcPr>
            <w:tcW w:w="2980" w:type="dxa"/>
            <w:vAlign w:val="bottom"/>
            <w:gridSpan w:val="2"/>
          </w:tcPr>
          <w:p>
            <w:pPr>
              <w:jc w:val="center"/>
              <w:ind w:right="1700"/>
              <w:spacing w:after="0"/>
              <w:rPr>
                <w:sz w:val="20"/>
                <w:szCs w:val="20"/>
                <w:color w:val="auto"/>
              </w:rPr>
            </w:pPr>
            <w:r>
              <w:rPr>
                <w:rFonts w:ascii="Arial" w:cs="Arial" w:eastAsia="Arial" w:hAnsi="Arial"/>
                <w:sz w:val="18"/>
                <w:szCs w:val="18"/>
                <w:color w:val="auto"/>
                <w:w w:val="95"/>
              </w:rPr>
              <w:t>Airbus A321-231</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V2533-A5</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N284AY</w:t>
            </w:r>
          </w:p>
        </w:tc>
        <w:tc>
          <w:tcPr>
            <w:tcW w:w="3100" w:type="dxa"/>
            <w:vAlign w:val="bottom"/>
            <w:gridSpan w:val="2"/>
            <w:shd w:val="clear" w:color="auto" w:fill="CCEEFF"/>
          </w:tcPr>
          <w:p>
            <w:pPr>
              <w:jc w:val="center"/>
              <w:ind w:left="2612"/>
              <w:spacing w:after="0"/>
              <w:rPr>
                <w:sz w:val="20"/>
                <w:szCs w:val="20"/>
                <w:color w:val="auto"/>
              </w:rPr>
            </w:pPr>
            <w:r>
              <w:rPr>
                <w:rFonts w:ascii="Arial" w:cs="Arial" w:eastAsia="Arial" w:hAnsi="Arial"/>
                <w:sz w:val="18"/>
                <w:szCs w:val="18"/>
                <w:color w:val="auto"/>
                <w:w w:val="89"/>
              </w:rPr>
              <w:t>1095</w:t>
            </w:r>
          </w:p>
        </w:tc>
        <w:tc>
          <w:tcPr>
            <w:tcW w:w="17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center"/>
              <w:ind w:right="1700"/>
              <w:spacing w:after="0"/>
              <w:rPr>
                <w:sz w:val="20"/>
                <w:szCs w:val="20"/>
                <w:color w:val="auto"/>
              </w:rPr>
            </w:pPr>
            <w:r>
              <w:rPr>
                <w:rFonts w:ascii="Arial" w:cs="Arial" w:eastAsia="Arial" w:hAnsi="Arial"/>
                <w:sz w:val="18"/>
                <w:szCs w:val="18"/>
                <w:color w:val="auto"/>
                <w:w w:val="95"/>
              </w:rPr>
              <w:t>Airbus A330-243</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Trent 772-B60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N285AY</w:t>
            </w:r>
          </w:p>
        </w:tc>
        <w:tc>
          <w:tcPr>
            <w:tcW w:w="3100" w:type="dxa"/>
            <w:vAlign w:val="bottom"/>
            <w:gridSpan w:val="2"/>
          </w:tcPr>
          <w:p>
            <w:pPr>
              <w:jc w:val="center"/>
              <w:ind w:left="2612"/>
              <w:spacing w:after="0"/>
              <w:rPr>
                <w:sz w:val="20"/>
                <w:szCs w:val="20"/>
                <w:color w:val="auto"/>
              </w:rPr>
            </w:pPr>
            <w:r>
              <w:rPr>
                <w:rFonts w:ascii="Arial" w:cs="Arial" w:eastAsia="Arial" w:hAnsi="Arial"/>
                <w:sz w:val="18"/>
                <w:szCs w:val="18"/>
                <w:color w:val="auto"/>
                <w:w w:val="89"/>
              </w:rPr>
              <w:t>1100</w:t>
            </w:r>
          </w:p>
        </w:tc>
        <w:tc>
          <w:tcPr>
            <w:tcW w:w="1700" w:type="dxa"/>
            <w:vAlign w:val="bottom"/>
          </w:tcPr>
          <w:p>
            <w:pPr>
              <w:spacing w:after="0"/>
              <w:rPr>
                <w:sz w:val="18"/>
                <w:szCs w:val="18"/>
                <w:color w:val="auto"/>
              </w:rPr>
            </w:pPr>
          </w:p>
        </w:tc>
        <w:tc>
          <w:tcPr>
            <w:tcW w:w="2980" w:type="dxa"/>
            <w:vAlign w:val="bottom"/>
            <w:gridSpan w:val="2"/>
          </w:tcPr>
          <w:p>
            <w:pPr>
              <w:jc w:val="center"/>
              <w:ind w:right="1700"/>
              <w:spacing w:after="0"/>
              <w:rPr>
                <w:sz w:val="20"/>
                <w:szCs w:val="20"/>
                <w:color w:val="auto"/>
              </w:rPr>
            </w:pPr>
            <w:r>
              <w:rPr>
                <w:rFonts w:ascii="Arial" w:cs="Arial" w:eastAsia="Arial" w:hAnsi="Arial"/>
                <w:sz w:val="18"/>
                <w:szCs w:val="18"/>
                <w:color w:val="auto"/>
                <w:w w:val="95"/>
              </w:rPr>
              <w:t>Airbus A330-243</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Trent 772-B60</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N534UW</w:t>
            </w:r>
          </w:p>
        </w:tc>
        <w:tc>
          <w:tcPr>
            <w:tcW w:w="3100" w:type="dxa"/>
            <w:vAlign w:val="bottom"/>
            <w:gridSpan w:val="2"/>
            <w:shd w:val="clear" w:color="auto" w:fill="CCEEFF"/>
          </w:tcPr>
          <w:p>
            <w:pPr>
              <w:jc w:val="center"/>
              <w:ind w:left="2612"/>
              <w:spacing w:after="0"/>
              <w:rPr>
                <w:sz w:val="20"/>
                <w:szCs w:val="20"/>
                <w:color w:val="auto"/>
              </w:rPr>
            </w:pPr>
            <w:r>
              <w:rPr>
                <w:rFonts w:ascii="Arial" w:cs="Arial" w:eastAsia="Arial" w:hAnsi="Arial"/>
                <w:sz w:val="18"/>
                <w:szCs w:val="18"/>
                <w:color w:val="auto"/>
                <w:w w:val="89"/>
              </w:rPr>
              <w:t>3989</w:t>
            </w:r>
          </w:p>
        </w:tc>
        <w:tc>
          <w:tcPr>
            <w:tcW w:w="17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center"/>
              <w:ind w:right="1700"/>
              <w:spacing w:after="0"/>
              <w:rPr>
                <w:sz w:val="20"/>
                <w:szCs w:val="20"/>
                <w:color w:val="auto"/>
              </w:rPr>
            </w:pPr>
            <w:r>
              <w:rPr>
                <w:rFonts w:ascii="Arial" w:cs="Arial" w:eastAsia="Arial" w:hAnsi="Arial"/>
                <w:sz w:val="18"/>
                <w:szCs w:val="18"/>
                <w:color w:val="auto"/>
                <w:w w:val="95"/>
              </w:rPr>
              <w:t>Airbus A321-231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V2533-A5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N536UW</w:t>
            </w:r>
          </w:p>
        </w:tc>
        <w:tc>
          <w:tcPr>
            <w:tcW w:w="3100" w:type="dxa"/>
            <w:vAlign w:val="bottom"/>
            <w:gridSpan w:val="2"/>
          </w:tcPr>
          <w:p>
            <w:pPr>
              <w:jc w:val="center"/>
              <w:ind w:left="2612"/>
              <w:spacing w:after="0"/>
              <w:rPr>
                <w:sz w:val="20"/>
                <w:szCs w:val="20"/>
                <w:color w:val="auto"/>
              </w:rPr>
            </w:pPr>
            <w:r>
              <w:rPr>
                <w:rFonts w:ascii="Arial" w:cs="Arial" w:eastAsia="Arial" w:hAnsi="Arial"/>
                <w:sz w:val="18"/>
                <w:szCs w:val="18"/>
                <w:color w:val="auto"/>
                <w:w w:val="89"/>
              </w:rPr>
              <w:t>4025</w:t>
            </w:r>
          </w:p>
        </w:tc>
        <w:tc>
          <w:tcPr>
            <w:tcW w:w="1700" w:type="dxa"/>
            <w:vAlign w:val="bottom"/>
          </w:tcPr>
          <w:p>
            <w:pPr>
              <w:spacing w:after="0"/>
              <w:rPr>
                <w:sz w:val="18"/>
                <w:szCs w:val="18"/>
                <w:color w:val="auto"/>
              </w:rPr>
            </w:pPr>
          </w:p>
        </w:tc>
        <w:tc>
          <w:tcPr>
            <w:tcW w:w="2980" w:type="dxa"/>
            <w:vAlign w:val="bottom"/>
            <w:gridSpan w:val="2"/>
          </w:tcPr>
          <w:p>
            <w:pPr>
              <w:jc w:val="center"/>
              <w:ind w:right="1700"/>
              <w:spacing w:after="0"/>
              <w:rPr>
                <w:sz w:val="20"/>
                <w:szCs w:val="20"/>
                <w:color w:val="auto"/>
              </w:rPr>
            </w:pPr>
            <w:r>
              <w:rPr>
                <w:rFonts w:ascii="Arial" w:cs="Arial" w:eastAsia="Arial" w:hAnsi="Arial"/>
                <w:sz w:val="18"/>
                <w:szCs w:val="18"/>
                <w:color w:val="auto"/>
                <w:w w:val="95"/>
              </w:rPr>
              <w:t>Airbus A321-231</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V2533-A5</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N126UW</w:t>
            </w:r>
          </w:p>
        </w:tc>
        <w:tc>
          <w:tcPr>
            <w:tcW w:w="3100" w:type="dxa"/>
            <w:vAlign w:val="bottom"/>
            <w:gridSpan w:val="2"/>
            <w:shd w:val="clear" w:color="auto" w:fill="CCEEFF"/>
          </w:tcPr>
          <w:p>
            <w:pPr>
              <w:jc w:val="center"/>
              <w:ind w:left="2612"/>
              <w:spacing w:after="0"/>
              <w:rPr>
                <w:sz w:val="20"/>
                <w:szCs w:val="20"/>
                <w:color w:val="auto"/>
              </w:rPr>
            </w:pPr>
            <w:r>
              <w:rPr>
                <w:rFonts w:ascii="Arial" w:cs="Arial" w:eastAsia="Arial" w:hAnsi="Arial"/>
                <w:sz w:val="18"/>
                <w:szCs w:val="18"/>
                <w:color w:val="auto"/>
                <w:w w:val="89"/>
              </w:rPr>
              <w:t>4149</w:t>
            </w:r>
          </w:p>
        </w:tc>
        <w:tc>
          <w:tcPr>
            <w:tcW w:w="17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center"/>
              <w:ind w:right="1700"/>
              <w:spacing w:after="0"/>
              <w:rPr>
                <w:sz w:val="20"/>
                <w:szCs w:val="20"/>
                <w:color w:val="auto"/>
              </w:rPr>
            </w:pPr>
            <w:r>
              <w:rPr>
                <w:rFonts w:ascii="Arial" w:cs="Arial" w:eastAsia="Arial" w:hAnsi="Arial"/>
                <w:sz w:val="18"/>
                <w:szCs w:val="18"/>
                <w:color w:val="auto"/>
                <w:w w:val="95"/>
              </w:rPr>
              <w:t>Airbus A320-214</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CFM56-5B4</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AMENDED AND RESTATED GUARANTEE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March 31, 2014</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from</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US AIRWAYS GROUP,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AMERICAN AIRLINES GROUP INC.</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Ten (10) Airbus A321-231 and Four (4) Airbus A321-211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00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Guarantee</w:t>
            </w:r>
          </w:p>
        </w:tc>
        <w:tc>
          <w:tcPr>
            <w:tcW w:w="1920" w:type="dxa"/>
            <w:vAlign w:val="bottom"/>
            <w:tcBorders>
              <w:top w:val="single" w:sz="8" w:color="auto"/>
            </w:tcBorders>
            <w:vMerge w:val="restart"/>
          </w:tcPr>
          <w:p>
            <w:pPr>
              <w:spacing w:after="0"/>
              <w:rPr>
                <w:sz w:val="24"/>
                <w:szCs w:val="24"/>
                <w:color w:val="auto"/>
              </w:rPr>
            </w:pPr>
          </w:p>
        </w:tc>
        <w:tc>
          <w:tcPr>
            <w:tcW w:w="4340" w:type="dxa"/>
            <w:vAlign w:val="bottom"/>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960" w:type="dxa"/>
            <w:vAlign w:val="bottom"/>
            <w:vMerge w:val="continue"/>
          </w:tcPr>
          <w:p>
            <w:pPr>
              <w:spacing w:after="0"/>
              <w:rPr>
                <w:sz w:val="19"/>
                <w:szCs w:val="19"/>
                <w:color w:val="auto"/>
              </w:rPr>
            </w:pPr>
          </w:p>
        </w:tc>
        <w:tc>
          <w:tcPr>
            <w:tcW w:w="3800" w:type="dxa"/>
            <w:vAlign w:val="bottom"/>
            <w:vMerge w:val="continue"/>
          </w:tcPr>
          <w:p>
            <w:pPr>
              <w:spacing w:after="0"/>
              <w:rPr>
                <w:sz w:val="19"/>
                <w:szCs w:val="19"/>
                <w:color w:val="auto"/>
              </w:rPr>
            </w:pPr>
          </w:p>
        </w:tc>
        <w:tc>
          <w:tcPr>
            <w:tcW w:w="1920" w:type="dxa"/>
            <w:vAlign w:val="bottom"/>
            <w:tcBorders>
              <w:top w:val="single" w:sz="8" w:color="auto"/>
            </w:tcBorders>
            <w:vMerge w:val="continue"/>
          </w:tcPr>
          <w:p>
            <w:pPr>
              <w:spacing w:after="0"/>
              <w:rPr>
                <w:sz w:val="19"/>
                <w:szCs w:val="19"/>
                <w:color w:val="auto"/>
              </w:rPr>
            </w:pPr>
          </w:p>
        </w:tc>
        <w:tc>
          <w:tcPr>
            <w:tcW w:w="434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Section 2.</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No Implied Third Party Beneficiaries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3.</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Waiver; No Set-off; Reinstatement; Subrogation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4.</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Amendments, Etc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5.</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Payments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6.</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Integration; Counterparts; Successors and Assigns; Headings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7.</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Notices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8.</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No Waivers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9.</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Severability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10.</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GOVERNING LAW</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260" w:type="dxa"/>
            <w:vAlign w:val="bottom"/>
            <w:gridSpan w:val="2"/>
          </w:tcPr>
          <w:p>
            <w:pPr>
              <w:jc w:val="center"/>
              <w:ind w:right="4360"/>
              <w:spacing w:after="0"/>
              <w:rPr>
                <w:sz w:val="20"/>
                <w:szCs w:val="20"/>
                <w:color w:val="auto"/>
              </w:rPr>
            </w:pPr>
            <w:r>
              <w:rPr>
                <w:rFonts w:ascii="Arial" w:cs="Arial" w:eastAsia="Arial" w:hAnsi="Arial"/>
                <w:sz w:val="18"/>
                <w:szCs w:val="18"/>
                <w:color w:val="auto"/>
              </w:rPr>
              <w:t>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5" w:name="page126"/>
    <w:bookmarkEnd w:id="12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GUARANTEE</w:t>
      </w:r>
    </w:p>
    <w:p>
      <w:pPr>
        <w:spacing w:after="0" w:line="22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AMENDED AND RESTATED GUARANTEE, dated as of March 31, 2014 (as amended, modified or supplemented from time to time, this “Guarantee”), from US AIRWAYS GROUP, INC., a Delaware corporation (together with its permitted successors and assigns, “USAG”) and AMERICAN AIRLINES GROUP INC., a Delaware corporation (together with its permitted successors and assigns, “AAG” and, together with USAG, the “Guarantors”), to the parties listed in Schedule I hereto (collectively, together with their successors and permitted assigns, the “Parties”, and, individually, a “Party”).</w:t>
      </w:r>
    </w:p>
    <w:p>
      <w:pPr>
        <w:spacing w:after="0" w:line="154"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WHEREAS, US Airways, Inc., a Delaware corporation (“Owner”), a direct wholly-owned subsidiary of USAG, a direct wholly-owned subsidiary of AAG, has entered into that certain Note Purchase Agreement dated as of May 14, 2012 (the “Note Purchase Agreement”), among Owner, Wilmington Trust Company, as pass through trustee under each of the Pass Through Trust Agreements (the “Pass Through Trustee”), Wilmington Trust Company, as Subordination Agent (the “Subordination Agent”), Wells Fargo Bank Northwest, National Association, as Escrow Agent under each of the Escrow and Paying Agent Agreements, and Wilmington Trust Company, as Paying Agent under each of the Escrow and Paying Agent Agreements;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capitalized terms used but not defined herein shall have the meanings set forth in the Note Purchase Agreement; and</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WHEREAS, in order to finance the aircraft identified on Schedule II hereto (the “Aircraft”), Owner has issued or will issue, as the case may be, the Equipment Notes under the Trust Indentures;</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WHEREAS, in order to induce the Pass Through Trustee to purchase the Equipment Notes and for other good and valuable consideration, USAG delivered the Guarantee dated as of April 24, 2013 (the “Prior Guarantee”) to the Parties;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USAG and AAG desire to amend and restate the Prior Guarantee on the terms set forth herein and each of the Parties desires to consent to such amendment and restatement;</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NOW, THEREFORE, in order to induce the Pass Through Trustee to purchase the Equipment Notes and for other good and valuable consideration, receipt of which is hereby acknowledged, the parties hereto agree as follows:</w:t>
      </w:r>
    </w:p>
    <w:p>
      <w:pPr>
        <w:sectPr>
          <w:pgSz w:w="11900" w:h="16838" w:orient="portrait"/>
          <w:cols w:equalWidth="0" w:num="1">
            <w:col w:w="11360"/>
          </w:cols>
          <w:pgMar w:left="240" w:top="270" w:right="299" w:bottom="1440" w:gutter="0" w:footer="0" w:header="0"/>
        </w:sectPr>
      </w:pPr>
    </w:p>
    <w:bookmarkStart w:id="126" w:name="page127"/>
    <w:bookmarkEnd w:id="126"/>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117" w:lineRule="exact"/>
        <w:rPr>
          <w:sz w:val="20"/>
          <w:szCs w:val="20"/>
          <w:color w:val="auto"/>
        </w:rPr>
      </w:pPr>
    </w:p>
    <w:p>
      <w:pPr>
        <w:ind w:left="-40" w:right="40" w:firstLine="921"/>
        <w:spacing w:after="0" w:line="286" w:lineRule="auto"/>
        <w:tabs>
          <w:tab w:leader="none" w:pos="1118" w:val="left"/>
        </w:tabs>
        <w:numPr>
          <w:ilvl w:val="0"/>
          <w:numId w:val="64"/>
        </w:numPr>
        <w:rPr>
          <w:rFonts w:ascii="Arial" w:cs="Arial" w:eastAsia="Arial" w:hAnsi="Arial"/>
          <w:sz w:val="16"/>
          <w:szCs w:val="16"/>
          <w:color w:val="auto"/>
        </w:rPr>
      </w:pPr>
      <w:r>
        <w:rPr>
          <w:rFonts w:ascii="Arial" w:cs="Arial" w:eastAsia="Arial" w:hAnsi="Arial"/>
          <w:sz w:val="16"/>
          <w:szCs w:val="16"/>
          <w:color w:val="auto"/>
        </w:rPr>
        <w:t>Each Guarantor does hereby acknowledge that it is fully aware of the terms and conditions of the Trust Indentures, the Participation Agreements, the Equipment Notes and the transactions and the other documents contemplated thereby, and the Guarantors jointly and severally hereby irrevocably and fully and unconditionally guarantee, as primary obligor and not as surety merely, to the Parties, as their respective interests may appear, the payment by Owner of all payment obligations when due under the Trust Indentures, the Participation Agreements and the Equipment Notes (such obligations of Owner guaranteed hereby being hereafter referred to, individually, as a “Guaranteed Obligation” and, collectively, as the “Guaranteed Obligations”) in accordance with the terms of the Financing Agreements. The Guarantors jointly and severally hereby agree that in the event that Owner fails to pay any Guaranteed Obligation when due for any reason (including, without limitation, the liquidation, dissolution, receivership, insolvency, bankruptcy, assignment for the benefit of creditors, reorganization, arrangement, composition or readjustment of, or other similar proceedings affecting the status, existence, assets or obligations of Owner, or the disaffirmance with respect to Owner of any Trust Indenture or any other Financing Agreement to which Owner is a party in any such proceeding) after the date on which such Guaranteed Obligation became due and payable and the applicable grace period has expired, the Guarantors shall pay or cause to be paid forthwith, upon the receipt of notice from the Indenture Trustee (such notice to be sent to Owner (to the extent the Indenture Trustee is not stayed or prevented from doing so by operation of law) and each Guarantor) stating that such Guaranteed Obligation was not paid when due after the applicable grace period has expired and stating the amount of such Guaranteed Obligation.</w:t>
      </w:r>
    </w:p>
    <w:p>
      <w:pPr>
        <w:spacing w:after="0" w:line="66" w:lineRule="exact"/>
        <w:rPr>
          <w:rFonts w:ascii="Arial" w:cs="Arial" w:eastAsia="Arial" w:hAnsi="Arial"/>
          <w:sz w:val="16"/>
          <w:szCs w:val="16"/>
          <w:color w:val="auto"/>
        </w:rPr>
      </w:pPr>
    </w:p>
    <w:p>
      <w:pPr>
        <w:ind w:left="-40" w:firstLine="921"/>
        <w:spacing w:after="0" w:line="285" w:lineRule="auto"/>
        <w:tabs>
          <w:tab w:leader="none" w:pos="1128"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obligations of the Guarantors hereunder shall not be, to the fullest extent permitted by law, affected by the genuineness, validity, regularity or enforceability (or lack thereof) of any of Owner’s obligations under any Trust Indenture or any other Financing Agreement to which Owner is a party, any amendment, waiver or other modification of any Trust Indenture or such other Financing Agreement (except that any such amendment or other modification shall be given effect in determining the obligations of the Guarantors hereunder), or by any substitution, release or exchange of collateral for or other guaranty of any of the Guaranteed Obligations (except to the extent that such substitution, release or exchange is not undertaken in accordance with the terms of the Financing Agreements) without the consent of each Guarantor, or by any priority or preference to which any other obligations of Owner may be entitled over Owner’s obligations under any Trust Indenture and the other Financing Agreements to which Owner is a party, or by any other circumstance that might otherwise constitute a legal or equitable defense to or discharge of the obligations of a surety or guarantor including, without limitation, any defense arising out of any laws of the United States of America or of any State thereof which would excuse, discharge, exempt, modify or delay the due or punctual payment and performance of the obligations of the Guarantors hereunder. Without limiting the generality of the foregoing, it is agreed that the occurrence of any one or more of the following shall not, to the fullest extent permitted by law, affect the liability of the Guarantors hereunder: (a) the extension of the time for or waiver of, at any time or from time to time, without notice to the Guarantors, Owner’s performance of or compliance with any of its obligations under the Financing Agreements (except that such extension or waiver shall be given effect in determining the obligations of the Guarantors hereunder), (b) any assignment, transfer, lease or other arrangement by which Owner transfers possession or loses control of the use of any Aircraft, (c) any defect in the title, condition, design, operation or fitness for use of, or damage to or loss or destruction of, any Aircraft, whether or not due to the fault of Owner, (d) any merger or consolidation of Owner or either Guarantor into or with any other Person, or any sale, transfer, lease or disposal of any of its assets, (e) any issuance of Series C Equipment Notes or (f) any change in the ownership of any shares of capital stock of Owner.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74" w:right="279" w:bottom="1440" w:gutter="0" w:footer="0" w:header="0"/>
        </w:sectPr>
      </w:pPr>
    </w:p>
    <w:bookmarkStart w:id="127" w:name="page128"/>
    <w:bookmarkEnd w:id="127"/>
    <w:p>
      <w:pPr>
        <w:ind w:firstLine="921"/>
        <w:spacing w:after="0" w:line="269" w:lineRule="auto"/>
        <w:tabs>
          <w:tab w:leader="none" w:pos="1158" w:val="left"/>
        </w:tabs>
        <w:numPr>
          <w:ilvl w:val="0"/>
          <w:numId w:val="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Guarantee is an absolute, present and continuing guaranty of payment and performance and not of collection and is in no way conditional or contingent upon any attempt to collect from Owner any unpaid amounts due. The Guarantors specifically agree, to the fullest extent permitted by law, that it shall not be necessary or required, and that the Guarantors shall not be entitled to require, that any Party (i) file suit or proceed to obtain or assert a claim for personal judgment against Owner for the Guaranteed Obligations, or (ii) make any effort at collection of the Guaranteed Obligations from Owner, or (iii) foreclose against or seek to realize upon any security now or hereafter existing for the Guaranteed Obligations, including the Collateral (as defined in the Trust Indentures), or (iv) file suit or proceed to obtain or assert a claim for personal judgment against any other Person liable for the Guaranteed Obligations, or make any effort at collection of the Guaranteed Obligations from any such other Person, or exercise or assert any other right or remedy to which any Party is or may be entitled in connection with the Guaranteed Obligations or any security or other guaranty therefor, or (v) assert or file any claim against the assets of Owner or any other guarantor or other Person liable for the Guaranteed Obligations, or any part thereof, before or as a condition of enforcing the liability of the Guarantors under this Guarantee or requiring payment of said Guaranteed Obligations by the Guarantors hereunder, or at any time thereafter.</w:t>
      </w:r>
    </w:p>
    <w:p>
      <w:pPr>
        <w:spacing w:after="0" w:line="18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No Implied Third Party Beneficiaries</w:t>
      </w:r>
      <w:r>
        <w:rPr>
          <w:rFonts w:ascii="Arial" w:cs="Arial" w:eastAsia="Arial" w:hAnsi="Arial"/>
          <w:sz w:val="18"/>
          <w:szCs w:val="18"/>
          <w:color w:val="auto"/>
        </w:rPr>
        <w:t>. This Guarantee shall not be deemed to create any right in any Person except a Party and shall not be construed in any respect to be a contract in whole or in part for the benefit of any other Person.</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Waiver; No Set-off; Reinstatement; Subrogation</w:t>
      </w:r>
      <w:r>
        <w:rPr>
          <w:rFonts w:ascii="Arial" w:cs="Arial" w:eastAsia="Arial" w:hAnsi="Arial"/>
          <w:sz w:val="16"/>
          <w:szCs w:val="16"/>
          <w:color w:val="auto"/>
        </w:rPr>
        <w:t xml:space="preserve">. The Guarantors waive notice of the acceptance of this Guarantee and of the performance or nonperformance by Owner, demand for payment from Owner or any other Person, notice of nonpayment or failure to perform on the part of Owner, diligence, presentment, protest, dishonor and, to the fullest extent permitted by law, all other demands or notices whatsoever, other than the request for payment hereunder and notice provided for in Section 1 hereof. The obligations of the Guarantors shall be absolute and unconditional and shall remain in full force and effect until satisfaction of all Guaranteed Obligations and, without limiting the generality of the foregoing, to the extent not prohibited by applicable law, shall not be released, discharged or otherwise affected by the existence of any claims, set-off, defense or other rights that the Guarantors may have at any time and from time to time against any Party, whether in connection herewith or any unrelated transactions. This Guarantee shall continue to be effective or be reinstated, as the case may be, if at any time any payment of any Guaranteed Obligation is rescinded or must otherwise be returned by any Party upon the insolvency, bankruptcy, reorganization, arrangement, readjustment of debt, dissolution, liquidation or similar proceeding with respect to Owner or otherwise, all as though such payment had not been made. The Guarantor, by virtue of any payment hereunder to a Party, shall be subrogated to such Party’s claim against Owner or any other Person relating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Guarantor shall be entitled to receive payment from Owner in respect of any claim against Owner arising from a payment by such Guarantor in the event of any insolvency, bankruptcy, liquidation, reorganization or other similar proceedings relating to Owner, or in the event of any proceedings for voluntary liquidation, dissolution or other winding-up of Owner, whether or not involving insolvency or bankruptcy proceedings, in which case the Guaranteed Obligations shall be paid and performed in full before any payment in respect of a claim by such Guarantor shall be made by or on behalf of Owner.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28" w:name="page129"/>
    <w:bookmarkEnd w:id="128"/>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Amendments, Etc</w:t>
      </w:r>
      <w:r>
        <w:rPr>
          <w:rFonts w:ascii="Arial" w:cs="Arial" w:eastAsia="Arial" w:hAnsi="Arial"/>
          <w:sz w:val="18"/>
          <w:szCs w:val="18"/>
          <w:color w:val="auto"/>
        </w:rPr>
        <w:t>. No amendment of or supplement to this Guarantee, or waiver or modification of, or consent under, the terms hereof, shall be effective unless evidenced by an instrument in writing signed by the Guarantors and each Party against whom such amendment, supplement, waiver, modification or consent is to be enforced.</w:t>
      </w:r>
    </w:p>
    <w:p>
      <w:pPr>
        <w:spacing w:after="0" w:line="18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Payments</w:t>
      </w:r>
      <w:r>
        <w:rPr>
          <w:rFonts w:ascii="Arial" w:cs="Arial" w:eastAsia="Arial" w:hAnsi="Arial"/>
          <w:sz w:val="16"/>
          <w:szCs w:val="16"/>
          <w:color w:val="auto"/>
        </w:rPr>
        <w:t>. All payments by the Guarantors hereunder in respect of any Obligation shall be made in Dollars and otherwise as provided in the relevant Trust Indenture, the relevant Participation Agreement or the relevant Equipment Note in which such Guaranteed Obligation is contained.</w:t>
      </w:r>
    </w:p>
    <w:p>
      <w:pPr>
        <w:spacing w:after="0" w:line="12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Integration; Counterparts; Successors and Assigns; Headings</w:t>
      </w:r>
      <w:r>
        <w:rPr>
          <w:rFonts w:ascii="Arial" w:cs="Arial" w:eastAsia="Arial" w:hAnsi="Arial"/>
          <w:sz w:val="16"/>
          <w:szCs w:val="16"/>
          <w:color w:val="auto"/>
        </w:rPr>
        <w:t>. This Guarantee (a) constitutes the entire agreement, and supersedes all prior agreements and understandings, both written and oral, among the Guarantors and the Parties, with respect to the subject matter hereof, (b) may be executed in several counterparts, each of which shall be deemed an original, but all of which together shall constitute one and the same instrument, and (c) shall be binding upon the successors and assigns of the Guarantors and shall inure to the benefit of, and shall be enforceable by, each of the Parties to the fullest extent permitted by applicable laws. The headings in this Guarantee are for purposes of reference only, and shall not limit or otherwise affect the meanings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Notices</w:t>
      </w:r>
      <w:r>
        <w:rPr>
          <w:rFonts w:ascii="Arial" w:cs="Arial" w:eastAsia="Arial" w:hAnsi="Arial"/>
          <w:sz w:val="18"/>
          <w:szCs w:val="18"/>
          <w:color w:val="auto"/>
        </w:rPr>
        <w:t>. All requests, notices or other communications hereunder shall be in writing, addressed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to USAG: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817-967-4318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AAG: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817-967-4318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 Party: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address or telecopy number set forth in the Participation Agreements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All requests, notices or other communications shall be given in the manner, and shall be effective at the times and under the terms, set forth in Section 12.7 of the Participation Agreements.</w:t>
      </w:r>
    </w:p>
    <w:p>
      <w:pPr>
        <w:spacing w:after="0" w:line="170"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 Waivers</w:t>
      </w:r>
      <w:r>
        <w:rPr>
          <w:rFonts w:ascii="Arial" w:cs="Arial" w:eastAsia="Arial" w:hAnsi="Arial"/>
          <w:sz w:val="18"/>
          <w:szCs w:val="18"/>
          <w:color w:val="auto"/>
        </w:rPr>
        <w:t>. No failure on the part of any Party to exercise, no delay in exercising, and no course of dealing with respect to, any right or remedy hereunder will operate as a waiver thereof; nor will any single or partial exercise of any right or remedy hereunder preclude any other or further exercise of such right or remedy or the exercise of any other right or remedy.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29" w:name="page130"/>
    <w:bookmarkEnd w:id="129"/>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fullest extent permitted by applicable law, any provision of this Guarantee that is prohibited or unenforceable in any jurisdiction shall, as to such jurisdiction, be ineffective to the extent of such prohibition or unenforceability without invalidating the remaining provisions hereof or any provision in any other Operative Agreement, and any such prohibition or unenforceability in any jurisdiction shall not invalidate or render unenforceable such provision in any other jurisdiction.</w:t>
      </w:r>
    </w:p>
    <w:p>
      <w:pPr>
        <w:spacing w:after="0" w:line="18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GOVERNING LAW</w:t>
      </w:r>
      <w:r>
        <w:rPr>
          <w:rFonts w:ascii="Arial" w:cs="Arial" w:eastAsia="Arial" w:hAnsi="Arial"/>
          <w:sz w:val="17"/>
          <w:szCs w:val="17"/>
          <w:color w:val="auto"/>
        </w:rPr>
        <w:t>. THIS GUARANTEE SHALL BE GOVERNED BY, AND CONSTRUED IN ACCORDANCE WITH, THE LAW OF THE STATE OF NEW YORK (WITHOUT REGARD TO PRINCIPLES OF CONFLICTS OF LAWS THEREOF (OTHER THAN SECTIONS 5-1401 AND 5-1402 OF THE NEW YORK GENERAL OBLIGATIONS LAW)). THIS GUARANTEE IS BEING DELIVERED IN NEW YORK, NEW YORK.</w:t>
      </w:r>
    </w:p>
    <w:p>
      <w:pPr>
        <w:spacing w:after="0" w:line="166"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Consent</w:t>
      </w:r>
      <w:r>
        <w:rPr>
          <w:rFonts w:ascii="Arial" w:cs="Arial" w:eastAsia="Arial" w:hAnsi="Arial"/>
          <w:sz w:val="18"/>
          <w:szCs w:val="18"/>
          <w:color w:val="auto"/>
        </w:rPr>
        <w:t>. By agreeing, acknowledging and consenting to this Guarantee by their signatures below, each Party hereby consents to the amendment and restatement effected by this Guarantee.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274" w:right="41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Guarantee to be duly executed as of the day and year first written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US AIRWAYS GROUP,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Thomas T. Weir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AMERICAN AIRLINES GROUP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Thomas T. Weir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 &amp; Treasurer</w:t>
      </w:r>
    </w:p>
    <w:p>
      <w:pPr>
        <w:sectPr>
          <w:pgSz w:w="11900" w:h="16838" w:orient="portrait"/>
          <w:cols w:equalWidth="0" w:num="1">
            <w:col w:w="9759"/>
          </w:cols>
          <w:pgMar w:left="700" w:top="274" w:right="1440"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AGREED AND CONSENTED: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Indenture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P. Hines,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7012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Robert P. Hines, Jr.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Pass Through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P. Hines,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7012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Robert P. Hines, Jr.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Subordination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P. Hines,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7012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Robert P. Hines, Jr.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Vice President</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132" w:name="page133"/>
    <w:bookmarkEnd w:id="132"/>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GUARANTEE</w:t>
      </w:r>
    </w:p>
    <w:p>
      <w:pPr>
        <w:spacing w:after="0" w:line="207" w:lineRule="exact"/>
        <w:rPr>
          <w:sz w:val="20"/>
          <w:szCs w:val="20"/>
          <w:color w:val="auto"/>
        </w:rPr>
      </w:pPr>
    </w:p>
    <w:p>
      <w:pPr>
        <w:ind w:left="5340"/>
        <w:spacing w:after="0"/>
        <w:rPr>
          <w:sz w:val="20"/>
          <w:szCs w:val="20"/>
          <w:color w:val="auto"/>
        </w:rPr>
      </w:pPr>
      <w:r>
        <w:rPr>
          <w:rFonts w:ascii="Arial" w:cs="Arial" w:eastAsia="Arial" w:hAnsi="Arial"/>
          <w:sz w:val="18"/>
          <w:szCs w:val="18"/>
          <w:b w:val="1"/>
          <w:bCs w:val="1"/>
          <w:u w:val="single" w:color="auto"/>
          <w:color w:val="auto"/>
        </w:rPr>
        <w:t>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Indenture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Pass Through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Subordination Agent</w:t>
      </w:r>
    </w:p>
    <w:p>
      <w:pPr>
        <w:spacing w:after="0" w:line="200" w:lineRule="exact"/>
        <w:rPr>
          <w:sz w:val="20"/>
          <w:szCs w:val="20"/>
          <w:color w:val="auto"/>
        </w:rPr>
      </w:pPr>
    </w:p>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I</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219"/>
          </w:cols>
          <w:pgMar w:left="240" w:top="270" w:right="1440"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GUARANTEE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AIRCRAFT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U.S. Registration Mark</w:t>
            </w:r>
          </w:p>
        </w:tc>
        <w:tc>
          <w:tcPr>
            <w:tcW w:w="18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MSN #</w:t>
            </w:r>
          </w:p>
        </w:tc>
        <w:tc>
          <w:tcPr>
            <w:tcW w:w="18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Aircraft Type</w:t>
            </w:r>
          </w:p>
        </w:tc>
        <w:tc>
          <w:tcPr>
            <w:tcW w:w="144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Engine Model Type</w:t>
            </w:r>
          </w:p>
        </w:tc>
        <w:tc>
          <w:tcPr>
            <w:tcW w:w="560" w:type="dxa"/>
            <w:vAlign w:val="bottom"/>
          </w:tcPr>
          <w:p>
            <w:pPr>
              <w:spacing w:after="0"/>
              <w:rPr>
                <w:sz w:val="14"/>
                <w:szCs w:val="14"/>
                <w:color w:val="auto"/>
              </w:rPr>
            </w:pPr>
          </w:p>
        </w:tc>
      </w:tr>
      <w:tr>
        <w:trPr>
          <w:trHeight w:val="210"/>
        </w:trPr>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N538UW</w:t>
            </w:r>
          </w:p>
        </w:tc>
        <w:tc>
          <w:tcPr>
            <w:tcW w:w="2580" w:type="dxa"/>
            <w:vAlign w:val="bottom"/>
            <w:gridSpan w:val="2"/>
            <w:shd w:val="clear" w:color="auto" w:fill="CCEEFF"/>
          </w:tcPr>
          <w:p>
            <w:pPr>
              <w:jc w:val="center"/>
              <w:ind w:left="1770"/>
              <w:spacing w:after="0"/>
              <w:rPr>
                <w:sz w:val="20"/>
                <w:szCs w:val="20"/>
                <w:color w:val="auto"/>
              </w:rPr>
            </w:pPr>
            <w:r>
              <w:rPr>
                <w:rFonts w:ascii="Arial" w:cs="Arial" w:eastAsia="Arial" w:hAnsi="Arial"/>
                <w:sz w:val="18"/>
                <w:szCs w:val="18"/>
                <w:color w:val="auto"/>
                <w:w w:val="89"/>
              </w:rPr>
              <w:t>4050</w:t>
            </w:r>
          </w:p>
        </w:tc>
        <w:tc>
          <w:tcPr>
            <w:tcW w:w="18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Airbus A321-231</w:t>
            </w:r>
          </w:p>
        </w:tc>
        <w:tc>
          <w:tcPr>
            <w:tcW w:w="1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6"/>
              </w:rPr>
              <w:t>IAE V2533-A5</w:t>
            </w:r>
          </w:p>
        </w:tc>
      </w:tr>
      <w:tr>
        <w:trPr>
          <w:trHeight w:val="216"/>
        </w:trPr>
        <w:tc>
          <w:tcPr>
            <w:tcW w:w="7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N540UW</w:t>
            </w:r>
          </w:p>
        </w:tc>
        <w:tc>
          <w:tcPr>
            <w:tcW w:w="258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4107</w:t>
            </w:r>
          </w:p>
        </w:tc>
        <w:tc>
          <w:tcPr>
            <w:tcW w:w="18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Airbus A321-231</w:t>
            </w:r>
          </w:p>
        </w:tc>
        <w:tc>
          <w:tcPr>
            <w:tcW w:w="1440" w:type="dxa"/>
            <w:vAlign w:val="bottom"/>
          </w:tcPr>
          <w:p>
            <w:pPr>
              <w:spacing w:after="0"/>
              <w:rPr>
                <w:sz w:val="18"/>
                <w:szCs w:val="18"/>
                <w:color w:val="auto"/>
              </w:rPr>
            </w:pPr>
          </w:p>
        </w:tc>
        <w:tc>
          <w:tcPr>
            <w:tcW w:w="194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IAE V2533-A5</w:t>
            </w:r>
          </w:p>
        </w:tc>
      </w:tr>
      <w:tr>
        <w:trPr>
          <w:trHeight w:val="216"/>
        </w:trPr>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N559UW</w:t>
            </w:r>
          </w:p>
        </w:tc>
        <w:tc>
          <w:tcPr>
            <w:tcW w:w="2580" w:type="dxa"/>
            <w:vAlign w:val="bottom"/>
            <w:gridSpan w:val="2"/>
            <w:shd w:val="clear" w:color="auto" w:fill="CCEEFF"/>
          </w:tcPr>
          <w:p>
            <w:pPr>
              <w:jc w:val="center"/>
              <w:ind w:left="1770"/>
              <w:spacing w:after="0"/>
              <w:rPr>
                <w:sz w:val="20"/>
                <w:szCs w:val="20"/>
                <w:color w:val="auto"/>
              </w:rPr>
            </w:pPr>
            <w:r>
              <w:rPr>
                <w:rFonts w:ascii="Arial" w:cs="Arial" w:eastAsia="Arial" w:hAnsi="Arial"/>
                <w:sz w:val="18"/>
                <w:szCs w:val="18"/>
                <w:color w:val="auto"/>
                <w:w w:val="89"/>
              </w:rPr>
              <w:t>5292</w:t>
            </w:r>
          </w:p>
        </w:tc>
        <w:tc>
          <w:tcPr>
            <w:tcW w:w="18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Airbus A321-231</w:t>
            </w:r>
          </w:p>
        </w:tc>
        <w:tc>
          <w:tcPr>
            <w:tcW w:w="1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6"/>
              </w:rPr>
              <w:t>IAE V2533-A5</w:t>
            </w:r>
          </w:p>
        </w:tc>
      </w:tr>
      <w:tr>
        <w:trPr>
          <w:trHeight w:val="216"/>
        </w:trPr>
        <w:tc>
          <w:tcPr>
            <w:tcW w:w="7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N560UW</w:t>
            </w:r>
          </w:p>
        </w:tc>
        <w:tc>
          <w:tcPr>
            <w:tcW w:w="258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5300</w:t>
            </w:r>
          </w:p>
        </w:tc>
        <w:tc>
          <w:tcPr>
            <w:tcW w:w="18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Airbus A321-231</w:t>
            </w:r>
          </w:p>
        </w:tc>
        <w:tc>
          <w:tcPr>
            <w:tcW w:w="1440" w:type="dxa"/>
            <w:vAlign w:val="bottom"/>
          </w:tcPr>
          <w:p>
            <w:pPr>
              <w:spacing w:after="0"/>
              <w:rPr>
                <w:sz w:val="18"/>
                <w:szCs w:val="18"/>
                <w:color w:val="auto"/>
              </w:rPr>
            </w:pPr>
          </w:p>
        </w:tc>
        <w:tc>
          <w:tcPr>
            <w:tcW w:w="194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IAE V2533-A5</w:t>
            </w:r>
          </w:p>
        </w:tc>
      </w:tr>
      <w:tr>
        <w:trPr>
          <w:trHeight w:val="216"/>
        </w:trPr>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N561UW</w:t>
            </w:r>
          </w:p>
        </w:tc>
        <w:tc>
          <w:tcPr>
            <w:tcW w:w="2580" w:type="dxa"/>
            <w:vAlign w:val="bottom"/>
            <w:gridSpan w:val="2"/>
            <w:shd w:val="clear" w:color="auto" w:fill="CCEEFF"/>
          </w:tcPr>
          <w:p>
            <w:pPr>
              <w:jc w:val="center"/>
              <w:ind w:left="1770"/>
              <w:spacing w:after="0"/>
              <w:rPr>
                <w:sz w:val="20"/>
                <w:szCs w:val="20"/>
                <w:color w:val="auto"/>
              </w:rPr>
            </w:pPr>
            <w:r>
              <w:rPr>
                <w:rFonts w:ascii="Arial" w:cs="Arial" w:eastAsia="Arial" w:hAnsi="Arial"/>
                <w:sz w:val="18"/>
                <w:szCs w:val="18"/>
                <w:color w:val="auto"/>
                <w:w w:val="89"/>
              </w:rPr>
              <w:t>5317</w:t>
            </w:r>
          </w:p>
        </w:tc>
        <w:tc>
          <w:tcPr>
            <w:tcW w:w="18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Airbus A321-231</w:t>
            </w:r>
          </w:p>
        </w:tc>
        <w:tc>
          <w:tcPr>
            <w:tcW w:w="1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6"/>
              </w:rPr>
              <w:t>IAE V2533-A5</w:t>
            </w:r>
          </w:p>
        </w:tc>
      </w:tr>
      <w:tr>
        <w:trPr>
          <w:trHeight w:val="216"/>
        </w:trPr>
        <w:tc>
          <w:tcPr>
            <w:tcW w:w="7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N562UW</w:t>
            </w:r>
          </w:p>
        </w:tc>
        <w:tc>
          <w:tcPr>
            <w:tcW w:w="258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5332</w:t>
            </w:r>
          </w:p>
        </w:tc>
        <w:tc>
          <w:tcPr>
            <w:tcW w:w="18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Airbus A321-231</w:t>
            </w:r>
          </w:p>
        </w:tc>
        <w:tc>
          <w:tcPr>
            <w:tcW w:w="1440" w:type="dxa"/>
            <w:vAlign w:val="bottom"/>
          </w:tcPr>
          <w:p>
            <w:pPr>
              <w:spacing w:after="0"/>
              <w:rPr>
                <w:sz w:val="18"/>
                <w:szCs w:val="18"/>
                <w:color w:val="auto"/>
              </w:rPr>
            </w:pPr>
          </w:p>
        </w:tc>
        <w:tc>
          <w:tcPr>
            <w:tcW w:w="194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IAE V2533-A5</w:t>
            </w:r>
          </w:p>
        </w:tc>
      </w:tr>
      <w:tr>
        <w:trPr>
          <w:trHeight w:val="216"/>
        </w:trPr>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N563UW</w:t>
            </w:r>
          </w:p>
        </w:tc>
        <w:tc>
          <w:tcPr>
            <w:tcW w:w="2580" w:type="dxa"/>
            <w:vAlign w:val="bottom"/>
            <w:gridSpan w:val="2"/>
            <w:shd w:val="clear" w:color="auto" w:fill="CCEEFF"/>
          </w:tcPr>
          <w:p>
            <w:pPr>
              <w:jc w:val="center"/>
              <w:ind w:left="1770"/>
              <w:spacing w:after="0"/>
              <w:rPr>
                <w:sz w:val="20"/>
                <w:szCs w:val="20"/>
                <w:color w:val="auto"/>
              </w:rPr>
            </w:pPr>
            <w:r>
              <w:rPr>
                <w:rFonts w:ascii="Arial" w:cs="Arial" w:eastAsia="Arial" w:hAnsi="Arial"/>
                <w:sz w:val="18"/>
                <w:szCs w:val="18"/>
                <w:color w:val="auto"/>
                <w:w w:val="89"/>
              </w:rPr>
              <w:t>5368</w:t>
            </w:r>
          </w:p>
        </w:tc>
        <w:tc>
          <w:tcPr>
            <w:tcW w:w="18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Airbus A321-231</w:t>
            </w:r>
          </w:p>
        </w:tc>
        <w:tc>
          <w:tcPr>
            <w:tcW w:w="1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6"/>
              </w:rPr>
              <w:t>IAE V2533-A5</w:t>
            </w:r>
          </w:p>
        </w:tc>
      </w:tr>
      <w:tr>
        <w:trPr>
          <w:trHeight w:val="216"/>
        </w:trPr>
        <w:tc>
          <w:tcPr>
            <w:tcW w:w="7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N564UW</w:t>
            </w:r>
          </w:p>
        </w:tc>
        <w:tc>
          <w:tcPr>
            <w:tcW w:w="258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5374</w:t>
            </w:r>
          </w:p>
        </w:tc>
        <w:tc>
          <w:tcPr>
            <w:tcW w:w="18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Airbus A321-231</w:t>
            </w:r>
          </w:p>
        </w:tc>
        <w:tc>
          <w:tcPr>
            <w:tcW w:w="1440" w:type="dxa"/>
            <w:vAlign w:val="bottom"/>
          </w:tcPr>
          <w:p>
            <w:pPr>
              <w:spacing w:after="0"/>
              <w:rPr>
                <w:sz w:val="18"/>
                <w:szCs w:val="18"/>
                <w:color w:val="auto"/>
              </w:rPr>
            </w:pPr>
          </w:p>
        </w:tc>
        <w:tc>
          <w:tcPr>
            <w:tcW w:w="194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IAE V2533-A5</w:t>
            </w:r>
          </w:p>
        </w:tc>
      </w:tr>
      <w:tr>
        <w:trPr>
          <w:trHeight w:val="216"/>
        </w:trPr>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N565UW</w:t>
            </w:r>
          </w:p>
        </w:tc>
        <w:tc>
          <w:tcPr>
            <w:tcW w:w="2580" w:type="dxa"/>
            <w:vAlign w:val="bottom"/>
            <w:gridSpan w:val="2"/>
            <w:shd w:val="clear" w:color="auto" w:fill="CCEEFF"/>
          </w:tcPr>
          <w:p>
            <w:pPr>
              <w:jc w:val="center"/>
              <w:ind w:left="1770"/>
              <w:spacing w:after="0"/>
              <w:rPr>
                <w:sz w:val="20"/>
                <w:szCs w:val="20"/>
                <w:color w:val="auto"/>
              </w:rPr>
            </w:pPr>
            <w:r>
              <w:rPr>
                <w:rFonts w:ascii="Arial" w:cs="Arial" w:eastAsia="Arial" w:hAnsi="Arial"/>
                <w:sz w:val="18"/>
                <w:szCs w:val="18"/>
                <w:color w:val="auto"/>
                <w:w w:val="89"/>
              </w:rPr>
              <w:t>5409</w:t>
            </w:r>
          </w:p>
        </w:tc>
        <w:tc>
          <w:tcPr>
            <w:tcW w:w="18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Airbus A321-231</w:t>
            </w:r>
          </w:p>
        </w:tc>
        <w:tc>
          <w:tcPr>
            <w:tcW w:w="1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6"/>
              </w:rPr>
              <w:t>IAE V2533-A5</w:t>
            </w:r>
          </w:p>
        </w:tc>
      </w:tr>
      <w:tr>
        <w:trPr>
          <w:trHeight w:val="216"/>
        </w:trPr>
        <w:tc>
          <w:tcPr>
            <w:tcW w:w="7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N566UW</w:t>
            </w:r>
          </w:p>
        </w:tc>
        <w:tc>
          <w:tcPr>
            <w:tcW w:w="258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5422</w:t>
            </w:r>
          </w:p>
        </w:tc>
        <w:tc>
          <w:tcPr>
            <w:tcW w:w="18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Airbus A321-231</w:t>
            </w:r>
          </w:p>
        </w:tc>
        <w:tc>
          <w:tcPr>
            <w:tcW w:w="1440" w:type="dxa"/>
            <w:vAlign w:val="bottom"/>
          </w:tcPr>
          <w:p>
            <w:pPr>
              <w:spacing w:after="0"/>
              <w:rPr>
                <w:sz w:val="18"/>
                <w:szCs w:val="18"/>
                <w:color w:val="auto"/>
              </w:rPr>
            </w:pPr>
          </w:p>
        </w:tc>
        <w:tc>
          <w:tcPr>
            <w:tcW w:w="194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IAE V2533-A5</w:t>
            </w:r>
          </w:p>
        </w:tc>
      </w:tr>
      <w:tr>
        <w:trPr>
          <w:trHeight w:val="216"/>
        </w:trPr>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N198UW</w:t>
            </w:r>
          </w:p>
        </w:tc>
        <w:tc>
          <w:tcPr>
            <w:tcW w:w="2580" w:type="dxa"/>
            <w:vAlign w:val="bottom"/>
            <w:gridSpan w:val="2"/>
            <w:shd w:val="clear" w:color="auto" w:fill="CCEEFF"/>
          </w:tcPr>
          <w:p>
            <w:pPr>
              <w:jc w:val="center"/>
              <w:ind w:left="1770"/>
              <w:spacing w:after="0"/>
              <w:rPr>
                <w:sz w:val="20"/>
                <w:szCs w:val="20"/>
                <w:color w:val="auto"/>
              </w:rPr>
            </w:pPr>
            <w:r>
              <w:rPr>
                <w:rFonts w:ascii="Arial" w:cs="Arial" w:eastAsia="Arial" w:hAnsi="Arial"/>
                <w:sz w:val="18"/>
                <w:szCs w:val="18"/>
                <w:color w:val="auto"/>
                <w:w w:val="89"/>
              </w:rPr>
              <w:t>5444</w:t>
            </w:r>
          </w:p>
        </w:tc>
        <w:tc>
          <w:tcPr>
            <w:tcW w:w="18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Airbus A321-211</w:t>
            </w:r>
          </w:p>
        </w:tc>
        <w:tc>
          <w:tcPr>
            <w:tcW w:w="1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3"/>
              </w:rPr>
              <w:t>CFM56-5B3P</w:t>
            </w:r>
          </w:p>
        </w:tc>
      </w:tr>
      <w:tr>
        <w:trPr>
          <w:trHeight w:val="216"/>
        </w:trPr>
        <w:tc>
          <w:tcPr>
            <w:tcW w:w="7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N199UW</w:t>
            </w:r>
          </w:p>
        </w:tc>
        <w:tc>
          <w:tcPr>
            <w:tcW w:w="258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5475</w:t>
            </w:r>
          </w:p>
        </w:tc>
        <w:tc>
          <w:tcPr>
            <w:tcW w:w="18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Airbus A321-211</w:t>
            </w:r>
          </w:p>
        </w:tc>
        <w:tc>
          <w:tcPr>
            <w:tcW w:w="1440" w:type="dxa"/>
            <w:vAlign w:val="bottom"/>
          </w:tcPr>
          <w:p>
            <w:pPr>
              <w:spacing w:after="0"/>
              <w:rPr>
                <w:sz w:val="18"/>
                <w:szCs w:val="18"/>
                <w:color w:val="auto"/>
              </w:rPr>
            </w:pPr>
          </w:p>
        </w:tc>
        <w:tc>
          <w:tcPr>
            <w:tcW w:w="194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CFM56-5B3P</w:t>
            </w:r>
          </w:p>
        </w:tc>
      </w:tr>
      <w:tr>
        <w:trPr>
          <w:trHeight w:val="216"/>
        </w:trPr>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N150UW</w:t>
            </w:r>
          </w:p>
        </w:tc>
        <w:tc>
          <w:tcPr>
            <w:tcW w:w="2580" w:type="dxa"/>
            <w:vAlign w:val="bottom"/>
            <w:gridSpan w:val="2"/>
            <w:shd w:val="clear" w:color="auto" w:fill="CCEEFF"/>
          </w:tcPr>
          <w:p>
            <w:pPr>
              <w:jc w:val="center"/>
              <w:ind w:left="1770"/>
              <w:spacing w:after="0"/>
              <w:rPr>
                <w:sz w:val="20"/>
                <w:szCs w:val="20"/>
                <w:color w:val="auto"/>
              </w:rPr>
            </w:pPr>
            <w:r>
              <w:rPr>
                <w:rFonts w:ascii="Arial" w:cs="Arial" w:eastAsia="Arial" w:hAnsi="Arial"/>
                <w:sz w:val="18"/>
                <w:szCs w:val="18"/>
                <w:color w:val="auto"/>
                <w:w w:val="89"/>
              </w:rPr>
              <w:t>5504</w:t>
            </w:r>
          </w:p>
        </w:tc>
        <w:tc>
          <w:tcPr>
            <w:tcW w:w="18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Airbus A321-211</w:t>
            </w:r>
          </w:p>
        </w:tc>
        <w:tc>
          <w:tcPr>
            <w:tcW w:w="1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3"/>
              </w:rPr>
              <w:t>CFM56-5B3P</w:t>
            </w:r>
          </w:p>
        </w:tc>
      </w:tr>
      <w:tr>
        <w:trPr>
          <w:trHeight w:val="230"/>
        </w:trPr>
        <w:tc>
          <w:tcPr>
            <w:tcW w:w="7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N151UW</w:t>
            </w:r>
          </w:p>
        </w:tc>
        <w:tc>
          <w:tcPr>
            <w:tcW w:w="258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5513</w:t>
            </w:r>
          </w:p>
        </w:tc>
        <w:tc>
          <w:tcPr>
            <w:tcW w:w="18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Airbus A321-211</w:t>
            </w:r>
          </w:p>
        </w:tc>
        <w:tc>
          <w:tcPr>
            <w:tcW w:w="1440" w:type="dxa"/>
            <w:vAlign w:val="bottom"/>
          </w:tcPr>
          <w:p>
            <w:pPr>
              <w:spacing w:after="0"/>
              <w:rPr>
                <w:sz w:val="20"/>
                <w:szCs w:val="20"/>
                <w:color w:val="auto"/>
              </w:rPr>
            </w:pPr>
          </w:p>
        </w:tc>
        <w:tc>
          <w:tcPr>
            <w:tcW w:w="194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CFM56-5B3P</w:t>
            </w: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AND RESTATED GUARANTEE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March 31, 2014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from</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AIRWAYS GROUP,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AMERICAN AIRLINES GROUP INC.</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Seven (7) Airbus A321-200 and Four (4) Airbus A330-200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00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Guarantee</w:t>
            </w:r>
          </w:p>
        </w:tc>
        <w:tc>
          <w:tcPr>
            <w:tcW w:w="1920" w:type="dxa"/>
            <w:vAlign w:val="bottom"/>
            <w:tcBorders>
              <w:top w:val="single" w:sz="8" w:color="auto"/>
            </w:tcBorders>
            <w:vMerge w:val="restart"/>
          </w:tcPr>
          <w:p>
            <w:pPr>
              <w:spacing w:after="0"/>
              <w:rPr>
                <w:sz w:val="24"/>
                <w:szCs w:val="24"/>
                <w:color w:val="auto"/>
              </w:rPr>
            </w:pPr>
          </w:p>
        </w:tc>
        <w:tc>
          <w:tcPr>
            <w:tcW w:w="4340" w:type="dxa"/>
            <w:vAlign w:val="bottom"/>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960" w:type="dxa"/>
            <w:vAlign w:val="bottom"/>
            <w:vMerge w:val="continue"/>
          </w:tcPr>
          <w:p>
            <w:pPr>
              <w:spacing w:after="0"/>
              <w:rPr>
                <w:sz w:val="19"/>
                <w:szCs w:val="19"/>
                <w:color w:val="auto"/>
              </w:rPr>
            </w:pPr>
          </w:p>
        </w:tc>
        <w:tc>
          <w:tcPr>
            <w:tcW w:w="3800" w:type="dxa"/>
            <w:vAlign w:val="bottom"/>
            <w:vMerge w:val="continue"/>
          </w:tcPr>
          <w:p>
            <w:pPr>
              <w:spacing w:after="0"/>
              <w:rPr>
                <w:sz w:val="19"/>
                <w:szCs w:val="19"/>
                <w:color w:val="auto"/>
              </w:rPr>
            </w:pPr>
          </w:p>
        </w:tc>
        <w:tc>
          <w:tcPr>
            <w:tcW w:w="1920" w:type="dxa"/>
            <w:vAlign w:val="bottom"/>
            <w:tcBorders>
              <w:top w:val="single" w:sz="8" w:color="auto"/>
            </w:tcBorders>
            <w:vMerge w:val="continue"/>
          </w:tcPr>
          <w:p>
            <w:pPr>
              <w:spacing w:after="0"/>
              <w:rPr>
                <w:sz w:val="19"/>
                <w:szCs w:val="19"/>
                <w:color w:val="auto"/>
              </w:rPr>
            </w:pPr>
          </w:p>
        </w:tc>
        <w:tc>
          <w:tcPr>
            <w:tcW w:w="434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Section 2.</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No Implied Third Party Beneficiaries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3.</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Waiver; No Set-off; Reinstatement; Subrogation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4.</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Amendments, Etc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5.</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Payments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6.</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Integration; Counterparts; Successors and Assigns; Headings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7.</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Notices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8.</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No Waivers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9.</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Severability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10.</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GOVERNING LAW</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260" w:type="dxa"/>
            <w:vAlign w:val="bottom"/>
            <w:gridSpan w:val="2"/>
          </w:tcPr>
          <w:p>
            <w:pPr>
              <w:jc w:val="center"/>
              <w:ind w:right="4360"/>
              <w:spacing w:after="0"/>
              <w:rPr>
                <w:sz w:val="20"/>
                <w:szCs w:val="20"/>
                <w:color w:val="auto"/>
              </w:rPr>
            </w:pPr>
            <w:r>
              <w:rPr>
                <w:rFonts w:ascii="Arial" w:cs="Arial" w:eastAsia="Arial" w:hAnsi="Arial"/>
                <w:sz w:val="18"/>
                <w:szCs w:val="18"/>
                <w:color w:val="auto"/>
              </w:rPr>
              <w:t>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6" w:name="page137"/>
    <w:bookmarkEnd w:id="13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GUARANTEE</w:t>
      </w:r>
    </w:p>
    <w:p>
      <w:pPr>
        <w:spacing w:after="0" w:line="22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AMENDED AND RESTATED GUARANTEE, dated as of March 31, 2014 (as amended, modified or supplemented from time to time, this “Guarantee”), from US AIRWAYS GROUP, INC., a Delaware corporation (together with its permitted successors and assigns, “USAG”) and AMERICAN AIRLINES GROUP INC., a Delaware corporation (together with its permitted successors and assigns, “AAG” and, together with USAG, the “Guarantors”), to the parties listed in Schedule I hereto (collectively, together with their successors and permitted assigns, the “Parties”, and, individually, a “Party”).</w:t>
      </w:r>
    </w:p>
    <w:p>
      <w:pPr>
        <w:spacing w:after="0" w:line="154"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WHEREAS, US Airways, Inc., a Delaware corporation (“Owner”), a direct wholly-owned subsidiary of USAG, a direct wholly-owned subsidiary of AAG, has entered into that certain Note Purchase Agreement dated as of December 13, 2012 (the “Note Purchase Agreement”), among Owner, Wilmington Trust Company, as pass through trustee under each of the Pass Through Trust Agreements (the “Pass Through Trustee”), Wilmington Trust Company, as Subordination Agent (the “Subordination Agent”), Wilmington Trust, National Association, as Escrow Agent under each of the Escrow and Paying Agent Agreements, and Wilmington Trust Company, as Paying Agent under each of the Escrow and Paying Agent Agreements;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capitalized terms used but not defined herein shall have the meanings set forth in the Note Purchase Agreement; and</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WHEREAS, in order to finance the aircraft identified on Schedule II hereto (the “Aircraft”), Owner has issued or will issue, as the case may be, the Equipment Notes under the Trust Indentures;</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WHEREAS, in order to induce the Pass Through Trustee to purchase the Equipment Notes and for other good and valuable consideration, USAG delivered the Guarantee dated as of April 24, 2013 (the “Prior Guarantee”) to the Parties;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USAG and AAG desire to amend and restate the Prior Guarantee on the terms set forth herein and each of the Parties desires to consent to such amendment and restatement;</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NOW, THEREFORE, in order to induce the Pass Through Trustee to purchase the Equipment Notes and for other good and valuable consideration, receipt of which is hereby acknowledged, the parties hereto agree as follows:</w:t>
      </w:r>
    </w:p>
    <w:p>
      <w:pPr>
        <w:sectPr>
          <w:pgSz w:w="11900" w:h="16838" w:orient="portrait"/>
          <w:cols w:equalWidth="0" w:num="1">
            <w:col w:w="11360"/>
          </w:cols>
          <w:pgMar w:left="240" w:top="270" w:right="299" w:bottom="1440" w:gutter="0" w:footer="0" w:header="0"/>
        </w:sectPr>
      </w:pPr>
    </w:p>
    <w:bookmarkStart w:id="137" w:name="page138"/>
    <w:bookmarkEnd w:id="137"/>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117" w:lineRule="exact"/>
        <w:rPr>
          <w:sz w:val="20"/>
          <w:szCs w:val="20"/>
          <w:color w:val="auto"/>
        </w:rPr>
      </w:pPr>
    </w:p>
    <w:p>
      <w:pPr>
        <w:ind w:left="-40" w:right="40" w:firstLine="921"/>
        <w:spacing w:after="0" w:line="286" w:lineRule="auto"/>
        <w:tabs>
          <w:tab w:leader="none" w:pos="1118" w:val="left"/>
        </w:tabs>
        <w:numPr>
          <w:ilvl w:val="0"/>
          <w:numId w:val="66"/>
        </w:numPr>
        <w:rPr>
          <w:rFonts w:ascii="Arial" w:cs="Arial" w:eastAsia="Arial" w:hAnsi="Arial"/>
          <w:sz w:val="16"/>
          <w:szCs w:val="16"/>
          <w:color w:val="auto"/>
        </w:rPr>
      </w:pPr>
      <w:r>
        <w:rPr>
          <w:rFonts w:ascii="Arial" w:cs="Arial" w:eastAsia="Arial" w:hAnsi="Arial"/>
          <w:sz w:val="16"/>
          <w:szCs w:val="16"/>
          <w:color w:val="auto"/>
        </w:rPr>
        <w:t>Each Guarantor does hereby acknowledge that it is fully aware of the terms and conditions of the Trust Indentures, the Participation Agreements, the Equipment Notes and the transactions and the other documents contemplated thereby, and the Guarantors jointly and severally hereby irrevocably and fully and unconditionally guarantee, as primary obligor and not as surety merely, to the Parties, as their respective interests may appear, the payment by Owner of all payment obligations when due under the Trust Indentures, the Participation Agreements and the Equipment Notes (such obligations of Owner guaranteed hereby being hereafter referred to, individually, as a “Guaranteed Obligation” and, collectively, as the “Guaranteed Obligations”) in accordance with the terms of the Financing Agreements. The Guarantors jointly and severally hereby agree that in the event that Owner fails to pay any Guaranteed Obligation when due for any reason (including, without limitation, the liquidation, dissolution, receivership, insolvency, bankruptcy, assignment for the benefit of creditors, reorganization, arrangement, composition or readjustment of, or other similar proceedings affecting the status, existence, assets or obligations of Owner, or the disaffirmance with respect to Owner of any Trust Indenture or any other Financing Agreement to which Owner is a party in any such proceeding) after the date on which such Guaranteed Obligation became due and payable and the applicable grace period has expired, the Guarantors shall pay or cause to be paid forthwith, upon the receipt of notice from the Indenture Trustee (such notice to be sent to Owner (to the extent the Indenture Trustee is not stayed or prevented from doing so by operation of law) and each Guarantor) stating that such Guaranteed Obligation was not paid when due after the applicable grace period has expired and stating the amount of such Guaranteed Obligation.</w:t>
      </w:r>
    </w:p>
    <w:p>
      <w:pPr>
        <w:spacing w:after="0" w:line="66" w:lineRule="exact"/>
        <w:rPr>
          <w:rFonts w:ascii="Arial" w:cs="Arial" w:eastAsia="Arial" w:hAnsi="Arial"/>
          <w:sz w:val="16"/>
          <w:szCs w:val="16"/>
          <w:color w:val="auto"/>
        </w:rPr>
      </w:pPr>
    </w:p>
    <w:p>
      <w:pPr>
        <w:ind w:left="-40" w:firstLine="921"/>
        <w:spacing w:after="0" w:line="285" w:lineRule="auto"/>
        <w:tabs>
          <w:tab w:leader="none" w:pos="1128"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obligations of the Guarantors hereunder shall not be, to the fullest extent permitted by law, affected by the genuineness, validity, regularity or enforceability (or lack thereof) of any of Owner’s obligations under any Trust Indenture or any other Financing Agreement to which Owner is a party, any amendment, waiver or other modification of any Trust Indenture or such other Financing Agreement (except that any such amendment or other modification shall be given effect in determining the obligations of the Guarantors hereunder), or by any substitution, release or exchange of collateral for or other guaranty of any of the Guaranteed Obligations (except to the extent that such substitution, release or exchange is not undertaken in accordance with the terms of the Financing Agreements) without the consent of each Guarantor, or by any priority or preference to which any other obligations of Owner may be entitled over Owner’s obligations under any Trust Indenture and the other Financing Agreements to which Owner is a party, or by any other circumstance that might otherwise constitute a legal or equitable defense to or discharge of the obligations of a surety or guarantor including, without limitation, any defense arising out of any laws of the United States of America or of any State thereof which would excuse, discharge, exempt, modify or delay the due or punctual payment and performance of the obligations of the Guarantors hereunder. Without limiting the generality of the foregoing, it is agreed that the occurrence of any one or more of the following shall not, to the fullest extent permitted by law, affect the liability of the Guarantors hereunder: (a) the extension of the time for or waiver of, at any time or from time to time, without notice to the Guarantors, Owner’s performance of or compliance with any of its obligations under the Financing Agreements (except that such extension or waiver shall be given effect in determining the obligations of the Guarantors hereunder), (b) any assignment, transfer, lease or other arrangement by which Owner transfers possession or loses control of the use of any Aircraft, (c) any defect in the title, condition, design, operation or fitness for use of, or damage to or loss or destruction of, any Aircraft, whether or not due to the fault of Owner, (d) any merger or consolidation of Owner or either Guarantor into or with any other Person, or any sale, transfer, lease or disposal of any of its assets, (e) any issuance of Series C Equipment Notes or (f) any change in the ownership of any shares of capital stock of Owner.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74" w:right="279" w:bottom="1440" w:gutter="0" w:footer="0" w:header="0"/>
        </w:sectPr>
      </w:pPr>
    </w:p>
    <w:bookmarkStart w:id="138" w:name="page139"/>
    <w:bookmarkEnd w:id="138"/>
    <w:p>
      <w:pPr>
        <w:ind w:firstLine="921"/>
        <w:spacing w:after="0" w:line="269" w:lineRule="auto"/>
        <w:tabs>
          <w:tab w:leader="none" w:pos="1158" w:val="left"/>
        </w:tabs>
        <w:numPr>
          <w:ilvl w:val="0"/>
          <w:numId w:val="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Guarantee is an absolute, present and continuing guaranty of payment and performance and not of collection and is in no way conditional or contingent upon any attempt to collect from Owner any unpaid amounts due. The Guarantors specifically agree, to the fullest extent permitted by law, that it shall not be necessary or required, and that the Guarantors shall not be entitled to require, that any Party (i) file suit or proceed to obtain or assert a claim for personal judgment against Owner for the Guaranteed Obligations, or (ii) make any effort at collection of the Guaranteed Obligations from Owner, or (iii) foreclose against or seek to realize upon any security now or hereafter existing for the Guaranteed Obligations, including the Collateral (as defined in the Trust Indentures), or (iv) file suit or proceed to obtain or assert a claim for personal judgment against any other Person liable for the Guaranteed Obligations, or make any effort at collection of the Guaranteed Obligations from any such other Person, or exercise or assert any other right or remedy to which any Party is or may be entitled in connection with the Guaranteed Obligations or any security or other guaranty therefor, or (v) assert or file any claim against the assets of Owner or any other guarantor or other Person liable for the Guaranteed Obligations, or any part thereof, before or as a condition of enforcing the liability of the Guarantors under this Guarantee or requiring payment of said Guaranteed Obligations by the Guarantors hereunder, or at any time thereafter.</w:t>
      </w:r>
    </w:p>
    <w:p>
      <w:pPr>
        <w:spacing w:after="0" w:line="18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No Implied Third Party Beneficiaries</w:t>
      </w:r>
      <w:r>
        <w:rPr>
          <w:rFonts w:ascii="Arial" w:cs="Arial" w:eastAsia="Arial" w:hAnsi="Arial"/>
          <w:sz w:val="18"/>
          <w:szCs w:val="18"/>
          <w:color w:val="auto"/>
        </w:rPr>
        <w:t>. This Guarantee shall not be deemed to create any right in any Person except a Party and shall not be construed in any respect to be a contract in whole or in part for the benefit of any other Person.</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Waiver; No Set-off; Reinstatement; Subrogation</w:t>
      </w:r>
      <w:r>
        <w:rPr>
          <w:rFonts w:ascii="Arial" w:cs="Arial" w:eastAsia="Arial" w:hAnsi="Arial"/>
          <w:sz w:val="16"/>
          <w:szCs w:val="16"/>
          <w:color w:val="auto"/>
        </w:rPr>
        <w:t xml:space="preserve">. The Guarantors waive notice of the acceptance of this Guarantee and of the performance or nonperformance by Owner, demand for payment from Owner or any other Person, notice of nonpayment or failure to perform on the part of Owner, diligence, presentment, protest, dishonor and, to the fullest extent permitted by law, all other demands or notices whatsoever, other than the request for payment hereunder and notice provided for in Section 1 hereof. The obligations of the Guarantors shall be absolute and unconditional and shall remain in full force and effect until satisfaction of all Guaranteed Obligations and, without limiting the generality of the foregoing, to the extent not prohibited by applicable law, shall not be released, discharged or otherwise affected by the existence of any claims, set-off, defense or other rights that the Guarantors may have at any time and from time to time against any Party, whether in connection herewith or any unrelated transactions. This Guarantee shall continue to be effective or be reinstated, as the case may be, if at any time any payment of any Guaranteed Obligation is rescinded or must otherwise be returned by any Party upon the insolvency, bankruptcy, reorganization, arrangement, readjustment of debt, dissolution, liquidation or similar proceeding with respect to Owner or otherwise, all as though such payment had not been made. The Guarantor, by virtue of any payment hereunder to a Party, shall be subrogated to such Party’s claim against Owner or any other Person relating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Guarantor shall be entitled to receive payment from Owner in respect of any claim against Owner arising from a payment by such Guarantor in the event of any insolvency, bankruptcy, liquidation, reorganization or other similar proceedings relating to Owner, or in the event of any proceedings for voluntary liquidation, dissolution or other winding-up of Owner, whether or not involving insolvency or bankruptcy proceedings, in which case the Guaranteed Obligations shall be paid and performed in full before any payment in respect of a claim by such Guarantor shall be made by or on behalf of Owner.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39" w:name="page140"/>
    <w:bookmarkEnd w:id="139"/>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 </w:t>
      </w:r>
      <w:r>
        <w:rPr>
          <w:rFonts w:ascii="Arial" w:cs="Arial" w:eastAsia="Arial" w:hAnsi="Arial"/>
          <w:sz w:val="18"/>
          <w:szCs w:val="18"/>
          <w:u w:val="single" w:color="auto"/>
          <w:color w:val="auto"/>
        </w:rPr>
        <w:t>Amendments, Etc</w:t>
      </w:r>
      <w:r>
        <w:rPr>
          <w:rFonts w:ascii="Arial" w:cs="Arial" w:eastAsia="Arial" w:hAnsi="Arial"/>
          <w:sz w:val="18"/>
          <w:szCs w:val="18"/>
          <w:color w:val="auto"/>
        </w:rPr>
        <w:t>. No amendment of or supplement to this Guarantee, or waiver or modification of, or consent under, the terms hereof, shall be effective unless evidenced by an instrument in writing signed by the Guarantors and each Party against whom such amendment, supplement, waiver, modification or consent is to be enforced.</w:t>
      </w:r>
    </w:p>
    <w:p>
      <w:pPr>
        <w:spacing w:after="0" w:line="18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Payments</w:t>
      </w:r>
      <w:r>
        <w:rPr>
          <w:rFonts w:ascii="Arial" w:cs="Arial" w:eastAsia="Arial" w:hAnsi="Arial"/>
          <w:sz w:val="16"/>
          <w:szCs w:val="16"/>
          <w:color w:val="auto"/>
        </w:rPr>
        <w:t>. All payments by the Guarantors hereunder in respect of any Obligation shall be made in Dollars and otherwise as provided in the relevant Trust Indenture, the relevant Participation Agreement or the relevant Equipment Note in which such Guaranteed Obligation is contained.</w:t>
      </w:r>
    </w:p>
    <w:p>
      <w:pPr>
        <w:spacing w:after="0" w:line="12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Integration; Counterparts; Successors and Assigns; Headings</w:t>
      </w:r>
      <w:r>
        <w:rPr>
          <w:rFonts w:ascii="Arial" w:cs="Arial" w:eastAsia="Arial" w:hAnsi="Arial"/>
          <w:sz w:val="16"/>
          <w:szCs w:val="16"/>
          <w:color w:val="auto"/>
        </w:rPr>
        <w:t>. This Guarantee (a) constitutes the entire agreement, and supersedes all prior agreements and understandings, both written and oral, among the Guarantors and the Parties, with respect to the subject matter hereof, (b) may be executed in several counterparts, each of which shall be deemed an original, but all of which together shall constitute one and the same instrument, and (c) shall be binding upon the successors and assigns of the Guarantors and shall inure to the benefit of, and shall be enforceable by, each of the Parties to the fullest extent permitted by applicable laws. The headings in this Guarantee are for purposes of reference only, and shall not limit or otherwise affect the meanings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Notices</w:t>
      </w:r>
      <w:r>
        <w:rPr>
          <w:rFonts w:ascii="Arial" w:cs="Arial" w:eastAsia="Arial" w:hAnsi="Arial"/>
          <w:sz w:val="18"/>
          <w:szCs w:val="18"/>
          <w:color w:val="auto"/>
        </w:rPr>
        <w:t>. All requests, notices or other communications hereunder shall be in writing, addressed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to USAG: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817-967-4318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AAG: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817-967-4318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 Party: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address or telecopy number set forth in the Participation Agreements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All requests, notices or other communications shall be given in the manner, and shall be effective at the times and under the terms, set forth in Section 12.7 of the Participation Agreements.</w:t>
      </w:r>
    </w:p>
    <w:p>
      <w:pPr>
        <w:spacing w:after="0" w:line="170"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 Waivers</w:t>
      </w:r>
      <w:r>
        <w:rPr>
          <w:rFonts w:ascii="Arial" w:cs="Arial" w:eastAsia="Arial" w:hAnsi="Arial"/>
          <w:sz w:val="18"/>
          <w:szCs w:val="18"/>
          <w:color w:val="auto"/>
        </w:rPr>
        <w:t>. No failure on the part of any Party to exercise, no delay in exercising, and no course of dealing with respect to, any right or remedy hereunder will operate as a waiver thereof; nor will any single or partial exercise of any right or remedy hereunder preclude any other or further exercise of such right or remedy or the exercise of any other right or remedy.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40" w:name="page141"/>
    <w:bookmarkEnd w:id="140"/>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fullest extent permitted by applicable law, any provision of this Guarantee that is prohibited or unenforceable in any jurisdiction shall, as to such jurisdiction, be ineffective to the extent of such prohibition or unenforceability without invalidating the remaining provisions hereof or any provision in any other Operative Agreement, and any such prohibition or unenforceability in any jurisdiction shall not invalidate or render unenforceable such provision in any other jurisdiction.</w:t>
      </w:r>
    </w:p>
    <w:p>
      <w:pPr>
        <w:spacing w:after="0" w:line="18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GOVERNING LAW</w:t>
      </w:r>
      <w:r>
        <w:rPr>
          <w:rFonts w:ascii="Arial" w:cs="Arial" w:eastAsia="Arial" w:hAnsi="Arial"/>
          <w:sz w:val="17"/>
          <w:szCs w:val="17"/>
          <w:color w:val="auto"/>
        </w:rPr>
        <w:t>. THIS GUARANTEE SHALL BE GOVERNED BY, AND CONSTRUED IN ACCORDANCE WITH, THE LAW OF THE STATE OF NEW YORK (WITHOUT REGARD TO PRINCIPLES OF CONFLICTS OF LAWS THEREOF (OTHER THAN SECTIONS 5-1401 AND 5-1402 OF THE NEW YORK GENERAL OBLIGATIONS LAW)). THIS GUARANTEE IS BEING DELIVERED IN NEW YORK, NEW YORK.</w:t>
      </w:r>
    </w:p>
    <w:p>
      <w:pPr>
        <w:spacing w:after="0" w:line="166"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Consent</w:t>
      </w:r>
      <w:r>
        <w:rPr>
          <w:rFonts w:ascii="Arial" w:cs="Arial" w:eastAsia="Arial" w:hAnsi="Arial"/>
          <w:sz w:val="18"/>
          <w:szCs w:val="18"/>
          <w:color w:val="auto"/>
        </w:rPr>
        <w:t>. By agreeing, acknowledging and consenting to this Guarantee by their signatures below, each Party hereby consents to the amendment and restatement effected by this Guarantee.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274" w:right="41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Guarantee to be duly executed as of the day and year first written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US AIRWAYS GROUP,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AMERICAN AIRLINES GROUP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 &amp; Treasurer</w:t>
      </w:r>
    </w:p>
    <w:p>
      <w:pPr>
        <w:sectPr>
          <w:pgSz w:w="11900" w:h="16838" w:orient="portrait"/>
          <w:cols w:equalWidth="0" w:num="1">
            <w:col w:w="9759"/>
          </w:cols>
          <w:pgMar w:left="700" w:top="274" w:right="1440"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AGREED AND CONSENTED: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Indenture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P. Hines,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27101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Robert P. Hines, Jr.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Pass Through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P. Hines,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27101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Robert P. Hines, Jr.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Subordination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P. Hines,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27101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Robert P. Hines, Jr.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 Assistant Vice President</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143" w:name="page144"/>
    <w:bookmarkEnd w:id="143"/>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GUARANTEE</w:t>
      </w:r>
    </w:p>
    <w:p>
      <w:pPr>
        <w:spacing w:after="0" w:line="207" w:lineRule="exact"/>
        <w:rPr>
          <w:sz w:val="20"/>
          <w:szCs w:val="20"/>
          <w:color w:val="auto"/>
        </w:rPr>
      </w:pPr>
    </w:p>
    <w:p>
      <w:pPr>
        <w:ind w:left="5340"/>
        <w:spacing w:after="0"/>
        <w:rPr>
          <w:sz w:val="20"/>
          <w:szCs w:val="20"/>
          <w:color w:val="auto"/>
        </w:rPr>
      </w:pPr>
      <w:r>
        <w:rPr>
          <w:rFonts w:ascii="Arial" w:cs="Arial" w:eastAsia="Arial" w:hAnsi="Arial"/>
          <w:sz w:val="18"/>
          <w:szCs w:val="18"/>
          <w:b w:val="1"/>
          <w:bCs w:val="1"/>
          <w:u w:val="single" w:color="auto"/>
          <w:color w:val="auto"/>
        </w:rPr>
        <w:t>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Indenture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Pass Through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Subordination Agent</w:t>
      </w:r>
    </w:p>
    <w:p>
      <w:pPr>
        <w:spacing w:after="0" w:line="200" w:lineRule="exact"/>
        <w:rPr>
          <w:sz w:val="20"/>
          <w:szCs w:val="20"/>
          <w:color w:val="auto"/>
        </w:rPr>
      </w:pPr>
    </w:p>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I</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219"/>
          </w:cols>
          <w:pgMar w:left="240" w:top="270" w:right="1440"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GUARANTEE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AIRCRAFT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gridSpan w:val="3"/>
          </w:tcPr>
          <w:p>
            <w:pPr>
              <w:ind w:left="780"/>
              <w:spacing w:after="0"/>
              <w:rPr>
                <w:sz w:val="20"/>
                <w:szCs w:val="20"/>
                <w:color w:val="auto"/>
              </w:rPr>
            </w:pPr>
            <w:r>
              <w:rPr>
                <w:rFonts w:ascii="Arial" w:cs="Arial" w:eastAsia="Arial" w:hAnsi="Arial"/>
                <w:sz w:val="14"/>
                <w:szCs w:val="14"/>
                <w:b w:val="1"/>
                <w:bCs w:val="1"/>
                <w:color w:val="auto"/>
              </w:rPr>
              <w:t>U.S. Registration Mark</w:t>
            </w:r>
          </w:p>
        </w:tc>
        <w:tc>
          <w:tcPr>
            <w:tcW w:w="370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8"/>
              </w:rPr>
              <w:t>MSN #</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Aircraft Type</w:t>
            </w:r>
          </w:p>
        </w:tc>
        <w:tc>
          <w:tcPr>
            <w:tcW w:w="1740" w:type="dxa"/>
            <w:vAlign w:val="bottom"/>
          </w:tcPr>
          <w:p>
            <w:pPr>
              <w:spacing w:after="0"/>
              <w:rPr>
                <w:sz w:val="14"/>
                <w:szCs w:val="14"/>
                <w:color w:val="auto"/>
              </w:rPr>
            </w:pPr>
          </w:p>
        </w:tc>
        <w:tc>
          <w:tcPr>
            <w:tcW w:w="18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Engine Model Type</w:t>
            </w:r>
          </w:p>
        </w:tc>
      </w:tr>
      <w:tr>
        <w:trPr>
          <w:trHeight w:val="20"/>
        </w:trPr>
        <w:tc>
          <w:tcPr>
            <w:tcW w:w="7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7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N152UW</w:t>
            </w: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5588</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A321-211</w:t>
            </w:r>
          </w:p>
        </w:tc>
        <w:tc>
          <w:tcPr>
            <w:tcW w:w="3600" w:type="dxa"/>
            <w:vAlign w:val="bottom"/>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3"/>
              </w:rPr>
              <w:t>CFM56-5B3/3B1</w:t>
            </w:r>
          </w:p>
        </w:tc>
      </w:tr>
      <w:tr>
        <w:trPr>
          <w:trHeight w:val="216"/>
        </w:trPr>
        <w:tc>
          <w:tcPr>
            <w:tcW w:w="780" w:type="dxa"/>
            <w:vAlign w:val="bottom"/>
          </w:tcPr>
          <w:p>
            <w:pPr>
              <w:spacing w:after="0"/>
              <w:rPr>
                <w:sz w:val="18"/>
                <w:szCs w:val="18"/>
                <w:color w:val="auto"/>
              </w:rPr>
            </w:pPr>
          </w:p>
        </w:tc>
        <w:tc>
          <w:tcPr>
            <w:tcW w:w="248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N153UW</w:t>
            </w:r>
          </w:p>
        </w:tc>
        <w:tc>
          <w:tcPr>
            <w:tcW w:w="14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5594</w:t>
            </w:r>
          </w:p>
        </w:tc>
        <w:tc>
          <w:tcPr>
            <w:tcW w:w="2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A321-211</w:t>
            </w:r>
          </w:p>
        </w:tc>
        <w:tc>
          <w:tcPr>
            <w:tcW w:w="3600" w:type="dxa"/>
            <w:vAlign w:val="bottom"/>
            <w:gridSpan w:val="3"/>
          </w:tcPr>
          <w:p>
            <w:pPr>
              <w:jc w:val="center"/>
              <w:ind w:left="1010"/>
              <w:spacing w:after="0"/>
              <w:rPr>
                <w:sz w:val="20"/>
                <w:szCs w:val="20"/>
                <w:color w:val="auto"/>
              </w:rPr>
            </w:pPr>
            <w:r>
              <w:rPr>
                <w:rFonts w:ascii="Arial" w:cs="Arial" w:eastAsia="Arial" w:hAnsi="Arial"/>
                <w:sz w:val="18"/>
                <w:szCs w:val="18"/>
                <w:color w:val="auto"/>
                <w:w w:val="93"/>
              </w:rPr>
              <w:t>CFM56-5B3/3B1</w:t>
            </w:r>
          </w:p>
        </w:tc>
      </w:tr>
      <w:tr>
        <w:trPr>
          <w:trHeight w:val="216"/>
        </w:trPr>
        <w:tc>
          <w:tcPr>
            <w:tcW w:w="7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40"/>
              <w:spacing w:after="0"/>
              <w:rPr>
                <w:sz w:val="20"/>
                <w:szCs w:val="20"/>
                <w:color w:val="auto"/>
              </w:rPr>
            </w:pPr>
            <w:r>
              <w:rPr>
                <w:rFonts w:ascii="Arial" w:cs="Arial" w:eastAsia="Arial" w:hAnsi="Arial"/>
                <w:sz w:val="18"/>
                <w:szCs w:val="18"/>
                <w:color w:val="auto"/>
                <w:w w:val="95"/>
              </w:rPr>
              <w:t>N286AY</w:t>
            </w:r>
          </w:p>
        </w:tc>
        <w:tc>
          <w:tcPr>
            <w:tcW w:w="14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1415</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A330-243</w:t>
            </w:r>
          </w:p>
        </w:tc>
        <w:tc>
          <w:tcPr>
            <w:tcW w:w="3600" w:type="dxa"/>
            <w:vAlign w:val="bottom"/>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2"/>
              </w:rPr>
              <w:t>Trent 772B-60/16</w:t>
            </w:r>
          </w:p>
        </w:tc>
      </w:tr>
      <w:tr>
        <w:trPr>
          <w:trHeight w:val="216"/>
        </w:trPr>
        <w:tc>
          <w:tcPr>
            <w:tcW w:w="780" w:type="dxa"/>
            <w:vAlign w:val="bottom"/>
          </w:tcPr>
          <w:p>
            <w:pPr>
              <w:spacing w:after="0"/>
              <w:rPr>
                <w:sz w:val="18"/>
                <w:szCs w:val="18"/>
                <w:color w:val="auto"/>
              </w:rPr>
            </w:pPr>
          </w:p>
        </w:tc>
        <w:tc>
          <w:tcPr>
            <w:tcW w:w="2480" w:type="dxa"/>
            <w:vAlign w:val="bottom"/>
            <w:gridSpan w:val="2"/>
          </w:tcPr>
          <w:p>
            <w:pPr>
              <w:jc w:val="center"/>
              <w:ind w:right="1040"/>
              <w:spacing w:after="0"/>
              <w:rPr>
                <w:sz w:val="20"/>
                <w:szCs w:val="20"/>
                <w:color w:val="auto"/>
              </w:rPr>
            </w:pPr>
            <w:r>
              <w:rPr>
                <w:rFonts w:ascii="Arial" w:cs="Arial" w:eastAsia="Arial" w:hAnsi="Arial"/>
                <w:sz w:val="18"/>
                <w:szCs w:val="18"/>
                <w:color w:val="auto"/>
                <w:w w:val="95"/>
              </w:rPr>
              <w:t>N287AY</w:t>
            </w:r>
          </w:p>
        </w:tc>
        <w:tc>
          <w:tcPr>
            <w:tcW w:w="14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1417</w:t>
            </w:r>
          </w:p>
        </w:tc>
        <w:tc>
          <w:tcPr>
            <w:tcW w:w="2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A330-243</w:t>
            </w:r>
          </w:p>
        </w:tc>
        <w:tc>
          <w:tcPr>
            <w:tcW w:w="360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Trent 772B-60/16</w:t>
            </w:r>
          </w:p>
        </w:tc>
      </w:tr>
      <w:tr>
        <w:trPr>
          <w:trHeight w:val="216"/>
        </w:trPr>
        <w:tc>
          <w:tcPr>
            <w:tcW w:w="7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95"/>
              </w:rPr>
              <w:t>N154UW</w:t>
            </w:r>
          </w:p>
        </w:tc>
        <w:tc>
          <w:tcPr>
            <w:tcW w:w="14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5644</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A321-211</w:t>
            </w:r>
          </w:p>
        </w:tc>
        <w:tc>
          <w:tcPr>
            <w:tcW w:w="3600" w:type="dxa"/>
            <w:vAlign w:val="bottom"/>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3"/>
              </w:rPr>
              <w:t>CFM56-5B3/3B1</w:t>
            </w:r>
          </w:p>
        </w:tc>
      </w:tr>
      <w:tr>
        <w:trPr>
          <w:trHeight w:val="216"/>
        </w:trPr>
        <w:tc>
          <w:tcPr>
            <w:tcW w:w="780" w:type="dxa"/>
            <w:vAlign w:val="bottom"/>
          </w:tcPr>
          <w:p>
            <w:pPr>
              <w:spacing w:after="0"/>
              <w:rPr>
                <w:sz w:val="18"/>
                <w:szCs w:val="18"/>
                <w:color w:val="auto"/>
              </w:rPr>
            </w:pPr>
          </w:p>
        </w:tc>
        <w:tc>
          <w:tcPr>
            <w:tcW w:w="248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N155UW</w:t>
            </w:r>
          </w:p>
        </w:tc>
        <w:tc>
          <w:tcPr>
            <w:tcW w:w="14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5659</w:t>
            </w:r>
          </w:p>
        </w:tc>
        <w:tc>
          <w:tcPr>
            <w:tcW w:w="2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A321-211</w:t>
            </w:r>
          </w:p>
        </w:tc>
        <w:tc>
          <w:tcPr>
            <w:tcW w:w="3600" w:type="dxa"/>
            <w:vAlign w:val="bottom"/>
            <w:gridSpan w:val="3"/>
          </w:tcPr>
          <w:p>
            <w:pPr>
              <w:jc w:val="center"/>
              <w:ind w:left="1010"/>
              <w:spacing w:after="0"/>
              <w:rPr>
                <w:sz w:val="20"/>
                <w:szCs w:val="20"/>
                <w:color w:val="auto"/>
              </w:rPr>
            </w:pPr>
            <w:r>
              <w:rPr>
                <w:rFonts w:ascii="Arial" w:cs="Arial" w:eastAsia="Arial" w:hAnsi="Arial"/>
                <w:sz w:val="18"/>
                <w:szCs w:val="18"/>
                <w:color w:val="auto"/>
                <w:w w:val="93"/>
              </w:rPr>
              <w:t>CFM56-5B3/3B1</w:t>
            </w:r>
          </w:p>
        </w:tc>
      </w:tr>
      <w:tr>
        <w:trPr>
          <w:trHeight w:val="216"/>
        </w:trPr>
        <w:tc>
          <w:tcPr>
            <w:tcW w:w="7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95"/>
              </w:rPr>
              <w:t>N156UW</w:t>
            </w:r>
          </w:p>
        </w:tc>
        <w:tc>
          <w:tcPr>
            <w:tcW w:w="14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5684</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A321-211</w:t>
            </w:r>
          </w:p>
        </w:tc>
        <w:tc>
          <w:tcPr>
            <w:tcW w:w="3600" w:type="dxa"/>
            <w:vAlign w:val="bottom"/>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3"/>
              </w:rPr>
              <w:t>CFM56-5B3/3B1</w:t>
            </w:r>
          </w:p>
        </w:tc>
      </w:tr>
      <w:tr>
        <w:trPr>
          <w:trHeight w:val="216"/>
        </w:trPr>
        <w:tc>
          <w:tcPr>
            <w:tcW w:w="780" w:type="dxa"/>
            <w:vAlign w:val="bottom"/>
          </w:tcPr>
          <w:p>
            <w:pPr>
              <w:spacing w:after="0"/>
              <w:rPr>
                <w:sz w:val="18"/>
                <w:szCs w:val="18"/>
                <w:color w:val="auto"/>
              </w:rPr>
            </w:pPr>
          </w:p>
        </w:tc>
        <w:tc>
          <w:tcPr>
            <w:tcW w:w="248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N157UW</w:t>
            </w:r>
          </w:p>
        </w:tc>
        <w:tc>
          <w:tcPr>
            <w:tcW w:w="14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5696</w:t>
            </w:r>
          </w:p>
        </w:tc>
        <w:tc>
          <w:tcPr>
            <w:tcW w:w="2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A321-211</w:t>
            </w:r>
          </w:p>
        </w:tc>
        <w:tc>
          <w:tcPr>
            <w:tcW w:w="3600" w:type="dxa"/>
            <w:vAlign w:val="bottom"/>
            <w:gridSpan w:val="3"/>
          </w:tcPr>
          <w:p>
            <w:pPr>
              <w:jc w:val="center"/>
              <w:ind w:left="1010"/>
              <w:spacing w:after="0"/>
              <w:rPr>
                <w:sz w:val="20"/>
                <w:szCs w:val="20"/>
                <w:color w:val="auto"/>
              </w:rPr>
            </w:pPr>
            <w:r>
              <w:rPr>
                <w:rFonts w:ascii="Arial" w:cs="Arial" w:eastAsia="Arial" w:hAnsi="Arial"/>
                <w:sz w:val="18"/>
                <w:szCs w:val="18"/>
                <w:color w:val="auto"/>
                <w:w w:val="93"/>
              </w:rPr>
              <w:t>CFM56-5B3/3B1</w:t>
            </w:r>
          </w:p>
        </w:tc>
      </w:tr>
      <w:tr>
        <w:trPr>
          <w:trHeight w:val="216"/>
        </w:trPr>
        <w:tc>
          <w:tcPr>
            <w:tcW w:w="7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40"/>
              <w:spacing w:after="0"/>
              <w:rPr>
                <w:sz w:val="20"/>
                <w:szCs w:val="20"/>
                <w:color w:val="auto"/>
              </w:rPr>
            </w:pPr>
            <w:r>
              <w:rPr>
                <w:rFonts w:ascii="Arial" w:cs="Arial" w:eastAsia="Arial" w:hAnsi="Arial"/>
                <w:sz w:val="18"/>
                <w:szCs w:val="18"/>
                <w:color w:val="auto"/>
                <w:w w:val="95"/>
              </w:rPr>
              <w:t>N288AY</w:t>
            </w:r>
          </w:p>
        </w:tc>
        <w:tc>
          <w:tcPr>
            <w:tcW w:w="14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1441</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A330-243</w:t>
            </w:r>
          </w:p>
        </w:tc>
        <w:tc>
          <w:tcPr>
            <w:tcW w:w="3600" w:type="dxa"/>
            <w:vAlign w:val="bottom"/>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2"/>
              </w:rPr>
              <w:t>Trent 772B-60/16</w:t>
            </w:r>
          </w:p>
        </w:tc>
      </w:tr>
      <w:tr>
        <w:trPr>
          <w:trHeight w:val="216"/>
        </w:trPr>
        <w:tc>
          <w:tcPr>
            <w:tcW w:w="780" w:type="dxa"/>
            <w:vAlign w:val="bottom"/>
          </w:tcPr>
          <w:p>
            <w:pPr>
              <w:spacing w:after="0"/>
              <w:rPr>
                <w:sz w:val="18"/>
                <w:szCs w:val="18"/>
                <w:color w:val="auto"/>
              </w:rPr>
            </w:pPr>
          </w:p>
        </w:tc>
        <w:tc>
          <w:tcPr>
            <w:tcW w:w="248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N567UW</w:t>
            </w:r>
          </w:p>
        </w:tc>
        <w:tc>
          <w:tcPr>
            <w:tcW w:w="14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5728</w:t>
            </w:r>
          </w:p>
        </w:tc>
        <w:tc>
          <w:tcPr>
            <w:tcW w:w="2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A321-231</w:t>
            </w:r>
          </w:p>
        </w:tc>
        <w:tc>
          <w:tcPr>
            <w:tcW w:w="1740" w:type="dxa"/>
            <w:vAlign w:val="bottom"/>
          </w:tcPr>
          <w:p>
            <w:pPr>
              <w:spacing w:after="0"/>
              <w:rPr>
                <w:sz w:val="18"/>
                <w:szCs w:val="18"/>
                <w:color w:val="auto"/>
              </w:rPr>
            </w:pPr>
          </w:p>
        </w:tc>
        <w:tc>
          <w:tcPr>
            <w:tcW w:w="1860" w:type="dxa"/>
            <w:vAlign w:val="bottom"/>
            <w:gridSpan w:val="2"/>
          </w:tcPr>
          <w:p>
            <w:pPr>
              <w:jc w:val="center"/>
              <w:ind w:right="640"/>
              <w:spacing w:after="0"/>
              <w:rPr>
                <w:sz w:val="20"/>
                <w:szCs w:val="20"/>
                <w:color w:val="auto"/>
              </w:rPr>
            </w:pPr>
            <w:r>
              <w:rPr>
                <w:rFonts w:ascii="Arial" w:cs="Arial" w:eastAsia="Arial" w:hAnsi="Arial"/>
                <w:sz w:val="18"/>
                <w:szCs w:val="18"/>
                <w:color w:val="auto"/>
                <w:w w:val="97"/>
              </w:rPr>
              <w:t>V2533-A5</w:t>
            </w:r>
          </w:p>
        </w:tc>
      </w:tr>
      <w:tr>
        <w:trPr>
          <w:trHeight w:val="216"/>
        </w:trPr>
        <w:tc>
          <w:tcPr>
            <w:tcW w:w="7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40"/>
              <w:spacing w:after="0"/>
              <w:rPr>
                <w:sz w:val="20"/>
                <w:szCs w:val="20"/>
                <w:color w:val="auto"/>
              </w:rPr>
            </w:pPr>
            <w:r>
              <w:rPr>
                <w:rFonts w:ascii="Arial" w:cs="Arial" w:eastAsia="Arial" w:hAnsi="Arial"/>
                <w:sz w:val="18"/>
                <w:szCs w:val="18"/>
                <w:color w:val="auto"/>
                <w:w w:val="95"/>
              </w:rPr>
              <w:t>N289AY</w:t>
            </w:r>
          </w:p>
        </w:tc>
        <w:tc>
          <w:tcPr>
            <w:tcW w:w="14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1455</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A330-243</w:t>
            </w:r>
          </w:p>
        </w:tc>
        <w:tc>
          <w:tcPr>
            <w:tcW w:w="3600" w:type="dxa"/>
            <w:vAlign w:val="bottom"/>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2"/>
              </w:rPr>
              <w:t>Trent 772B-60/16</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AND RESTATED GUARANTEE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March 31, 2014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from</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AIRWAYS GROUP,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AMERICAN AIRLINES GROUP INC.</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Fourteen (14) Airbus A321-231 and Four (4) Airbus A330-243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00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Guarantee</w:t>
            </w:r>
          </w:p>
        </w:tc>
        <w:tc>
          <w:tcPr>
            <w:tcW w:w="1920" w:type="dxa"/>
            <w:vAlign w:val="bottom"/>
            <w:tcBorders>
              <w:top w:val="single" w:sz="8" w:color="auto"/>
            </w:tcBorders>
            <w:vMerge w:val="restart"/>
          </w:tcPr>
          <w:p>
            <w:pPr>
              <w:spacing w:after="0"/>
              <w:rPr>
                <w:sz w:val="24"/>
                <w:szCs w:val="24"/>
                <w:color w:val="auto"/>
              </w:rPr>
            </w:pPr>
          </w:p>
        </w:tc>
        <w:tc>
          <w:tcPr>
            <w:tcW w:w="4340" w:type="dxa"/>
            <w:vAlign w:val="bottom"/>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960" w:type="dxa"/>
            <w:vAlign w:val="bottom"/>
            <w:vMerge w:val="continue"/>
          </w:tcPr>
          <w:p>
            <w:pPr>
              <w:spacing w:after="0"/>
              <w:rPr>
                <w:sz w:val="19"/>
                <w:szCs w:val="19"/>
                <w:color w:val="auto"/>
              </w:rPr>
            </w:pPr>
          </w:p>
        </w:tc>
        <w:tc>
          <w:tcPr>
            <w:tcW w:w="3800" w:type="dxa"/>
            <w:vAlign w:val="bottom"/>
            <w:vMerge w:val="continue"/>
          </w:tcPr>
          <w:p>
            <w:pPr>
              <w:spacing w:after="0"/>
              <w:rPr>
                <w:sz w:val="19"/>
                <w:szCs w:val="19"/>
                <w:color w:val="auto"/>
              </w:rPr>
            </w:pPr>
          </w:p>
        </w:tc>
        <w:tc>
          <w:tcPr>
            <w:tcW w:w="1920" w:type="dxa"/>
            <w:vAlign w:val="bottom"/>
            <w:tcBorders>
              <w:top w:val="single" w:sz="8" w:color="auto"/>
            </w:tcBorders>
            <w:vMerge w:val="continue"/>
          </w:tcPr>
          <w:p>
            <w:pPr>
              <w:spacing w:after="0"/>
              <w:rPr>
                <w:sz w:val="19"/>
                <w:szCs w:val="19"/>
                <w:color w:val="auto"/>
              </w:rPr>
            </w:pPr>
          </w:p>
        </w:tc>
        <w:tc>
          <w:tcPr>
            <w:tcW w:w="434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Section 2.</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No Implied Third Party Beneficiaries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3.</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Waiver; No Set-off; Reinstatement; Subrogation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4.</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Amendments, Etc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5.</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Payments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6.</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Integration; Counterparts; Successors and Assigns; Headings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7.</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Notices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8.</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No Waivers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9.</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Severability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10.</w:t>
            </w:r>
          </w:p>
        </w:tc>
        <w:tc>
          <w:tcPr>
            <w:tcW w:w="10060" w:type="dxa"/>
            <w:vAlign w:val="bottom"/>
            <w:gridSpan w:val="3"/>
          </w:tcPr>
          <w:p>
            <w:pPr>
              <w:ind w:left="160"/>
              <w:spacing w:after="0"/>
              <w:rPr>
                <w:sz w:val="20"/>
                <w:szCs w:val="20"/>
                <w:color w:val="auto"/>
              </w:rPr>
            </w:pPr>
            <w:r>
              <w:rPr>
                <w:rFonts w:ascii="Arial" w:cs="Arial" w:eastAsia="Arial" w:hAnsi="Arial"/>
                <w:sz w:val="18"/>
                <w:szCs w:val="18"/>
                <w:color w:val="auto"/>
              </w:rPr>
              <w:t>GOVERNING LAW</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260" w:type="dxa"/>
            <w:vAlign w:val="bottom"/>
            <w:gridSpan w:val="2"/>
          </w:tcPr>
          <w:p>
            <w:pPr>
              <w:jc w:val="center"/>
              <w:ind w:right="4360"/>
              <w:spacing w:after="0"/>
              <w:rPr>
                <w:sz w:val="20"/>
                <w:szCs w:val="20"/>
                <w:color w:val="auto"/>
              </w:rPr>
            </w:pPr>
            <w:r>
              <w:rPr>
                <w:rFonts w:ascii="Arial" w:cs="Arial" w:eastAsia="Arial" w:hAnsi="Arial"/>
                <w:sz w:val="18"/>
                <w:szCs w:val="18"/>
                <w:color w:val="auto"/>
              </w:rPr>
              <w:t>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47" w:name="page148"/>
    <w:bookmarkEnd w:id="14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GUARANTEE</w:t>
      </w:r>
    </w:p>
    <w:p>
      <w:pPr>
        <w:spacing w:after="0" w:line="22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AMENDED AND RESTATED GUARANTEE, dated as of March 31, 2014 (as amended, modified or supplemented from time to time, this “Guarantee”), from US AIRWAYS GROUP, INC., a Delaware corporation (together with its permitted successors and assigns, “USAG”) and AMERICAN AIRLINES GROUP INC., a Delaware corporation (together with its permitted successors and assigns, “AAG” and, together with USAG, the “Guarantors”), to the parties listed in Schedule I hereto (collectively, together with their successors and permitted assigns, the “Parties”, and, individually, a “Party”).</w:t>
      </w:r>
    </w:p>
    <w:p>
      <w:pPr>
        <w:spacing w:after="0" w:line="154"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WHEREAS, US Airways, Inc., a Delaware corporation (“Owner”), a direct wholly-owned subsidiary of USAG, a direct wholly-owned subsidiary of AAG, has entered into that certain Note Purchase Agreement dated as of April 24, 2013 (the “Note Purchase Agreement”), among Owner, Wilmington Trust Company, as pass through trustee under each of the Pass Through Trust Agreements (the “Pass Through Trustee”), Wilmington Trust Company, as Subordination Agent (the “Subordination Agent”), Wilmington Trust, National Association, as Escrow Agent under each of the Escrow and Paying Agent Agreements, and Wilmington Trust Company, as Paying Agent under each of the Escrow and Paying Agent Agreements;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capitalized terms used but not defined herein shall have the meanings set forth in the Note Purchase Agreement; and</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WHEREAS, in order to finance the aircraft identified on Schedule II hereto (the “Aircraft”), Owner has issued or will issue, as the case may be, the Equipment Notes under the Trust Indentures;</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WHEREAS, in order to induce the Pass Through Trustee to purchase the Equipment Notes and for other good and valuable consideration, USAG delivered the Guarantee dated as of April 24, 2013 (the “Prior Guarantee”) to the Parties;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USAG and AAG desire to amend and restate the Prior Guarantee on the terms set forth herein and each of the Parties desires to consent to such amendment and restatement;</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NOW, THEREFORE, in order to induce the Pass Through Trustee to purchase the Equipment Notes and for other good and valuable consideration, receipt of which is hereby acknowledged, the parties hereto agree as follows:</w:t>
      </w:r>
    </w:p>
    <w:p>
      <w:pPr>
        <w:sectPr>
          <w:pgSz w:w="11900" w:h="16838" w:orient="portrait"/>
          <w:cols w:equalWidth="0" w:num="1">
            <w:col w:w="11360"/>
          </w:cols>
          <w:pgMar w:left="240" w:top="270" w:right="299" w:bottom="1440" w:gutter="0" w:footer="0" w:header="0"/>
        </w:sectPr>
      </w:pPr>
    </w:p>
    <w:bookmarkStart w:id="148" w:name="page149"/>
    <w:bookmarkEnd w:id="148"/>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117" w:lineRule="exact"/>
        <w:rPr>
          <w:sz w:val="20"/>
          <w:szCs w:val="20"/>
          <w:color w:val="auto"/>
        </w:rPr>
      </w:pPr>
    </w:p>
    <w:p>
      <w:pPr>
        <w:ind w:left="-40" w:right="40" w:firstLine="921"/>
        <w:spacing w:after="0" w:line="286" w:lineRule="auto"/>
        <w:tabs>
          <w:tab w:leader="none" w:pos="1118"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Guarantor does hereby acknowledge that it is fully aware of the terms and conditions of the Trust Indentures, the Participation Agreements, the Equipment Notes and the transactions and the other documents contemplated thereby, and the Guarantors jointly and severally hereby irrevocably and fully and unconditionally guarantee, as primary obligor and not as surety merely, to the Parties, as their respective interests may appear, the payment by Owner of all payment obligations when due under the Trust Indentures, the Participation Agreements and the Equipment Notes (such obligations of Owner guaranteed hereby being hereafter referred to, individually, as a “Guaranteed Obligation” and, collectively, as the “Guaranteed Obligations”) in accordance with the terms of the Financing Agreements. The Guarantors jointly and severally hereby agree that in the event that Owner fails to pay any Guaranteed Obligation when due for any reason (including, without limitation, the liquidation, dissolution, receivership, insolvency, bankruptcy, assignment for the benefit of creditors, reorganization, arrangement, composition or readjustment of, or other similar proceedings affecting the status, existence, assets or obligations of Owner, or the disaffirmance with respect to Owner of any Trust Indenture or any other Financing Agreement to which Owner is a party in any such proceeding) after the date on which such Guaranteed Obligation became due and payable and the applicable grace period has expired, the Guarantors shall pay or cause to be paid forthwith, upon the receipt of notice from the Indenture Trustee (such notice to be sent to Owner (to the extent the Indenture Trustee is not stayed or prevented from doing so by operation of law) and each Guarantor) stating that such Guaranteed Obligation was not paid when due after the applicable grace period has expired and stating the amount of such Guaranteed Obligation.</w:t>
      </w:r>
    </w:p>
    <w:p>
      <w:pPr>
        <w:spacing w:after="0" w:line="66" w:lineRule="exact"/>
        <w:rPr>
          <w:rFonts w:ascii="Arial" w:cs="Arial" w:eastAsia="Arial" w:hAnsi="Arial"/>
          <w:sz w:val="16"/>
          <w:szCs w:val="16"/>
          <w:color w:val="auto"/>
        </w:rPr>
      </w:pPr>
    </w:p>
    <w:p>
      <w:pPr>
        <w:ind w:left="-40" w:firstLine="921"/>
        <w:spacing w:after="0" w:line="285" w:lineRule="auto"/>
        <w:tabs>
          <w:tab w:leader="none" w:pos="1128"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obligations of the Guarantors hereunder shall not be, to the fullest extent permitted by law, affected by the genuineness, validity, regularity or enforceability (or lack thereof) of any of Owner’s obligations under any Trust Indenture or any other Financing Agreement to which Owner is a party, any amendment, waiver or other modification of any Trust Indenture or such other Financing Agreement (except that any such amendment or other modification shall be given effect in determining the obligations of the Guarantors hereunder), or by any substitution, release or exchange of collateral for or other guaranty of any of the Guaranteed Obligations (except to the extent that such substitution, release or exchange is not undertaken in accordance with the terms of the Financing Agreements) without the consent of each Guarantor, or by any priority or preference to which any other obligations of Owner may be entitled over Owner’s obligations under any Trust Indenture and the other Financing Agreements to which Owner is a party, or by any other circumstance that might otherwise constitute a legal or equitable defense to or discharge of the obligations of a surety or guarantor including, without limitation, any defense arising out of any laws of the United States of America or of any State thereof which would excuse, discharge, exempt, modify or delay the due or punctual payment and performance of the obligations of the Guarantors hereunder. Without limiting the generality of the foregoing, it is agreed that the occurrence of any one or more of the following shall not, to the fullest extent permitted by law, affect the liability of the Guarantors hereunder: (a) the extension of the time for or waiver of, at any time or from time to time, without notice to the Guarantors, Owner’s performance of or compliance with any of its obligations under the Financing Agreements (except that such extension or waiver shall be given effect in determining the obligations of the Guarantors hereunder), (b) any assignment, transfer, lease or other arrangement by which Owner transfers possession or loses control of the use of any Aircraft, (c) any defect in the title, condition, design, operation or fitness for use of, or damage to or loss or destruction of, any Aircraft, whether or not due to the fault of Owner, (d) any merger or consolidation of Owner or either Guarantor into or with any other Person, or any sale, transfer, lease or disposal of any of its assets, (e) any issuance of Series C Equipment Notes or (f) any change in the ownership of any shares of capital stock of Owner.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74" w:right="279" w:bottom="1440" w:gutter="0" w:footer="0" w:header="0"/>
        </w:sectPr>
      </w:pPr>
    </w:p>
    <w:bookmarkStart w:id="149" w:name="page150"/>
    <w:bookmarkEnd w:id="149"/>
    <w:p>
      <w:pPr>
        <w:ind w:firstLine="921"/>
        <w:spacing w:after="0" w:line="269" w:lineRule="auto"/>
        <w:tabs>
          <w:tab w:leader="none" w:pos="1158" w:val="left"/>
        </w:tabs>
        <w:numPr>
          <w:ilvl w:val="0"/>
          <w:numId w:val="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Guarantee is an absolute, present and continuing guaranty of payment and performance and not of collection and is in no way conditional or contingent upon any attempt to collect from Owner any unpaid amounts due. The Guarantors specifically agree, to the fullest extent permitted by law, that it shall not be necessary or required, and that the Guarantors shall not be entitled to require, that any Party (i) file suit or proceed to obtain or assert a claim for personal judgment against Owner for the Guaranteed Obligations, or (ii) make any effort at collection of the Guaranteed Obligations from Owner, or (iii) foreclose against or seek to realize upon any security now or hereafter existing for the Guaranteed Obligations, including the Collateral (as defined in the Trust Indentures), or (iv) file suit or proceed to obtain or assert a claim for personal judgment against any other Person liable for the Guaranteed Obligations, or make any effort at collection of the Guaranteed Obligations from any such other Person, or exercise or assert any other right or remedy to which any Party is or may be entitled in connection with the Guaranteed Obligations or any security or other guaranty therefor, or (v) assert or file any claim against the assets of Owner or any other guarantor or other Person liable for the Guaranteed Obligations, or any part thereof, before or as a condition of enforcing the liability of the Guarantors under this Guarantee or requiring payment of said Guaranteed Obligations by the Guarantors hereunder, or at any time thereafter.</w:t>
      </w:r>
    </w:p>
    <w:p>
      <w:pPr>
        <w:spacing w:after="0" w:line="18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No Implied Third Party Beneficiaries</w:t>
      </w:r>
      <w:r>
        <w:rPr>
          <w:rFonts w:ascii="Arial" w:cs="Arial" w:eastAsia="Arial" w:hAnsi="Arial"/>
          <w:sz w:val="18"/>
          <w:szCs w:val="18"/>
          <w:color w:val="auto"/>
        </w:rPr>
        <w:t>. This Guarantee shall not be deemed to create any right in any Person except a Party and shall not be construed in any respect to be a contract in whole or in part for the benefit of any other Person.</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Waiver; No Set-off; Reinstatement; Subrogation</w:t>
      </w:r>
      <w:r>
        <w:rPr>
          <w:rFonts w:ascii="Arial" w:cs="Arial" w:eastAsia="Arial" w:hAnsi="Arial"/>
          <w:sz w:val="16"/>
          <w:szCs w:val="16"/>
          <w:color w:val="auto"/>
        </w:rPr>
        <w:t xml:space="preserve">. The Guarantors waive notice of the acceptance of this Guarantee and of the performance or nonperformance by Owner, demand for payment from Owner or any other Person, notice of nonpayment or failure to perform on the part of Owner, diligence, presentment, protest, dishonor and, to the fullest extent permitted by law, all other demands or notices whatsoever, other than the request for payment hereunder and notice provided for in Section 1 hereof. The obligations of the Guarantors shall be absolute and unconditional and shall remain in full force and effect until satisfaction of all Guaranteed Obligations and, without limiting the generality of the foregoing, to the extent not prohibited by applicable law, shall not be released, discharged or otherwise affected by the existence of any claims, set-off, defense or other rights that the Guarantors may have at any time and from time to time against any Party, whether in connection herewith or any unrelated transactions. This Guarantee shall continue to be effective or be reinstated, as the case may be, if at any time any payment of any Guaranteed Obligation is rescinded or must otherwise be returned by any Party upon the insolvency, bankruptcy, reorganization, arrangement, readjustment of debt, dissolution, liquidation or similar proceeding with respect to Owner or otherwise, all as though such payment had not been made. The Guarantor, by virtue of any payment hereunder to a Party, shall be subrogated to such Party’s claim against Owner or any other Person relating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Guarantor shall be entitled to receive payment from Owner in respect of any claim against Owner arising from a payment by such Guarantor in the event of any insolvency, bankruptcy, liquidation, reorganization or other similar proceedings relating to Owner, or in the event of any proceedings for voluntary liquidation, dissolution or other winding-up of Owner, whether or not involving insolvency or bankruptcy proceedings, in which case the Guaranteed Obligations shall be paid and performed in full before any payment in respect of a claim by such Guarantor shall be made by or on behalf of Owner.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50" w:name="page151"/>
    <w:bookmarkEnd w:id="150"/>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Amendments, Etc</w:t>
      </w:r>
      <w:r>
        <w:rPr>
          <w:rFonts w:ascii="Arial" w:cs="Arial" w:eastAsia="Arial" w:hAnsi="Arial"/>
          <w:sz w:val="18"/>
          <w:szCs w:val="18"/>
          <w:color w:val="auto"/>
        </w:rPr>
        <w:t>. No amendment of or supplement to this Guarantee, or waiver or modification of, or consent under, the terms hereof, shall be effective unless evidenced by an instrument in writing signed by the Guarantors and each Party against whom such amendment, supplement, waiver, modification or consent is to be enforced.</w:t>
      </w:r>
    </w:p>
    <w:p>
      <w:pPr>
        <w:spacing w:after="0" w:line="18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Payments</w:t>
      </w:r>
      <w:r>
        <w:rPr>
          <w:rFonts w:ascii="Arial" w:cs="Arial" w:eastAsia="Arial" w:hAnsi="Arial"/>
          <w:sz w:val="16"/>
          <w:szCs w:val="16"/>
          <w:color w:val="auto"/>
        </w:rPr>
        <w:t>. All payments by the Guarantors hereunder in respect of any Obligation shall be made in Dollars and otherwise as provided in the relevant Trust Indenture, the relevant Participation Agreement or the relevant Equipment Note in which such Guaranteed Obligation is contained.</w:t>
      </w:r>
    </w:p>
    <w:p>
      <w:pPr>
        <w:spacing w:after="0" w:line="12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Integration; Counterparts; Successors and Assigns; Headings</w:t>
      </w:r>
      <w:r>
        <w:rPr>
          <w:rFonts w:ascii="Arial" w:cs="Arial" w:eastAsia="Arial" w:hAnsi="Arial"/>
          <w:sz w:val="16"/>
          <w:szCs w:val="16"/>
          <w:color w:val="auto"/>
        </w:rPr>
        <w:t>. This Guarantee (a) constitutes the entire agreement, and supersedes all prior agreements and understandings, both written and oral, among the Guarantors and the Parties, with respect to the subject matter hereof, (b) may be executed in several counterparts, each of which shall be deemed an original, but all of which together shall constitute one and the same instrument, and (c) shall be binding upon the successors and assigns of the Guarantors and shall inure to the benefit of, and shall be enforceable by, each of the Parties to the fullest extent permitted by applicable laws. The headings in this Guarantee are for purposes of reference only, and shall not limit or otherwise affect the meanings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Notices</w:t>
      </w:r>
      <w:r>
        <w:rPr>
          <w:rFonts w:ascii="Arial" w:cs="Arial" w:eastAsia="Arial" w:hAnsi="Arial"/>
          <w:sz w:val="18"/>
          <w:szCs w:val="18"/>
          <w:color w:val="auto"/>
        </w:rPr>
        <w:t>. All requests, notices or other communications hereunder shall be in writing, addressed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to USAG: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817-967-4318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AAG: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817-967-4318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 Party: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address or telecopy number set forth in the Participation Agreements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All requests, notices or other communications shall be given in the manner, and shall be effective at the times and under the terms, set forth in Section 12.7 of the Participation Agreements.</w:t>
      </w:r>
    </w:p>
    <w:p>
      <w:pPr>
        <w:spacing w:after="0" w:line="170"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 Waivers</w:t>
      </w:r>
      <w:r>
        <w:rPr>
          <w:rFonts w:ascii="Arial" w:cs="Arial" w:eastAsia="Arial" w:hAnsi="Arial"/>
          <w:sz w:val="18"/>
          <w:szCs w:val="18"/>
          <w:color w:val="auto"/>
        </w:rPr>
        <w:t>. No failure on the part of any Party to exercise, no delay in exercising, and no course of dealing with respect to, any right or remedy hereunder will operate as a waiver thereof; nor will any single or partial exercise of any right or remedy hereunder preclude any other or further exercise of such right or remedy or the exercise of any other right or remedy.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51" w:name="page152"/>
    <w:bookmarkEnd w:id="151"/>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fullest extent permitted by applicable law, any provision of this Guarantee that is prohibited or unenforceable in any jurisdiction shall, as to such jurisdiction, be ineffective to the extent of such prohibition or unenforceability without invalidating the remaining provisions hereof or any provision in any other Operative Agreement, and any such prohibition or unenforceability in any jurisdiction shall not invalidate or render unenforceable such provision in any other jurisdiction.</w:t>
      </w:r>
    </w:p>
    <w:p>
      <w:pPr>
        <w:spacing w:after="0" w:line="18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GOVERNING LAW</w:t>
      </w:r>
      <w:r>
        <w:rPr>
          <w:rFonts w:ascii="Arial" w:cs="Arial" w:eastAsia="Arial" w:hAnsi="Arial"/>
          <w:sz w:val="17"/>
          <w:szCs w:val="17"/>
          <w:color w:val="auto"/>
        </w:rPr>
        <w:t>. THIS GUARANTEE SHALL BE GOVERNED BY, AND CONSTRUED IN ACCORDANCE WITH, THE LAW OF THE STATE OF NEW YORK (WITHOUT REGARD TO PRINCIPLES OF CONFLICTS OF LAWS THEREOF (OTHER THAN SECTIONS 5-1401 AND 5-1402 OF THE NEW YORK GENERAL OBLIGATIONS LAW)). THIS GUARANTEE IS BEING DELIVERED IN NEW YORK, NEW YORK.</w:t>
      </w:r>
    </w:p>
    <w:p>
      <w:pPr>
        <w:spacing w:after="0" w:line="166"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Consent</w:t>
      </w:r>
      <w:r>
        <w:rPr>
          <w:rFonts w:ascii="Arial" w:cs="Arial" w:eastAsia="Arial" w:hAnsi="Arial"/>
          <w:sz w:val="18"/>
          <w:szCs w:val="18"/>
          <w:color w:val="auto"/>
        </w:rPr>
        <w:t>. By agreeing, acknowledging and consenting to this Guarantee by their signatures below, each Party hereby consents to the amendment and restatement effected by this Guarantee.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274" w:right="41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Guarantee to be duly executed as of the day and year first written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US AIRWAYS GROUP,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AMERICAN AIRLINES GROUP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 &amp; Treasurer</w:t>
      </w:r>
    </w:p>
    <w:p>
      <w:pPr>
        <w:sectPr>
          <w:pgSz w:w="11900" w:h="16838" w:orient="portrait"/>
          <w:cols w:equalWidth="0" w:num="1">
            <w:col w:w="9759"/>
          </w:cols>
          <w:pgMar w:left="700" w:top="274" w:right="1440"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AGREED AND CONSENTED: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Indenture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P. Hines,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75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Robert P. Hines, Jr.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Pass Through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P. Hines,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75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Robert P. Hines, Jr.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Subordination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P. Hines,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75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Robert P. Hines, Jr.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Vice President</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154" w:name="page155"/>
    <w:bookmarkEnd w:id="154"/>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GUARANTEE</w:t>
      </w:r>
    </w:p>
    <w:p>
      <w:pPr>
        <w:spacing w:after="0" w:line="207" w:lineRule="exact"/>
        <w:rPr>
          <w:sz w:val="20"/>
          <w:szCs w:val="20"/>
          <w:color w:val="auto"/>
        </w:rPr>
      </w:pPr>
    </w:p>
    <w:p>
      <w:pPr>
        <w:ind w:left="5340"/>
        <w:spacing w:after="0"/>
        <w:rPr>
          <w:sz w:val="20"/>
          <w:szCs w:val="20"/>
          <w:color w:val="auto"/>
        </w:rPr>
      </w:pPr>
      <w:r>
        <w:rPr>
          <w:rFonts w:ascii="Arial" w:cs="Arial" w:eastAsia="Arial" w:hAnsi="Arial"/>
          <w:sz w:val="18"/>
          <w:szCs w:val="18"/>
          <w:b w:val="1"/>
          <w:bCs w:val="1"/>
          <w:u w:val="single" w:color="auto"/>
          <w:color w:val="auto"/>
        </w:rPr>
        <w:t>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Indenture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Pass Through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Company, as Subordination Agent</w:t>
      </w:r>
    </w:p>
    <w:p>
      <w:pPr>
        <w:spacing w:after="0" w:line="200" w:lineRule="exact"/>
        <w:rPr>
          <w:sz w:val="20"/>
          <w:szCs w:val="20"/>
          <w:color w:val="auto"/>
        </w:rPr>
      </w:pPr>
    </w:p>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I</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219"/>
          </w:cols>
          <w:pgMar w:left="240" w:top="270" w:right="1440"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GUARANTEE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AIRCRAFT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40" w:type="dxa"/>
            <w:vAlign w:val="bottom"/>
          </w:tcPr>
          <w:p>
            <w:pPr>
              <w:spacing w:after="0"/>
              <w:rPr>
                <w:sz w:val="16"/>
                <w:szCs w:val="16"/>
                <w:color w:val="auto"/>
              </w:rPr>
            </w:pPr>
          </w:p>
        </w:tc>
        <w:tc>
          <w:tcPr>
            <w:tcW w:w="1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U.S. Registration Mark</w:t>
            </w:r>
          </w:p>
        </w:tc>
        <w:tc>
          <w:tcPr>
            <w:tcW w:w="2520" w:type="dxa"/>
            <w:vAlign w:val="bottom"/>
          </w:tcPr>
          <w:p>
            <w:pPr>
              <w:spacing w:after="0"/>
              <w:rPr>
                <w:sz w:val="16"/>
                <w:szCs w:val="16"/>
                <w:color w:val="auto"/>
              </w:rPr>
            </w:pPr>
          </w:p>
        </w:tc>
        <w:tc>
          <w:tcPr>
            <w:tcW w:w="2300" w:type="dxa"/>
            <w:vAlign w:val="bottom"/>
            <w:gridSpan w:val="2"/>
          </w:tcPr>
          <w:p>
            <w:pPr>
              <w:ind w:left="120"/>
              <w:spacing w:after="0"/>
              <w:rPr>
                <w:sz w:val="20"/>
                <w:szCs w:val="20"/>
                <w:color w:val="auto"/>
              </w:rPr>
            </w:pPr>
            <w:r>
              <w:rPr>
                <w:rFonts w:ascii="Arial" w:cs="Arial" w:eastAsia="Arial" w:hAnsi="Arial"/>
                <w:sz w:val="14"/>
                <w:szCs w:val="14"/>
                <w:b w:val="1"/>
                <w:bCs w:val="1"/>
                <w:color w:val="auto"/>
              </w:rPr>
              <w:t>MSN #</w:t>
            </w:r>
          </w:p>
        </w:tc>
        <w:tc>
          <w:tcPr>
            <w:tcW w:w="296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7"/>
              </w:rPr>
              <w:t>Aircraft Type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Engine Model Type</w:t>
            </w:r>
          </w:p>
        </w:tc>
      </w:tr>
      <w:tr>
        <w:trPr>
          <w:trHeight w:val="203"/>
        </w:trPr>
        <w:tc>
          <w:tcPr>
            <w:tcW w:w="84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N568UW</w:t>
            </w:r>
          </w:p>
        </w:tc>
        <w:tc>
          <w:tcPr>
            <w:tcW w:w="2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rPr>
              <w:t>5751</w:t>
            </w:r>
          </w:p>
        </w:tc>
        <w:tc>
          <w:tcPr>
            <w:tcW w:w="16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Airbus A321-231</w:t>
            </w:r>
          </w:p>
        </w:tc>
        <w:tc>
          <w:tcPr>
            <w:tcW w:w="17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V2533-A5</w:t>
            </w:r>
          </w:p>
        </w:tc>
      </w:tr>
      <w:tr>
        <w:trPr>
          <w:trHeight w:val="216"/>
        </w:trPr>
        <w:tc>
          <w:tcPr>
            <w:tcW w:w="8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N569UW</w:t>
            </w:r>
          </w:p>
        </w:tc>
        <w:tc>
          <w:tcPr>
            <w:tcW w:w="3140" w:type="dxa"/>
            <w:vAlign w:val="bottom"/>
            <w:gridSpan w:val="2"/>
          </w:tcPr>
          <w:p>
            <w:pPr>
              <w:ind w:left="2640"/>
              <w:spacing w:after="0"/>
              <w:rPr>
                <w:sz w:val="20"/>
                <w:szCs w:val="20"/>
                <w:color w:val="auto"/>
              </w:rPr>
            </w:pPr>
            <w:r>
              <w:rPr>
                <w:rFonts w:ascii="Arial" w:cs="Arial" w:eastAsia="Arial" w:hAnsi="Arial"/>
                <w:sz w:val="18"/>
                <w:szCs w:val="18"/>
                <w:color w:val="auto"/>
              </w:rPr>
              <w:t>5763</w:t>
            </w:r>
          </w:p>
        </w:tc>
        <w:tc>
          <w:tcPr>
            <w:tcW w:w="1680" w:type="dxa"/>
            <w:vAlign w:val="bottom"/>
          </w:tcPr>
          <w:p>
            <w:pPr>
              <w:spacing w:after="0"/>
              <w:rPr>
                <w:sz w:val="18"/>
                <w:szCs w:val="18"/>
                <w:color w:val="auto"/>
              </w:rPr>
            </w:pPr>
          </w:p>
        </w:tc>
        <w:tc>
          <w:tcPr>
            <w:tcW w:w="2960" w:type="dxa"/>
            <w:vAlign w:val="bottom"/>
            <w:gridSpan w:val="2"/>
          </w:tcPr>
          <w:p>
            <w:pPr>
              <w:jc w:val="center"/>
              <w:ind w:right="1700"/>
              <w:spacing w:after="0"/>
              <w:rPr>
                <w:sz w:val="20"/>
                <w:szCs w:val="20"/>
                <w:color w:val="auto"/>
              </w:rPr>
            </w:pPr>
            <w:r>
              <w:rPr>
                <w:rFonts w:ascii="Arial" w:cs="Arial" w:eastAsia="Arial" w:hAnsi="Arial"/>
                <w:sz w:val="18"/>
                <w:szCs w:val="18"/>
                <w:color w:val="auto"/>
                <w:w w:val="93"/>
              </w:rPr>
              <w:t>Airbus A321-231</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V2533-A5</w:t>
            </w:r>
          </w:p>
        </w:tc>
      </w:tr>
      <w:tr>
        <w:trPr>
          <w:trHeight w:val="216"/>
        </w:trPr>
        <w:tc>
          <w:tcPr>
            <w:tcW w:w="8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N570UW</w:t>
            </w:r>
          </w:p>
        </w:tc>
        <w:tc>
          <w:tcPr>
            <w:tcW w:w="31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5795</w:t>
            </w:r>
          </w:p>
        </w:tc>
        <w:tc>
          <w:tcPr>
            <w:tcW w:w="16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right="1700"/>
              <w:spacing w:after="0"/>
              <w:rPr>
                <w:sz w:val="20"/>
                <w:szCs w:val="20"/>
                <w:color w:val="auto"/>
              </w:rPr>
            </w:pPr>
            <w:r>
              <w:rPr>
                <w:rFonts w:ascii="Arial" w:cs="Arial" w:eastAsia="Arial" w:hAnsi="Arial"/>
                <w:sz w:val="18"/>
                <w:szCs w:val="18"/>
                <w:color w:val="auto"/>
                <w:w w:val="93"/>
              </w:rPr>
              <w:t>Airbus A321-231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V2533-A5</w:t>
            </w:r>
          </w:p>
        </w:tc>
      </w:tr>
      <w:tr>
        <w:trPr>
          <w:trHeight w:val="216"/>
        </w:trPr>
        <w:tc>
          <w:tcPr>
            <w:tcW w:w="8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N571UW</w:t>
            </w:r>
          </w:p>
        </w:tc>
        <w:tc>
          <w:tcPr>
            <w:tcW w:w="3140" w:type="dxa"/>
            <w:vAlign w:val="bottom"/>
            <w:gridSpan w:val="2"/>
          </w:tcPr>
          <w:p>
            <w:pPr>
              <w:ind w:left="2640"/>
              <w:spacing w:after="0"/>
              <w:rPr>
                <w:sz w:val="20"/>
                <w:szCs w:val="20"/>
                <w:color w:val="auto"/>
              </w:rPr>
            </w:pPr>
            <w:r>
              <w:rPr>
                <w:rFonts w:ascii="Arial" w:cs="Arial" w:eastAsia="Arial" w:hAnsi="Arial"/>
                <w:sz w:val="18"/>
                <w:szCs w:val="18"/>
                <w:color w:val="auto"/>
              </w:rPr>
              <w:t>5800</w:t>
            </w:r>
          </w:p>
        </w:tc>
        <w:tc>
          <w:tcPr>
            <w:tcW w:w="1680" w:type="dxa"/>
            <w:vAlign w:val="bottom"/>
          </w:tcPr>
          <w:p>
            <w:pPr>
              <w:spacing w:after="0"/>
              <w:rPr>
                <w:sz w:val="18"/>
                <w:szCs w:val="18"/>
                <w:color w:val="auto"/>
              </w:rPr>
            </w:pPr>
          </w:p>
        </w:tc>
        <w:tc>
          <w:tcPr>
            <w:tcW w:w="2960" w:type="dxa"/>
            <w:vAlign w:val="bottom"/>
            <w:gridSpan w:val="2"/>
          </w:tcPr>
          <w:p>
            <w:pPr>
              <w:jc w:val="center"/>
              <w:ind w:right="1700"/>
              <w:spacing w:after="0"/>
              <w:rPr>
                <w:sz w:val="20"/>
                <w:szCs w:val="20"/>
                <w:color w:val="auto"/>
              </w:rPr>
            </w:pPr>
            <w:r>
              <w:rPr>
                <w:rFonts w:ascii="Arial" w:cs="Arial" w:eastAsia="Arial" w:hAnsi="Arial"/>
                <w:sz w:val="18"/>
                <w:szCs w:val="18"/>
                <w:color w:val="auto"/>
                <w:w w:val="93"/>
              </w:rPr>
              <w:t>Airbus A321-231</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V2533-A5</w:t>
            </w:r>
          </w:p>
        </w:tc>
      </w:tr>
      <w:tr>
        <w:trPr>
          <w:trHeight w:val="216"/>
        </w:trPr>
        <w:tc>
          <w:tcPr>
            <w:tcW w:w="8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N572UW</w:t>
            </w:r>
          </w:p>
        </w:tc>
        <w:tc>
          <w:tcPr>
            <w:tcW w:w="31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5899</w:t>
            </w:r>
          </w:p>
        </w:tc>
        <w:tc>
          <w:tcPr>
            <w:tcW w:w="16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right="1700"/>
              <w:spacing w:after="0"/>
              <w:rPr>
                <w:sz w:val="20"/>
                <w:szCs w:val="20"/>
                <w:color w:val="auto"/>
              </w:rPr>
            </w:pPr>
            <w:r>
              <w:rPr>
                <w:rFonts w:ascii="Arial" w:cs="Arial" w:eastAsia="Arial" w:hAnsi="Arial"/>
                <w:sz w:val="18"/>
                <w:szCs w:val="18"/>
                <w:color w:val="auto"/>
                <w:w w:val="93"/>
              </w:rPr>
              <w:t>Airbus A321-231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V2533-A5</w:t>
            </w:r>
          </w:p>
        </w:tc>
      </w:tr>
      <w:tr>
        <w:trPr>
          <w:trHeight w:val="216"/>
        </w:trPr>
        <w:tc>
          <w:tcPr>
            <w:tcW w:w="8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N573UW</w:t>
            </w:r>
          </w:p>
        </w:tc>
        <w:tc>
          <w:tcPr>
            <w:tcW w:w="3140" w:type="dxa"/>
            <w:vAlign w:val="bottom"/>
            <w:gridSpan w:val="2"/>
          </w:tcPr>
          <w:p>
            <w:pPr>
              <w:ind w:left="2640"/>
              <w:spacing w:after="0"/>
              <w:rPr>
                <w:sz w:val="20"/>
                <w:szCs w:val="20"/>
                <w:color w:val="auto"/>
              </w:rPr>
            </w:pPr>
            <w:r>
              <w:rPr>
                <w:rFonts w:ascii="Arial" w:cs="Arial" w:eastAsia="Arial" w:hAnsi="Arial"/>
                <w:sz w:val="18"/>
                <w:szCs w:val="18"/>
                <w:color w:val="auto"/>
              </w:rPr>
              <w:t>5939</w:t>
            </w:r>
          </w:p>
        </w:tc>
        <w:tc>
          <w:tcPr>
            <w:tcW w:w="1680" w:type="dxa"/>
            <w:vAlign w:val="bottom"/>
          </w:tcPr>
          <w:p>
            <w:pPr>
              <w:spacing w:after="0"/>
              <w:rPr>
                <w:sz w:val="18"/>
                <w:szCs w:val="18"/>
                <w:color w:val="auto"/>
              </w:rPr>
            </w:pPr>
          </w:p>
        </w:tc>
        <w:tc>
          <w:tcPr>
            <w:tcW w:w="2960" w:type="dxa"/>
            <w:vAlign w:val="bottom"/>
            <w:gridSpan w:val="2"/>
          </w:tcPr>
          <w:p>
            <w:pPr>
              <w:jc w:val="center"/>
              <w:ind w:right="1700"/>
              <w:spacing w:after="0"/>
              <w:rPr>
                <w:sz w:val="20"/>
                <w:szCs w:val="20"/>
                <w:color w:val="auto"/>
              </w:rPr>
            </w:pPr>
            <w:r>
              <w:rPr>
                <w:rFonts w:ascii="Arial" w:cs="Arial" w:eastAsia="Arial" w:hAnsi="Arial"/>
                <w:sz w:val="18"/>
                <w:szCs w:val="18"/>
                <w:color w:val="auto"/>
                <w:w w:val="93"/>
              </w:rPr>
              <w:t>Airbus A321-231</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V2533-A5</w:t>
            </w:r>
          </w:p>
        </w:tc>
      </w:tr>
      <w:tr>
        <w:trPr>
          <w:trHeight w:val="216"/>
        </w:trPr>
        <w:tc>
          <w:tcPr>
            <w:tcW w:w="8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N575UW</w:t>
            </w:r>
          </w:p>
        </w:tc>
        <w:tc>
          <w:tcPr>
            <w:tcW w:w="31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5980</w:t>
            </w:r>
          </w:p>
        </w:tc>
        <w:tc>
          <w:tcPr>
            <w:tcW w:w="16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right="1700"/>
              <w:spacing w:after="0"/>
              <w:rPr>
                <w:sz w:val="20"/>
                <w:szCs w:val="20"/>
                <w:color w:val="auto"/>
              </w:rPr>
            </w:pPr>
            <w:r>
              <w:rPr>
                <w:rFonts w:ascii="Arial" w:cs="Arial" w:eastAsia="Arial" w:hAnsi="Arial"/>
                <w:sz w:val="18"/>
                <w:szCs w:val="18"/>
                <w:color w:val="auto"/>
                <w:w w:val="93"/>
              </w:rPr>
              <w:t>Airbus A321-231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V2533-A5</w:t>
            </w:r>
          </w:p>
        </w:tc>
      </w:tr>
      <w:tr>
        <w:trPr>
          <w:trHeight w:val="216"/>
        </w:trPr>
        <w:tc>
          <w:tcPr>
            <w:tcW w:w="8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N576UW</w:t>
            </w:r>
          </w:p>
        </w:tc>
        <w:tc>
          <w:tcPr>
            <w:tcW w:w="3140" w:type="dxa"/>
            <w:vAlign w:val="bottom"/>
            <w:gridSpan w:val="2"/>
          </w:tcPr>
          <w:p>
            <w:pPr>
              <w:ind w:left="2640"/>
              <w:spacing w:after="0"/>
              <w:rPr>
                <w:sz w:val="20"/>
                <w:szCs w:val="20"/>
                <w:color w:val="auto"/>
              </w:rPr>
            </w:pPr>
            <w:r>
              <w:rPr>
                <w:rFonts w:ascii="Arial" w:cs="Arial" w:eastAsia="Arial" w:hAnsi="Arial"/>
                <w:sz w:val="18"/>
                <w:szCs w:val="18"/>
                <w:color w:val="auto"/>
              </w:rPr>
              <w:t>6027</w:t>
            </w:r>
          </w:p>
        </w:tc>
        <w:tc>
          <w:tcPr>
            <w:tcW w:w="1680" w:type="dxa"/>
            <w:vAlign w:val="bottom"/>
          </w:tcPr>
          <w:p>
            <w:pPr>
              <w:spacing w:after="0"/>
              <w:rPr>
                <w:sz w:val="18"/>
                <w:szCs w:val="18"/>
                <w:color w:val="auto"/>
              </w:rPr>
            </w:pPr>
          </w:p>
        </w:tc>
        <w:tc>
          <w:tcPr>
            <w:tcW w:w="2960" w:type="dxa"/>
            <w:vAlign w:val="bottom"/>
            <w:gridSpan w:val="2"/>
          </w:tcPr>
          <w:p>
            <w:pPr>
              <w:jc w:val="center"/>
              <w:ind w:right="1700"/>
              <w:spacing w:after="0"/>
              <w:rPr>
                <w:sz w:val="20"/>
                <w:szCs w:val="20"/>
                <w:color w:val="auto"/>
              </w:rPr>
            </w:pPr>
            <w:r>
              <w:rPr>
                <w:rFonts w:ascii="Arial" w:cs="Arial" w:eastAsia="Arial" w:hAnsi="Arial"/>
                <w:sz w:val="18"/>
                <w:szCs w:val="18"/>
                <w:color w:val="auto"/>
                <w:w w:val="93"/>
              </w:rPr>
              <w:t>Airbus A321-231</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V2533-A5</w:t>
            </w:r>
          </w:p>
        </w:tc>
      </w:tr>
      <w:tr>
        <w:trPr>
          <w:trHeight w:val="216"/>
        </w:trPr>
        <w:tc>
          <w:tcPr>
            <w:tcW w:w="8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N578UW</w:t>
            </w:r>
          </w:p>
        </w:tc>
        <w:tc>
          <w:tcPr>
            <w:tcW w:w="31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6035</w:t>
            </w:r>
          </w:p>
        </w:tc>
        <w:tc>
          <w:tcPr>
            <w:tcW w:w="16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right="1700"/>
              <w:spacing w:after="0"/>
              <w:rPr>
                <w:sz w:val="20"/>
                <w:szCs w:val="20"/>
                <w:color w:val="auto"/>
              </w:rPr>
            </w:pPr>
            <w:r>
              <w:rPr>
                <w:rFonts w:ascii="Arial" w:cs="Arial" w:eastAsia="Arial" w:hAnsi="Arial"/>
                <w:sz w:val="18"/>
                <w:szCs w:val="18"/>
                <w:color w:val="auto"/>
                <w:w w:val="93"/>
              </w:rPr>
              <w:t>Airbus A321-231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V2533-A5</w:t>
            </w:r>
          </w:p>
        </w:tc>
      </w:tr>
      <w:tr>
        <w:trPr>
          <w:trHeight w:val="216"/>
        </w:trPr>
        <w:tc>
          <w:tcPr>
            <w:tcW w:w="8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N579UW</w:t>
            </w:r>
          </w:p>
        </w:tc>
        <w:tc>
          <w:tcPr>
            <w:tcW w:w="2520" w:type="dxa"/>
            <w:vAlign w:val="bottom"/>
          </w:tcPr>
          <w:p>
            <w:pPr>
              <w:spacing w:after="0"/>
              <w:rPr>
                <w:sz w:val="18"/>
                <w:szCs w:val="18"/>
                <w:color w:val="auto"/>
              </w:rPr>
            </w:pP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TBD</w:t>
            </w:r>
          </w:p>
        </w:tc>
        <w:tc>
          <w:tcPr>
            <w:tcW w:w="2960" w:type="dxa"/>
            <w:vAlign w:val="bottom"/>
            <w:gridSpan w:val="2"/>
          </w:tcPr>
          <w:p>
            <w:pPr>
              <w:jc w:val="center"/>
              <w:ind w:right="1700"/>
              <w:spacing w:after="0"/>
              <w:rPr>
                <w:sz w:val="20"/>
                <w:szCs w:val="20"/>
                <w:color w:val="auto"/>
              </w:rPr>
            </w:pPr>
            <w:r>
              <w:rPr>
                <w:rFonts w:ascii="Arial" w:cs="Arial" w:eastAsia="Arial" w:hAnsi="Arial"/>
                <w:sz w:val="18"/>
                <w:szCs w:val="18"/>
                <w:color w:val="auto"/>
                <w:w w:val="93"/>
              </w:rPr>
              <w:t>Airbus A321-231</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V2533-A5</w:t>
            </w:r>
          </w:p>
        </w:tc>
      </w:tr>
      <w:tr>
        <w:trPr>
          <w:trHeight w:val="216"/>
        </w:trPr>
        <w:tc>
          <w:tcPr>
            <w:tcW w:w="8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N580UW</w:t>
            </w:r>
          </w:p>
        </w:tc>
        <w:tc>
          <w:tcPr>
            <w:tcW w:w="25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TBD</w:t>
            </w:r>
          </w:p>
        </w:tc>
        <w:tc>
          <w:tcPr>
            <w:tcW w:w="2960" w:type="dxa"/>
            <w:vAlign w:val="bottom"/>
            <w:gridSpan w:val="2"/>
            <w:shd w:val="clear" w:color="auto" w:fill="CCEEFF"/>
          </w:tcPr>
          <w:p>
            <w:pPr>
              <w:jc w:val="center"/>
              <w:ind w:right="1700"/>
              <w:spacing w:after="0"/>
              <w:rPr>
                <w:sz w:val="20"/>
                <w:szCs w:val="20"/>
                <w:color w:val="auto"/>
              </w:rPr>
            </w:pPr>
            <w:r>
              <w:rPr>
                <w:rFonts w:ascii="Arial" w:cs="Arial" w:eastAsia="Arial" w:hAnsi="Arial"/>
                <w:sz w:val="18"/>
                <w:szCs w:val="18"/>
                <w:color w:val="auto"/>
                <w:w w:val="93"/>
              </w:rPr>
              <w:t>Airbus A321-231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V2533-A5</w:t>
            </w:r>
          </w:p>
        </w:tc>
      </w:tr>
      <w:tr>
        <w:trPr>
          <w:trHeight w:val="216"/>
        </w:trPr>
        <w:tc>
          <w:tcPr>
            <w:tcW w:w="8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N581UW</w:t>
            </w:r>
          </w:p>
        </w:tc>
        <w:tc>
          <w:tcPr>
            <w:tcW w:w="2520" w:type="dxa"/>
            <w:vAlign w:val="bottom"/>
          </w:tcPr>
          <w:p>
            <w:pPr>
              <w:spacing w:after="0"/>
              <w:rPr>
                <w:sz w:val="18"/>
                <w:szCs w:val="18"/>
                <w:color w:val="auto"/>
              </w:rPr>
            </w:pP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TBD</w:t>
            </w:r>
          </w:p>
        </w:tc>
        <w:tc>
          <w:tcPr>
            <w:tcW w:w="2960" w:type="dxa"/>
            <w:vAlign w:val="bottom"/>
            <w:gridSpan w:val="2"/>
          </w:tcPr>
          <w:p>
            <w:pPr>
              <w:jc w:val="center"/>
              <w:ind w:right="1700"/>
              <w:spacing w:after="0"/>
              <w:rPr>
                <w:sz w:val="20"/>
                <w:szCs w:val="20"/>
                <w:color w:val="auto"/>
              </w:rPr>
            </w:pPr>
            <w:r>
              <w:rPr>
                <w:rFonts w:ascii="Arial" w:cs="Arial" w:eastAsia="Arial" w:hAnsi="Arial"/>
                <w:sz w:val="18"/>
                <w:szCs w:val="18"/>
                <w:color w:val="auto"/>
                <w:w w:val="93"/>
              </w:rPr>
              <w:t>Airbus A321-231</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V2533-A5</w:t>
            </w:r>
          </w:p>
        </w:tc>
      </w:tr>
      <w:tr>
        <w:trPr>
          <w:trHeight w:val="216"/>
        </w:trPr>
        <w:tc>
          <w:tcPr>
            <w:tcW w:w="8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N582UW</w:t>
            </w:r>
          </w:p>
        </w:tc>
        <w:tc>
          <w:tcPr>
            <w:tcW w:w="25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TBD</w:t>
            </w:r>
          </w:p>
        </w:tc>
        <w:tc>
          <w:tcPr>
            <w:tcW w:w="2960" w:type="dxa"/>
            <w:vAlign w:val="bottom"/>
            <w:gridSpan w:val="2"/>
            <w:shd w:val="clear" w:color="auto" w:fill="CCEEFF"/>
          </w:tcPr>
          <w:p>
            <w:pPr>
              <w:jc w:val="center"/>
              <w:ind w:right="1700"/>
              <w:spacing w:after="0"/>
              <w:rPr>
                <w:sz w:val="20"/>
                <w:szCs w:val="20"/>
                <w:color w:val="auto"/>
              </w:rPr>
            </w:pPr>
            <w:r>
              <w:rPr>
                <w:rFonts w:ascii="Arial" w:cs="Arial" w:eastAsia="Arial" w:hAnsi="Arial"/>
                <w:sz w:val="18"/>
                <w:szCs w:val="18"/>
                <w:color w:val="auto"/>
                <w:w w:val="93"/>
              </w:rPr>
              <w:t>Airbus A321-231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V2533-A5</w:t>
            </w:r>
          </w:p>
        </w:tc>
      </w:tr>
      <w:tr>
        <w:trPr>
          <w:trHeight w:val="216"/>
        </w:trPr>
        <w:tc>
          <w:tcPr>
            <w:tcW w:w="8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N583UW</w:t>
            </w:r>
          </w:p>
        </w:tc>
        <w:tc>
          <w:tcPr>
            <w:tcW w:w="2520" w:type="dxa"/>
            <w:vAlign w:val="bottom"/>
          </w:tcPr>
          <w:p>
            <w:pPr>
              <w:spacing w:after="0"/>
              <w:rPr>
                <w:sz w:val="18"/>
                <w:szCs w:val="18"/>
                <w:color w:val="auto"/>
              </w:rPr>
            </w:pP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TBD</w:t>
            </w:r>
          </w:p>
        </w:tc>
        <w:tc>
          <w:tcPr>
            <w:tcW w:w="2960" w:type="dxa"/>
            <w:vAlign w:val="bottom"/>
            <w:gridSpan w:val="2"/>
          </w:tcPr>
          <w:p>
            <w:pPr>
              <w:jc w:val="center"/>
              <w:ind w:right="1700"/>
              <w:spacing w:after="0"/>
              <w:rPr>
                <w:sz w:val="20"/>
                <w:szCs w:val="20"/>
                <w:color w:val="auto"/>
              </w:rPr>
            </w:pPr>
            <w:r>
              <w:rPr>
                <w:rFonts w:ascii="Arial" w:cs="Arial" w:eastAsia="Arial" w:hAnsi="Arial"/>
                <w:sz w:val="18"/>
                <w:szCs w:val="18"/>
                <w:color w:val="auto"/>
                <w:w w:val="93"/>
              </w:rPr>
              <w:t>Airbus A321-231</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V2533-A5</w:t>
            </w:r>
          </w:p>
        </w:tc>
      </w:tr>
      <w:tr>
        <w:trPr>
          <w:trHeight w:val="216"/>
        </w:trPr>
        <w:tc>
          <w:tcPr>
            <w:tcW w:w="8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N290AY</w:t>
            </w:r>
          </w:p>
        </w:tc>
        <w:tc>
          <w:tcPr>
            <w:tcW w:w="31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1480</w:t>
            </w:r>
          </w:p>
        </w:tc>
        <w:tc>
          <w:tcPr>
            <w:tcW w:w="16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right="1700"/>
              <w:spacing w:after="0"/>
              <w:rPr>
                <w:sz w:val="20"/>
                <w:szCs w:val="20"/>
                <w:color w:val="auto"/>
              </w:rPr>
            </w:pPr>
            <w:r>
              <w:rPr>
                <w:rFonts w:ascii="Arial" w:cs="Arial" w:eastAsia="Arial" w:hAnsi="Arial"/>
                <w:sz w:val="18"/>
                <w:szCs w:val="18"/>
                <w:color w:val="auto"/>
                <w:w w:val="93"/>
              </w:rPr>
              <w:t>Airbus A330-243</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Trent 772B-60</w:t>
            </w:r>
          </w:p>
        </w:tc>
      </w:tr>
      <w:tr>
        <w:trPr>
          <w:trHeight w:val="216"/>
        </w:trPr>
        <w:tc>
          <w:tcPr>
            <w:tcW w:w="8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N291AY</w:t>
            </w:r>
          </w:p>
        </w:tc>
        <w:tc>
          <w:tcPr>
            <w:tcW w:w="3140" w:type="dxa"/>
            <w:vAlign w:val="bottom"/>
            <w:gridSpan w:val="2"/>
          </w:tcPr>
          <w:p>
            <w:pPr>
              <w:ind w:left="2640"/>
              <w:spacing w:after="0"/>
              <w:rPr>
                <w:sz w:val="20"/>
                <w:szCs w:val="20"/>
                <w:color w:val="auto"/>
              </w:rPr>
            </w:pPr>
            <w:r>
              <w:rPr>
                <w:rFonts w:ascii="Arial" w:cs="Arial" w:eastAsia="Arial" w:hAnsi="Arial"/>
                <w:sz w:val="18"/>
                <w:szCs w:val="18"/>
                <w:color w:val="auto"/>
              </w:rPr>
              <w:t>1502</w:t>
            </w:r>
          </w:p>
        </w:tc>
        <w:tc>
          <w:tcPr>
            <w:tcW w:w="1680" w:type="dxa"/>
            <w:vAlign w:val="bottom"/>
          </w:tcPr>
          <w:p>
            <w:pPr>
              <w:spacing w:after="0"/>
              <w:rPr>
                <w:sz w:val="18"/>
                <w:szCs w:val="18"/>
                <w:color w:val="auto"/>
              </w:rPr>
            </w:pPr>
          </w:p>
        </w:tc>
        <w:tc>
          <w:tcPr>
            <w:tcW w:w="2960" w:type="dxa"/>
            <w:vAlign w:val="bottom"/>
            <w:gridSpan w:val="2"/>
          </w:tcPr>
          <w:p>
            <w:pPr>
              <w:jc w:val="center"/>
              <w:ind w:right="1700"/>
              <w:spacing w:after="0"/>
              <w:rPr>
                <w:sz w:val="20"/>
                <w:szCs w:val="20"/>
                <w:color w:val="auto"/>
              </w:rPr>
            </w:pPr>
            <w:r>
              <w:rPr>
                <w:rFonts w:ascii="Arial" w:cs="Arial" w:eastAsia="Arial" w:hAnsi="Arial"/>
                <w:sz w:val="18"/>
                <w:szCs w:val="18"/>
                <w:color w:val="auto"/>
                <w:w w:val="93"/>
              </w:rPr>
              <w:t>Airbus A330-243</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Trent 772B-60</w:t>
            </w:r>
          </w:p>
        </w:tc>
      </w:tr>
      <w:tr>
        <w:trPr>
          <w:trHeight w:val="216"/>
        </w:trPr>
        <w:tc>
          <w:tcPr>
            <w:tcW w:w="8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N292AY</w:t>
            </w:r>
          </w:p>
        </w:tc>
        <w:tc>
          <w:tcPr>
            <w:tcW w:w="31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1512</w:t>
            </w:r>
          </w:p>
        </w:tc>
        <w:tc>
          <w:tcPr>
            <w:tcW w:w="16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right="1700"/>
              <w:spacing w:after="0"/>
              <w:rPr>
                <w:sz w:val="20"/>
                <w:szCs w:val="20"/>
                <w:color w:val="auto"/>
              </w:rPr>
            </w:pPr>
            <w:r>
              <w:rPr>
                <w:rFonts w:ascii="Arial" w:cs="Arial" w:eastAsia="Arial" w:hAnsi="Arial"/>
                <w:sz w:val="18"/>
                <w:szCs w:val="18"/>
                <w:color w:val="auto"/>
                <w:w w:val="93"/>
              </w:rPr>
              <w:t>Airbus A330-243</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Trent 772B-60</w:t>
            </w:r>
          </w:p>
        </w:tc>
      </w:tr>
      <w:tr>
        <w:trPr>
          <w:trHeight w:val="230"/>
        </w:trPr>
        <w:tc>
          <w:tcPr>
            <w:tcW w:w="8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N293AY</w:t>
            </w:r>
          </w:p>
        </w:tc>
        <w:tc>
          <w:tcPr>
            <w:tcW w:w="2520" w:type="dxa"/>
            <w:vAlign w:val="bottom"/>
          </w:tcPr>
          <w:p>
            <w:pPr>
              <w:spacing w:after="0"/>
              <w:rPr>
                <w:sz w:val="20"/>
                <w:szCs w:val="20"/>
                <w:color w:val="auto"/>
              </w:rPr>
            </w:pP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TBD</w:t>
            </w:r>
          </w:p>
        </w:tc>
        <w:tc>
          <w:tcPr>
            <w:tcW w:w="2960" w:type="dxa"/>
            <w:vAlign w:val="bottom"/>
            <w:gridSpan w:val="2"/>
          </w:tcPr>
          <w:p>
            <w:pPr>
              <w:jc w:val="center"/>
              <w:ind w:right="1700"/>
              <w:spacing w:after="0"/>
              <w:rPr>
                <w:sz w:val="20"/>
                <w:szCs w:val="20"/>
                <w:color w:val="auto"/>
              </w:rPr>
            </w:pPr>
            <w:r>
              <w:rPr>
                <w:rFonts w:ascii="Arial" w:cs="Arial" w:eastAsia="Arial" w:hAnsi="Arial"/>
                <w:sz w:val="18"/>
                <w:szCs w:val="18"/>
                <w:color w:val="auto"/>
                <w:w w:val="93"/>
              </w:rPr>
              <w:t>Airbus A330-243</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Trent 772B-60</w:t>
            </w: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0" w:right="239" w:bottom="1440" w:gutter="0" w:footer="0" w:header="0"/>
        </w:sectPr>
      </w:pPr>
    </w:p>
    <w:bookmarkStart w:id="156" w:name="page157"/>
    <w:bookmarkEnd w:id="156"/>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 and Preferred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2840" w:type="dxa"/>
            <w:vAlign w:val="bottom"/>
            <w:gridSpan w:val="4"/>
          </w:tcPr>
          <w:p>
            <w:pPr>
              <w:jc w:val="right"/>
              <w:spacing w:after="0"/>
              <w:rPr>
                <w:sz w:val="20"/>
                <w:szCs w:val="20"/>
                <w:color w:val="auto"/>
              </w:rPr>
            </w:pPr>
            <w:r>
              <w:rPr>
                <w:rFonts w:ascii="Arial" w:cs="Arial" w:eastAsia="Arial" w:hAnsi="Arial"/>
                <w:sz w:val="18"/>
                <w:szCs w:val="18"/>
                <w:color w:val="auto"/>
              </w:rPr>
              <w:t>Three Months Ended March 31,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2013</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(363)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Total fixed charges (per below)</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Less: Interest capitalized</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earnings before income taxes</w:t>
            </w:r>
          </w:p>
        </w:tc>
        <w:tc>
          <w:tcPr>
            <w:tcW w:w="10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Fixed charges:</w:t>
            </w: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5"/>
                <w:szCs w:val="25"/>
                <w:color w:val="auto"/>
                <w:vertAlign w:val="superscript"/>
              </w:rPr>
              <w:t>(1)</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Portion of rental expense representative of the interest factor</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fixed charges</w:t>
            </w:r>
          </w:p>
        </w:tc>
        <w:tc>
          <w:tcPr>
            <w:tcW w:w="10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Ratio of earnings to fixed charges</w:t>
            </w:r>
          </w:p>
        </w:tc>
        <w:tc>
          <w:tcPr>
            <w:tcW w:w="10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Coverage deficiency</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80" w:hanging="332"/>
        <w:spacing w:after="0" w:line="216" w:lineRule="auto"/>
        <w:tabs>
          <w:tab w:leader="none" w:pos="340"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color w:val="auto"/>
        </w:rPr>
        <w:t>The three months ended March 31, 2014 includes non-cash interest accretion related to outstanding Mandatorily Convertible Preferred Stock and Other Bankruptcy Settlement Obligations.</w:t>
      </w:r>
    </w:p>
    <w:p>
      <w:pPr>
        <w:sectPr>
          <w:pgSz w:w="11900" w:h="16838" w:orient="portrait"/>
          <w:cols w:equalWidth="0" w:num="1">
            <w:col w:w="11420"/>
          </w:cols>
          <w:pgMar w:left="240" w:top="580"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p>
        </w:tc>
        <w:tc>
          <w:tcPr>
            <w:tcW w:w="2640" w:type="dxa"/>
            <w:vAlign w:val="bottom"/>
            <w:gridSpan w:val="5"/>
          </w:tcPr>
          <w:p>
            <w:pPr>
              <w:jc w:val="right"/>
              <w:ind w:right="70"/>
              <w:spacing w:after="0"/>
              <w:rPr>
                <w:sz w:val="20"/>
                <w:szCs w:val="20"/>
                <w:color w:val="auto"/>
              </w:rPr>
            </w:pPr>
            <w:r>
              <w:rPr>
                <w:rFonts w:ascii="Arial" w:cs="Arial" w:eastAsia="Arial" w:hAnsi="Arial"/>
                <w:sz w:val="18"/>
                <w:szCs w:val="18"/>
                <w:color w:val="auto"/>
                <w:w w:val="97"/>
              </w:rPr>
              <w:t>Three Months Ended March 31,</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Total fixed charges (per below)</w:t>
            </w: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Less: Interest capitalized</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earnings before income taxes</w:t>
            </w:r>
          </w:p>
        </w:tc>
        <w:tc>
          <w:tcPr>
            <w:tcW w:w="8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
              <w:spacing w:after="0"/>
              <w:rPr>
                <w:sz w:val="20"/>
                <w:szCs w:val="20"/>
                <w:color w:val="auto"/>
              </w:rPr>
            </w:pPr>
            <w:r>
              <w:rPr>
                <w:rFonts w:ascii="Arial" w:cs="Arial" w:eastAsia="Arial" w:hAnsi="Arial"/>
                <w:sz w:val="18"/>
                <w:szCs w:val="18"/>
                <w:color w:val="auto"/>
              </w:rPr>
              <w:t>Fixed charges:</w:t>
            </w: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6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w:t>
            </w: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Portion of rental expense representative of the interest factor</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fixed charges</w:t>
            </w:r>
          </w:p>
        </w:tc>
        <w:tc>
          <w:tcPr>
            <w:tcW w:w="8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Ratio of earnings to fixed charges</w:t>
            </w: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2.14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Coverage deficiency</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300"/>
          </w:cols>
          <w:pgMar w:left="1360" w:top="580"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6"/>
          <w:szCs w:val="16"/>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CEO CERTIFICATION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 W. Douglas Parker, certify that:</w:t>
      </w:r>
    </w:p>
    <w:p>
      <w:pPr>
        <w:spacing w:after="0" w:line="113" w:lineRule="exact"/>
        <w:rPr>
          <w:sz w:val="20"/>
          <w:szCs w:val="20"/>
          <w:color w:val="auto"/>
        </w:rPr>
      </w:pPr>
    </w:p>
    <w:p>
      <w:pPr>
        <w:ind w:left="940" w:hanging="284"/>
        <w:spacing w:after="0"/>
        <w:tabs>
          <w:tab w:leader="none" w:pos="9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Group Inc.;</w:t>
      </w:r>
    </w:p>
    <w:p>
      <w:pPr>
        <w:spacing w:after="0" w:line="113" w:lineRule="exact"/>
        <w:rPr>
          <w:rFonts w:ascii="Arial" w:cs="Arial" w:eastAsia="Arial" w:hAnsi="Arial"/>
          <w:sz w:val="16"/>
          <w:szCs w:val="16"/>
          <w:color w:val="auto"/>
        </w:rPr>
      </w:pPr>
    </w:p>
    <w:p>
      <w:pPr>
        <w:ind w:firstLine="656"/>
        <w:spacing w:after="0" w:line="275" w:lineRule="auto"/>
        <w:tabs>
          <w:tab w:leader="none" w:pos="974"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6"/>
          <w:szCs w:val="16"/>
          <w:color w:val="auto"/>
        </w:rPr>
      </w:pPr>
    </w:p>
    <w:p>
      <w:pPr>
        <w:ind w:firstLine="656"/>
        <w:spacing w:after="0" w:line="275" w:lineRule="auto"/>
        <w:tabs>
          <w:tab w:leader="none" w:pos="994"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firstLine="656"/>
        <w:spacing w:after="0" w:line="310" w:lineRule="auto"/>
        <w:tabs>
          <w:tab w:leader="none" w:pos="944"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5"/>
          <w:szCs w:val="15"/>
          <w:color w:val="auto"/>
        </w:rPr>
      </w:pPr>
    </w:p>
    <w:p>
      <w:pPr>
        <w:jc w:val="both"/>
        <w:ind w:left="660" w:firstLine="428"/>
        <w:spacing w:after="0" w:line="261" w:lineRule="auto"/>
        <w:tabs>
          <w:tab w:leader="none" w:pos="1320"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6"/>
          <w:szCs w:val="16"/>
          <w:color w:val="auto"/>
        </w:rPr>
      </w:pPr>
    </w:p>
    <w:p>
      <w:pPr>
        <w:jc w:val="both"/>
        <w:ind w:left="660" w:right="20" w:firstLine="428"/>
        <w:spacing w:after="0" w:line="261" w:lineRule="auto"/>
        <w:tabs>
          <w:tab w:leader="none" w:pos="1333"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6"/>
          <w:szCs w:val="16"/>
          <w:color w:val="auto"/>
        </w:rPr>
      </w:pPr>
    </w:p>
    <w:p>
      <w:pPr>
        <w:ind w:left="660" w:firstLine="428"/>
        <w:spacing w:after="0" w:line="275" w:lineRule="auto"/>
        <w:tabs>
          <w:tab w:leader="none" w:pos="1316"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6"/>
          <w:szCs w:val="16"/>
          <w:color w:val="auto"/>
        </w:rPr>
      </w:pPr>
    </w:p>
    <w:p>
      <w:pPr>
        <w:jc w:val="both"/>
        <w:ind w:left="660" w:firstLine="428"/>
        <w:spacing w:after="0" w:line="261" w:lineRule="auto"/>
        <w:tabs>
          <w:tab w:leader="none" w:pos="1322" w:val="left"/>
        </w:tabs>
        <w:numPr>
          <w:ilvl w:val="1"/>
          <w:numId w:val="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firstLine="656"/>
        <w:spacing w:after="0" w:line="275" w:lineRule="auto"/>
        <w:tabs>
          <w:tab w:leader="none" w:pos="931"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1" w:lineRule="exact"/>
        <w:rPr>
          <w:rFonts w:ascii="Arial" w:cs="Arial" w:eastAsia="Arial" w:hAnsi="Arial"/>
          <w:sz w:val="16"/>
          <w:szCs w:val="16"/>
          <w:color w:val="auto"/>
        </w:rPr>
      </w:pPr>
    </w:p>
    <w:p>
      <w:pPr>
        <w:ind w:left="660" w:firstLine="645"/>
        <w:spacing w:after="0" w:line="275" w:lineRule="auto"/>
        <w:tabs>
          <w:tab w:leader="none" w:pos="1530" w:val="left"/>
        </w:tabs>
        <w:numPr>
          <w:ilvl w:val="2"/>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6"/>
          <w:szCs w:val="16"/>
          <w:color w:val="auto"/>
        </w:rPr>
      </w:pPr>
    </w:p>
    <w:p>
      <w:pPr>
        <w:ind w:left="660" w:firstLine="645"/>
        <w:spacing w:after="0" w:line="275" w:lineRule="auto"/>
        <w:tabs>
          <w:tab w:leader="none" w:pos="1548" w:val="left"/>
        </w:tabs>
        <w:numPr>
          <w:ilvl w:val="2"/>
          <w:numId w:val="7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1140"/>
        <w:spacing w:after="0"/>
        <w:tabs>
          <w:tab w:leader="none" w:pos="6960" w:val="left"/>
        </w:tabs>
        <w:rPr>
          <w:sz w:val="20"/>
          <w:szCs w:val="20"/>
          <w:color w:val="auto"/>
        </w:rPr>
      </w:pPr>
      <w:r>
        <w:rPr>
          <w:rFonts w:ascii="Arial" w:cs="Arial" w:eastAsia="Arial" w:hAnsi="Arial"/>
          <w:sz w:val="16"/>
          <w:szCs w:val="16"/>
          <w:color w:val="auto"/>
        </w:rPr>
        <w:t>Date: April 23, 2014</w:t>
      </w:r>
      <w:r>
        <w:rPr>
          <w:sz w:val="20"/>
          <w:szCs w:val="20"/>
          <w:color w:val="auto"/>
        </w:rPr>
        <w:tab/>
      </w:r>
      <w:r>
        <w:rPr>
          <w:rFonts w:ascii="Arial" w:cs="Arial" w:eastAsia="Arial" w:hAnsi="Arial"/>
          <w:sz w:val="14"/>
          <w:szCs w:val="14"/>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34925</wp:posOffset>
            </wp:positionV>
            <wp:extent cx="22809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80"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Name: W. Douglas Parker</w:t>
      </w:r>
    </w:p>
    <w:p>
      <w:pPr>
        <w:spacing w:after="0" w:line="86"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Title: Chief Executive Officer</w:t>
      </w:r>
    </w:p>
    <w:p>
      <w:pPr>
        <w:sectPr>
          <w:pgSz w:w="11900" w:h="16838" w:orient="portrait"/>
          <w:cols w:equalWidth="0" w:num="1">
            <w:col w:w="11420"/>
          </w:cols>
          <w:pgMar w:left="240" w:top="81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6"/>
          <w:szCs w:val="16"/>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CFO CERTIFICATION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Derek J. Kerr, certify that:</w:t>
      </w:r>
    </w:p>
    <w:p>
      <w:pPr>
        <w:spacing w:after="0" w:line="113" w:lineRule="exact"/>
        <w:rPr>
          <w:sz w:val="20"/>
          <w:szCs w:val="20"/>
          <w:color w:val="auto"/>
        </w:rPr>
      </w:pPr>
    </w:p>
    <w:p>
      <w:pPr>
        <w:ind w:left="940" w:hanging="284"/>
        <w:spacing w:after="0"/>
        <w:tabs>
          <w:tab w:leader="none" w:pos="9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Group Inc.;</w:t>
      </w:r>
    </w:p>
    <w:p>
      <w:pPr>
        <w:spacing w:after="0" w:line="113" w:lineRule="exact"/>
        <w:rPr>
          <w:rFonts w:ascii="Arial" w:cs="Arial" w:eastAsia="Arial" w:hAnsi="Arial"/>
          <w:sz w:val="16"/>
          <w:szCs w:val="16"/>
          <w:color w:val="auto"/>
        </w:rPr>
      </w:pPr>
    </w:p>
    <w:p>
      <w:pPr>
        <w:ind w:firstLine="656"/>
        <w:spacing w:after="0" w:line="275" w:lineRule="auto"/>
        <w:tabs>
          <w:tab w:leader="none" w:pos="974"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6"/>
          <w:szCs w:val="16"/>
          <w:color w:val="auto"/>
        </w:rPr>
      </w:pPr>
    </w:p>
    <w:p>
      <w:pPr>
        <w:ind w:firstLine="656"/>
        <w:spacing w:after="0" w:line="275" w:lineRule="auto"/>
        <w:tabs>
          <w:tab w:leader="none" w:pos="994"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firstLine="656"/>
        <w:spacing w:after="0" w:line="310" w:lineRule="auto"/>
        <w:tabs>
          <w:tab w:leader="none" w:pos="944"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5"/>
          <w:szCs w:val="15"/>
          <w:color w:val="auto"/>
        </w:rPr>
      </w:pPr>
    </w:p>
    <w:p>
      <w:pPr>
        <w:jc w:val="both"/>
        <w:ind w:left="660" w:firstLine="428"/>
        <w:spacing w:after="0" w:line="261" w:lineRule="auto"/>
        <w:tabs>
          <w:tab w:leader="none" w:pos="13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6"/>
          <w:szCs w:val="16"/>
          <w:color w:val="auto"/>
        </w:rPr>
      </w:pPr>
    </w:p>
    <w:p>
      <w:pPr>
        <w:jc w:val="both"/>
        <w:ind w:left="660" w:right="20" w:firstLine="428"/>
        <w:spacing w:after="0" w:line="261" w:lineRule="auto"/>
        <w:tabs>
          <w:tab w:leader="none" w:pos="1333"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6"/>
          <w:szCs w:val="16"/>
          <w:color w:val="auto"/>
        </w:rPr>
      </w:pPr>
    </w:p>
    <w:p>
      <w:pPr>
        <w:ind w:left="660" w:firstLine="428"/>
        <w:spacing w:after="0" w:line="275" w:lineRule="auto"/>
        <w:tabs>
          <w:tab w:leader="none" w:pos="1316"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6"/>
          <w:szCs w:val="16"/>
          <w:color w:val="auto"/>
        </w:rPr>
      </w:pPr>
    </w:p>
    <w:p>
      <w:pPr>
        <w:jc w:val="both"/>
        <w:ind w:left="660" w:firstLine="428"/>
        <w:spacing w:after="0" w:line="261" w:lineRule="auto"/>
        <w:tabs>
          <w:tab w:leader="none" w:pos="1322" w:val="left"/>
        </w:tabs>
        <w:numPr>
          <w:ilvl w:val="1"/>
          <w:numId w:val="7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firstLine="656"/>
        <w:spacing w:after="0" w:line="275" w:lineRule="auto"/>
        <w:tabs>
          <w:tab w:leader="none" w:pos="931"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1" w:lineRule="exact"/>
        <w:rPr>
          <w:rFonts w:ascii="Arial" w:cs="Arial" w:eastAsia="Arial" w:hAnsi="Arial"/>
          <w:sz w:val="16"/>
          <w:szCs w:val="16"/>
          <w:color w:val="auto"/>
        </w:rPr>
      </w:pPr>
    </w:p>
    <w:p>
      <w:pPr>
        <w:ind w:left="660" w:firstLine="428"/>
        <w:spacing w:after="0" w:line="275" w:lineRule="auto"/>
        <w:tabs>
          <w:tab w:leader="none" w:pos="1313"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6"/>
          <w:szCs w:val="16"/>
          <w:color w:val="auto"/>
        </w:rPr>
      </w:pPr>
    </w:p>
    <w:p>
      <w:pPr>
        <w:ind w:left="660" w:firstLine="428"/>
        <w:spacing w:after="0" w:line="275" w:lineRule="auto"/>
        <w:tabs>
          <w:tab w:leader="none" w:pos="13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5860" w:val="left"/>
        </w:tabs>
        <w:rPr>
          <w:sz w:val="20"/>
          <w:szCs w:val="20"/>
          <w:color w:val="auto"/>
        </w:rPr>
      </w:pPr>
      <w:r>
        <w:rPr>
          <w:rFonts w:ascii="Arial" w:cs="Arial" w:eastAsia="Arial" w:hAnsi="Arial"/>
          <w:sz w:val="16"/>
          <w:szCs w:val="16"/>
          <w:color w:val="auto"/>
        </w:rPr>
        <w:t>Date: April 23, 2014</w:t>
      </w:r>
      <w:r>
        <w:rPr>
          <w:sz w:val="20"/>
          <w:szCs w:val="20"/>
          <w:color w:val="auto"/>
        </w:rPr>
        <w:tab/>
      </w:r>
      <w:r>
        <w:rPr>
          <w:rFonts w:ascii="Arial" w:cs="Arial" w:eastAsia="Arial" w:hAnsi="Arial"/>
          <w:sz w:val="14"/>
          <w:szCs w:val="14"/>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34925</wp:posOffset>
            </wp:positionV>
            <wp:extent cx="22809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80"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Name: Derek J. Kerr</w:t>
      </w:r>
    </w:p>
    <w:p>
      <w:pPr>
        <w:spacing w:after="0" w:line="73"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Title: Executive Vice President and Chief</w:t>
      </w:r>
    </w:p>
    <w:p>
      <w:pPr>
        <w:spacing w:after="0" w:line="2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Financial Officer</w:t>
      </w:r>
    </w:p>
    <w:p>
      <w:pPr>
        <w:sectPr>
          <w:pgSz w:w="11900" w:h="16838" w:orient="portrait"/>
          <w:cols w:equalWidth="0" w:num="1">
            <w:col w:w="11420"/>
          </w:cols>
          <w:pgMar w:left="240" w:top="1247"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6"/>
          <w:szCs w:val="16"/>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CEO CERTIFICATION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W. Douglas Parker, certify that:</w:t>
      </w:r>
    </w:p>
    <w:p>
      <w:pPr>
        <w:spacing w:after="0" w:line="113" w:lineRule="exact"/>
        <w:rPr>
          <w:sz w:val="20"/>
          <w:szCs w:val="20"/>
          <w:color w:val="auto"/>
        </w:rPr>
      </w:pPr>
    </w:p>
    <w:p>
      <w:pPr>
        <w:ind w:left="940" w:hanging="284"/>
        <w:spacing w:after="0"/>
        <w:tabs>
          <w:tab w:leader="none" w:pos="9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Inc.;</w:t>
      </w:r>
    </w:p>
    <w:p>
      <w:pPr>
        <w:spacing w:after="0" w:line="113" w:lineRule="exact"/>
        <w:rPr>
          <w:rFonts w:ascii="Arial" w:cs="Arial" w:eastAsia="Arial" w:hAnsi="Arial"/>
          <w:sz w:val="16"/>
          <w:szCs w:val="16"/>
          <w:color w:val="auto"/>
        </w:rPr>
      </w:pPr>
    </w:p>
    <w:p>
      <w:pPr>
        <w:ind w:firstLine="656"/>
        <w:spacing w:after="0" w:line="275" w:lineRule="auto"/>
        <w:tabs>
          <w:tab w:leader="none" w:pos="974"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6"/>
          <w:szCs w:val="16"/>
          <w:color w:val="auto"/>
        </w:rPr>
      </w:pPr>
    </w:p>
    <w:p>
      <w:pPr>
        <w:ind w:firstLine="656"/>
        <w:spacing w:after="0" w:line="275" w:lineRule="auto"/>
        <w:tabs>
          <w:tab w:leader="none" w:pos="994"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firstLine="656"/>
        <w:spacing w:after="0" w:line="310" w:lineRule="auto"/>
        <w:tabs>
          <w:tab w:leader="none" w:pos="944"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5"/>
          <w:szCs w:val="15"/>
          <w:color w:val="auto"/>
        </w:rPr>
      </w:pPr>
    </w:p>
    <w:p>
      <w:pPr>
        <w:jc w:val="both"/>
        <w:ind w:left="660" w:firstLine="428"/>
        <w:spacing w:after="0" w:line="261" w:lineRule="auto"/>
        <w:tabs>
          <w:tab w:leader="none" w:pos="13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6"/>
          <w:szCs w:val="16"/>
          <w:color w:val="auto"/>
        </w:rPr>
      </w:pPr>
    </w:p>
    <w:p>
      <w:pPr>
        <w:jc w:val="both"/>
        <w:ind w:left="660" w:right="20" w:firstLine="428"/>
        <w:spacing w:after="0" w:line="261" w:lineRule="auto"/>
        <w:tabs>
          <w:tab w:leader="none" w:pos="1333" w:val="left"/>
        </w:tabs>
        <w:numPr>
          <w:ilvl w:val="1"/>
          <w:numId w:val="7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6"/>
          <w:szCs w:val="16"/>
          <w:color w:val="auto"/>
        </w:rPr>
      </w:pPr>
    </w:p>
    <w:p>
      <w:pPr>
        <w:ind w:left="660" w:firstLine="428"/>
        <w:spacing w:after="0" w:line="275" w:lineRule="auto"/>
        <w:tabs>
          <w:tab w:leader="none" w:pos="1316"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6"/>
          <w:szCs w:val="16"/>
          <w:color w:val="auto"/>
        </w:rPr>
      </w:pPr>
    </w:p>
    <w:p>
      <w:pPr>
        <w:jc w:val="both"/>
        <w:ind w:left="660" w:firstLine="428"/>
        <w:spacing w:after="0" w:line="261" w:lineRule="auto"/>
        <w:tabs>
          <w:tab w:leader="none" w:pos="1322" w:val="left"/>
        </w:tabs>
        <w:numPr>
          <w:ilvl w:val="1"/>
          <w:numId w:val="7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firstLine="656"/>
        <w:spacing w:after="0" w:line="275" w:lineRule="auto"/>
        <w:tabs>
          <w:tab w:leader="none" w:pos="931"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1" w:lineRule="exact"/>
        <w:rPr>
          <w:rFonts w:ascii="Arial" w:cs="Arial" w:eastAsia="Arial" w:hAnsi="Arial"/>
          <w:sz w:val="16"/>
          <w:szCs w:val="16"/>
          <w:color w:val="auto"/>
        </w:rPr>
      </w:pPr>
    </w:p>
    <w:p>
      <w:pPr>
        <w:ind w:left="660" w:firstLine="428"/>
        <w:spacing w:after="0" w:line="275" w:lineRule="auto"/>
        <w:tabs>
          <w:tab w:leader="none" w:pos="1319"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6"/>
          <w:szCs w:val="16"/>
          <w:color w:val="auto"/>
        </w:rPr>
      </w:pPr>
    </w:p>
    <w:p>
      <w:pPr>
        <w:ind w:left="660" w:firstLine="428"/>
        <w:spacing w:after="0" w:line="275" w:lineRule="auto"/>
        <w:tabs>
          <w:tab w:leader="none" w:pos="1341" w:val="left"/>
        </w:tabs>
        <w:numPr>
          <w:ilvl w:val="1"/>
          <w:numId w:val="7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1120"/>
        <w:spacing w:after="0"/>
        <w:tabs>
          <w:tab w:leader="none" w:pos="6880" w:val="left"/>
        </w:tabs>
        <w:rPr>
          <w:sz w:val="20"/>
          <w:szCs w:val="20"/>
          <w:color w:val="auto"/>
        </w:rPr>
      </w:pPr>
      <w:r>
        <w:rPr>
          <w:rFonts w:ascii="Arial" w:cs="Arial" w:eastAsia="Arial" w:hAnsi="Arial"/>
          <w:sz w:val="16"/>
          <w:szCs w:val="16"/>
          <w:color w:val="auto"/>
        </w:rPr>
        <w:t>Date: April 23, 2014</w:t>
      </w:r>
      <w:r>
        <w:rPr>
          <w:sz w:val="20"/>
          <w:szCs w:val="20"/>
          <w:color w:val="auto"/>
        </w:rPr>
        <w:tab/>
      </w:r>
      <w:r>
        <w:rPr>
          <w:rFonts w:ascii="Arial" w:cs="Arial" w:eastAsia="Arial" w:hAnsi="Arial"/>
          <w:sz w:val="14"/>
          <w:szCs w:val="14"/>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34925</wp:posOffset>
            </wp:positionV>
            <wp:extent cx="23069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80"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Name: W. Douglas Parker</w:t>
      </w:r>
    </w:p>
    <w:p>
      <w:pPr>
        <w:spacing w:after="0" w:line="86"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Title: Chief Executive Officer</w:t>
      </w:r>
    </w:p>
    <w:p>
      <w:pPr>
        <w:sectPr>
          <w:pgSz w:w="11900" w:h="16838" w:orient="portrait"/>
          <w:cols w:equalWidth="0" w:num="1">
            <w:col w:w="11420"/>
          </w:cols>
          <w:pgMar w:left="240" w:top="1247"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6"/>
          <w:szCs w:val="16"/>
          <w:b w:val="1"/>
          <w:bCs w:val="1"/>
          <w:color w:val="auto"/>
        </w:rPr>
        <w:t>Exhibit 31.4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CFO CERTIFICATION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Derek J. Kerr, certify that:</w:t>
      </w:r>
    </w:p>
    <w:p>
      <w:pPr>
        <w:spacing w:after="0" w:line="113" w:lineRule="exact"/>
        <w:rPr>
          <w:sz w:val="20"/>
          <w:szCs w:val="20"/>
          <w:color w:val="auto"/>
        </w:rPr>
      </w:pPr>
    </w:p>
    <w:p>
      <w:pPr>
        <w:ind w:left="940" w:hanging="284"/>
        <w:spacing w:after="0"/>
        <w:tabs>
          <w:tab w:leader="none" w:pos="9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Inc.;</w:t>
      </w:r>
    </w:p>
    <w:p>
      <w:pPr>
        <w:spacing w:after="0" w:line="113" w:lineRule="exact"/>
        <w:rPr>
          <w:rFonts w:ascii="Arial" w:cs="Arial" w:eastAsia="Arial" w:hAnsi="Arial"/>
          <w:sz w:val="16"/>
          <w:szCs w:val="16"/>
          <w:color w:val="auto"/>
        </w:rPr>
      </w:pPr>
    </w:p>
    <w:p>
      <w:pPr>
        <w:ind w:firstLine="656"/>
        <w:spacing w:after="0" w:line="275" w:lineRule="auto"/>
        <w:tabs>
          <w:tab w:leader="none" w:pos="974"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6"/>
          <w:szCs w:val="16"/>
          <w:color w:val="auto"/>
        </w:rPr>
      </w:pPr>
    </w:p>
    <w:p>
      <w:pPr>
        <w:ind w:firstLine="656"/>
        <w:spacing w:after="0" w:line="275" w:lineRule="auto"/>
        <w:tabs>
          <w:tab w:leader="none" w:pos="994"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firstLine="656"/>
        <w:spacing w:after="0" w:line="310" w:lineRule="auto"/>
        <w:tabs>
          <w:tab w:leader="none" w:pos="944"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5"/>
          <w:szCs w:val="15"/>
          <w:color w:val="auto"/>
        </w:rPr>
      </w:pPr>
    </w:p>
    <w:p>
      <w:pPr>
        <w:jc w:val="both"/>
        <w:ind w:left="660" w:firstLine="428"/>
        <w:spacing w:after="0" w:line="261" w:lineRule="auto"/>
        <w:tabs>
          <w:tab w:leader="none" w:pos="13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6"/>
          <w:szCs w:val="16"/>
          <w:color w:val="auto"/>
        </w:rPr>
      </w:pPr>
    </w:p>
    <w:p>
      <w:pPr>
        <w:jc w:val="both"/>
        <w:ind w:left="660" w:right="20" w:firstLine="428"/>
        <w:spacing w:after="0" w:line="261" w:lineRule="auto"/>
        <w:tabs>
          <w:tab w:leader="none" w:pos="1333"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6"/>
          <w:szCs w:val="16"/>
          <w:color w:val="auto"/>
        </w:rPr>
      </w:pPr>
    </w:p>
    <w:p>
      <w:pPr>
        <w:ind w:left="660" w:firstLine="428"/>
        <w:spacing w:after="0" w:line="275" w:lineRule="auto"/>
        <w:tabs>
          <w:tab w:leader="none" w:pos="1316"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6"/>
          <w:szCs w:val="16"/>
          <w:color w:val="auto"/>
        </w:rPr>
      </w:pPr>
    </w:p>
    <w:p>
      <w:pPr>
        <w:jc w:val="both"/>
        <w:ind w:left="660" w:firstLine="428"/>
        <w:spacing w:after="0" w:line="261" w:lineRule="auto"/>
        <w:tabs>
          <w:tab w:leader="none" w:pos="1322" w:val="left"/>
        </w:tabs>
        <w:numPr>
          <w:ilvl w:val="1"/>
          <w:numId w:val="7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firstLine="656"/>
        <w:spacing w:after="0" w:line="275" w:lineRule="auto"/>
        <w:tabs>
          <w:tab w:leader="none" w:pos="931"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1" w:lineRule="exact"/>
        <w:rPr>
          <w:rFonts w:ascii="Arial" w:cs="Arial" w:eastAsia="Arial" w:hAnsi="Arial"/>
          <w:sz w:val="16"/>
          <w:szCs w:val="16"/>
          <w:color w:val="auto"/>
        </w:rPr>
      </w:pPr>
    </w:p>
    <w:p>
      <w:pPr>
        <w:ind w:left="660" w:firstLine="428"/>
        <w:spacing w:after="0" w:line="275" w:lineRule="auto"/>
        <w:tabs>
          <w:tab w:leader="none" w:pos="1323"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6"/>
          <w:szCs w:val="16"/>
          <w:color w:val="auto"/>
        </w:rPr>
      </w:pPr>
    </w:p>
    <w:p>
      <w:pPr>
        <w:ind w:left="660" w:firstLine="428"/>
        <w:spacing w:after="0" w:line="275" w:lineRule="auto"/>
        <w:tabs>
          <w:tab w:leader="none" w:pos="1341" w:val="left"/>
        </w:tabs>
        <w:numPr>
          <w:ilvl w:val="1"/>
          <w:numId w:val="7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1120"/>
        <w:spacing w:after="0"/>
        <w:tabs>
          <w:tab w:leader="none" w:pos="6880" w:val="left"/>
        </w:tabs>
        <w:rPr>
          <w:sz w:val="20"/>
          <w:szCs w:val="20"/>
          <w:color w:val="auto"/>
        </w:rPr>
      </w:pPr>
      <w:r>
        <w:rPr>
          <w:rFonts w:ascii="Arial" w:cs="Arial" w:eastAsia="Arial" w:hAnsi="Arial"/>
          <w:sz w:val="16"/>
          <w:szCs w:val="16"/>
          <w:color w:val="auto"/>
        </w:rPr>
        <w:t>Date: April 23, 2014</w:t>
      </w:r>
      <w:r>
        <w:rPr>
          <w:sz w:val="20"/>
          <w:szCs w:val="20"/>
          <w:color w:val="auto"/>
        </w:rPr>
        <w:tab/>
      </w:r>
      <w:r>
        <w:rPr>
          <w:rFonts w:ascii="Arial" w:cs="Arial" w:eastAsia="Arial" w:hAnsi="Arial"/>
          <w:sz w:val="14"/>
          <w:szCs w:val="14"/>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34925</wp:posOffset>
            </wp:positionV>
            <wp:extent cx="231521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0"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Name: Derek J. Kerr</w:t>
      </w:r>
    </w:p>
    <w:p>
      <w:pPr>
        <w:spacing w:after="0" w:line="73"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Title: Executive Vice President and Chief Financial</w:t>
      </w:r>
    </w:p>
    <w:p>
      <w:pPr>
        <w:spacing w:after="0" w:line="22"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1247"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w:t>
      </w:r>
    </w:p>
    <w:p>
      <w:pPr>
        <w:spacing w:after="0" w:line="108"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18 U.S.C. Section 1350,</w:t>
      </w:r>
    </w:p>
    <w:p>
      <w:pPr>
        <w:spacing w:after="0" w:line="108"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as Adopted Pursuant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March 31, 2014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33" w:lineRule="exact"/>
        <w:rPr>
          <w:sz w:val="20"/>
          <w:szCs w:val="20"/>
          <w:color w:val="auto"/>
        </w:rPr>
      </w:pPr>
    </w:p>
    <w:p>
      <w:pPr>
        <w:ind w:left="660" w:hanging="427"/>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427"/>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2809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April 23, 2014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31750</wp:posOffset>
            </wp:positionV>
            <wp:extent cx="23069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 Executive Vice President and</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Date: April 23, 2014</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797" w:right="239" w:bottom="1440" w:gutter="0" w:footer="0" w:header="0"/>
        </w:sectPr>
      </w:pPr>
    </w:p>
    <w:bookmarkStart w:id="163" w:name="page164"/>
    <w:bookmarkEnd w:id="163"/>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w:t>
      </w:r>
    </w:p>
    <w:p>
      <w:pPr>
        <w:spacing w:after="0" w:line="108"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18 U.S.C. Section 1350,</w:t>
      </w:r>
    </w:p>
    <w:p>
      <w:pPr>
        <w:spacing w:after="0" w:line="108"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as Adopted Pursuant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March 31, 2014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33" w:lineRule="exact"/>
        <w:rPr>
          <w:sz w:val="20"/>
          <w:szCs w:val="20"/>
          <w:color w:val="auto"/>
        </w:rPr>
      </w:pPr>
    </w:p>
    <w:p>
      <w:pPr>
        <w:ind w:left="660" w:hanging="427"/>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427"/>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2809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April 23, 2014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31750</wp:posOffset>
            </wp:positionV>
            <wp:extent cx="23069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 Executive Vice President and</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Date: April 23, 2014</w:t>
      </w:r>
    </w:p>
    <w:p>
      <w:pPr>
        <w:spacing w:after="0" w:line="11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lvl w:ilvl="1">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1)"/>
      <w:numFmt w:val="decimal"/>
      <w:start w:val="1"/>
    </w:lvl>
  </w:abstractNum>
  <w:abstractNum w:abstractNumId="7">
    <w:nsid w:val="70A64E2A"/>
    <w:multiLevelType w:val="hybridMultilevel"/>
    <w:lvl w:ilvl="0">
      <w:lvlJc w:val="left"/>
      <w:lvlText w:val="(%1)"/>
      <w:numFmt w:val="lowerLetter"/>
      <w:start w:val="1"/>
    </w:lvl>
  </w:abstractNum>
  <w:abstractNum w:abstractNumId="8">
    <w:nsid w:val="6A2342EC"/>
    <w:multiLevelType w:val="hybridMultilevel"/>
    <w:lvl w:ilvl="0">
      <w:lvlJc w:val="left"/>
      <w:lvlText w:val="(%1)"/>
      <w:numFmt w:val="lowerLetter"/>
      <w:start w:val="2"/>
    </w:lvl>
  </w:abstractNum>
  <w:abstractNum w:abstractNumId="9">
    <w:nsid w:val="2A487CB0"/>
    <w:multiLevelType w:val="hybridMultilevel"/>
    <w:lvl w:ilvl="0">
      <w:lvlJc w:val="left"/>
      <w:lvlText w:val="(%1)"/>
      <w:numFmt w:val="lowerLetter"/>
      <w:start w:val="3"/>
    </w:lvl>
  </w:abstractNum>
  <w:abstractNum w:abstractNumId="10">
    <w:nsid w:val="1D4ED43B"/>
    <w:multiLevelType w:val="hybridMultilevel"/>
    <w:lvl w:ilvl="0">
      <w:lvlJc w:val="left"/>
      <w:lvlText w:val="(%1)"/>
      <w:numFmt w:val="decimal"/>
      <w:start w:val="1"/>
    </w:lvl>
  </w:abstractNum>
  <w:abstractNum w:abstractNumId="11">
    <w:nsid w:val="725A06FB"/>
    <w:multiLevelType w:val="hybridMultilevel"/>
    <w:lvl w:ilvl="0">
      <w:lvlJc w:val="left"/>
      <w:lvlText w:val="(%1)"/>
      <w:numFmt w:val="decimal"/>
      <w:start w:val="1"/>
    </w:lvl>
  </w:abstractNum>
  <w:abstractNum w:abstractNumId="12">
    <w:nsid w:val="2CD89A32"/>
    <w:multiLevelType w:val="hybridMultilevel"/>
    <w:lvl w:ilvl="0">
      <w:lvlJc w:val="left"/>
      <w:lvlText w:val="(%1)"/>
      <w:numFmt w:val="decimal"/>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lvl w:ilvl="1">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1)"/>
      <w:numFmt w:val="lowerLetter"/>
      <w:start w:val="1"/>
    </w:lvl>
  </w:abstractNum>
  <w:abstractNum w:abstractNumId="20">
    <w:nsid w:val="32FFF902"/>
    <w:multiLevelType w:val="hybridMultilevel"/>
    <w:lvl w:ilvl="0">
      <w:lvlJc w:val="left"/>
      <w:lvlText w:val="(%1)"/>
      <w:numFmt w:val="lowerLetter"/>
      <w:start w:val="2"/>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1."/>
      <w:numFmt w:val="decimal"/>
      <w:start w:val="10"/>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1)"/>
      <w:numFmt w:val="lowerLetter"/>
      <w:start w:val="1"/>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1)"/>
      <w:numFmt w:val="decimal"/>
      <w:start w:val="1"/>
    </w:lvl>
  </w:abstractNum>
  <w:abstractNum w:abstractNumId="31">
    <w:nsid w:val="374A3FE6"/>
    <w:multiLevelType w:val="hybridMultilevel"/>
    <w:lvl w:ilvl="0">
      <w:lvlJc w:val="left"/>
      <w:lvlText w:val="(%1)"/>
      <w:numFmt w:val="decimal"/>
      <w:start w:val="2"/>
    </w:lvl>
  </w:abstractNum>
  <w:abstractNum w:abstractNumId="32">
    <w:nsid w:val="4F4EF005"/>
    <w:multiLevelType w:val="hybridMultilevel"/>
    <w:lvl w:ilvl="0">
      <w:lvlJc w:val="left"/>
      <w:lvlText w:val="(%1)"/>
      <w:numFmt w:val="decimal"/>
      <w:start w:val="3"/>
    </w:lvl>
  </w:abstractNum>
  <w:abstractNum w:abstractNumId="33">
    <w:nsid w:val="23F9C13C"/>
    <w:multiLevelType w:val="hybridMultilevel"/>
    <w:lvl w:ilvl="0">
      <w:lvlJc w:val="left"/>
      <w:lvlText w:val="(%1)"/>
      <w:numFmt w:val="lowerLetter"/>
      <w:start w:val="1"/>
    </w:lvl>
  </w:abstractNum>
  <w:abstractNum w:abstractNumId="34">
    <w:nsid w:val="649BB77C"/>
    <w:multiLevelType w:val="hybridMultilevel"/>
    <w:lvl w:ilvl="0">
      <w:lvlJc w:val="left"/>
      <w:lvlText w:val="(%1)"/>
      <w:numFmt w:val="lowerLetter"/>
      <w:start w:val="4"/>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1)"/>
      <w:numFmt w:val="decimal"/>
      <w:start w:val="2"/>
    </w:lvl>
  </w:abstractNum>
  <w:abstractNum w:abstractNumId="41">
    <w:nsid w:val="354FE9F9"/>
    <w:multiLevelType w:val="hybridMultilevel"/>
    <w:lvl w:ilvl="0">
      <w:lvlJc w:val="left"/>
      <w:lvlText w:val="(%1)"/>
      <w:numFmt w:val="decimal"/>
      <w:start w:val="3"/>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lvl w:ilvl="1">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1)"/>
      <w:numFmt w:val="lowerLetter"/>
      <w:start w:val="1"/>
    </w:lvl>
  </w:abstractNum>
  <w:abstractNum w:abstractNumId="60">
    <w:nsid w:val="100F8FCA"/>
    <w:multiLevelType w:val="hybridMultilevel"/>
    <w:lvl w:ilvl="0">
      <w:lvlJc w:val="left"/>
      <w:lvlText w:val="(%1)"/>
      <w:numFmt w:val="lowerLetter"/>
      <w:start w:val="3"/>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lowerLetter"/>
      <w:start w:val="3"/>
    </w:lvl>
  </w:abstractNum>
  <w:abstractNum w:abstractNumId="63">
    <w:nsid w:val="5F5E7FD0"/>
    <w:multiLevelType w:val="hybridMultilevel"/>
    <w:lvl w:ilvl="0">
      <w:lvlJc w:val="left"/>
      <w:lvlText w:val="(%1)"/>
      <w:numFmt w:val="lowerLetter"/>
      <w:start w:val="1"/>
    </w:lvl>
  </w:abstractNum>
  <w:abstractNum w:abstractNumId="64">
    <w:nsid w:val="98A3148"/>
    <w:multiLevelType w:val="hybridMultilevel"/>
    <w:lvl w:ilvl="0">
      <w:lvlJc w:val="left"/>
      <w:lvlText w:val="(%1)"/>
      <w:numFmt w:val="lowerLetter"/>
      <w:start w:val="3"/>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lowerLetter"/>
      <w:start w:val="3"/>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lowerLetter"/>
      <w:start w:val="3"/>
    </w:lvl>
  </w:abstractNum>
  <w:abstractNum w:abstractNumId="69">
    <w:nsid w:val="1EBA5D23"/>
    <w:multiLevelType w:val="hybridMultilevel"/>
    <w:lvl w:ilvl="0">
      <w:lvlJc w:val="left"/>
      <w:lvlText w:val="(%1)"/>
      <w:numFmt w:val="decimal"/>
      <w:start w:val="1"/>
    </w:lvl>
  </w:abstractNum>
  <w:abstractNum w:abstractNumId="70">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1">
    <w:nsid w:val="5DC79EA8"/>
    <w:multiLevelType w:val="hybridMultilevel"/>
    <w:lvl w:ilvl="0">
      <w:lvlJc w:val="left"/>
      <w:lvlText w:val="%1."/>
      <w:numFmt w:val="decimal"/>
      <w:start w:val="1"/>
    </w:lvl>
    <w:lvl w:ilvl="1">
      <w:lvlJc w:val="left"/>
      <w:lvlText w:val="(%2)"/>
      <w:numFmt w:val="lowerLetter"/>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2019-12-05T03:01:01Z</dcterms:created>
  <dcterms:modified xsi:type="dcterms:W3CDTF">2019-12-05T03:01:01Z</dcterms:modified>
</cp:coreProperties>
</file>