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10,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AMERICAN AIRLINES GROUP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11"/>
        </w:trPr>
        <w:tc>
          <w:tcPr>
            <w:tcW w:w="4180" w:type="dxa"/>
            <w:vAlign w:val="bottom"/>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75-1825172</w:t>
            </w:r>
          </w:p>
        </w:tc>
      </w:tr>
      <w:tr>
        <w:trPr>
          <w:trHeight w:val="147"/>
        </w:trPr>
        <w:tc>
          <w:tcPr>
            <w:tcW w:w="4180" w:type="dxa"/>
            <w:vAlign w:val="bottom"/>
          </w:tcPr>
          <w:p>
            <w:pPr>
              <w:jc w:val="center"/>
              <w:ind w:right="172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jc w:val="center"/>
              <w:ind w:left="172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1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20" w:type="dxa"/>
            <w:vAlign w:val="bottom"/>
          </w:tcPr>
          <w:p>
            <w:pPr>
              <w:jc w:val="center"/>
              <w:ind w:left="17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3"/>
        </w:trPr>
        <w:tc>
          <w:tcPr>
            <w:tcW w:w="4180" w:type="dxa"/>
            <w:vAlign w:val="bottom"/>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1 Skyview Drive</w:t>
            </w:r>
          </w:p>
        </w:tc>
        <w:tc>
          <w:tcPr>
            <w:tcW w:w="3220" w:type="dxa"/>
            <w:vAlign w:val="bottom"/>
          </w:tcPr>
          <w:p>
            <w:pPr>
              <w:spacing w:after="0"/>
              <w:rPr>
                <w:sz w:val="24"/>
                <w:szCs w:val="24"/>
                <w:color w:val="auto"/>
              </w:rPr>
            </w:pPr>
          </w:p>
        </w:tc>
      </w:tr>
      <w:tr>
        <w:trPr>
          <w:trHeight w:val="225"/>
        </w:trPr>
        <w:tc>
          <w:tcPr>
            <w:tcW w:w="4180" w:type="dxa"/>
            <w:vAlign w:val="bottom"/>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220" w:type="dxa"/>
            <w:vAlign w:val="bottom"/>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76155</w:t>
            </w:r>
          </w:p>
        </w:tc>
      </w:tr>
      <w:tr>
        <w:trPr>
          <w:trHeight w:val="187"/>
        </w:trPr>
        <w:tc>
          <w:tcPr>
            <w:tcW w:w="418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jc w:val="center"/>
              <w:ind w:left="172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Airlines Group Inc. Amended and Restated 2023 Incentive Award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J. Richmond</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Corporate Affairs and Chief Legal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Skyview Drive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 Worth, Texas 76155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(682) 278-9000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Gregory P. Rodgers</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Joel H. Trotter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William K. Hackett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555 Eleventh Street, NW</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 637-2200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left="6"/>
        <w:spacing w:after="0" w:line="253" w:lineRule="auto"/>
        <w:rPr>
          <w:sz w:val="20"/>
          <w:szCs w:val="20"/>
          <w:color w:val="auto"/>
        </w:rPr>
      </w:pPr>
      <w:r>
        <w:rPr>
          <w:rFonts w:ascii="Times New Roman" w:cs="Times New Roman" w:eastAsia="Times New Roman" w:hAnsi="Times New Roman"/>
          <w:sz w:val="18"/>
          <w:szCs w:val="18"/>
          <w:color w:val="auto"/>
        </w:rPr>
        <w:t>On March 24, 2026, the Board of Directors of American Airlines Group Inc. (the “Registrant”) approved the American Airlines Group Inc. Amended and Restated 2023 Incentive Award Plan (as amended and restated, the “Plan”), which includes an increase in the number of shares of common stock of the Registrant, par value $0.01 per share (the “Common Stock”), available for issuance under the Plan. On June 10, 2026, stockholders voted to approve the Plan. This Registration Statement on Form S-8 is being filed in order to register 16.5 million additional shares of Common Stock that may be offered or sold to participants under the Plan, as well as 6.5 million additional shares of Common Stock that may become available for issuance under the Plan pursuant to its terms.</w:t>
      </w:r>
    </w:p>
    <w:p>
      <w:pPr>
        <w:spacing w:after="0" w:line="187" w:lineRule="exact"/>
        <w:rPr>
          <w:sz w:val="20"/>
          <w:szCs w:val="20"/>
          <w:color w:val="auto"/>
        </w:rPr>
      </w:pPr>
    </w:p>
    <w:p>
      <w:pPr>
        <w:ind w:left="6" w:right="20"/>
        <w:spacing w:after="0" w:line="257" w:lineRule="auto"/>
        <w:rPr>
          <w:sz w:val="20"/>
          <w:szCs w:val="20"/>
          <w:color w:val="auto"/>
        </w:rPr>
      </w:pPr>
      <w:r>
        <w:rPr>
          <w:rFonts w:ascii="Times New Roman" w:cs="Times New Roman" w:eastAsia="Times New Roman" w:hAnsi="Times New Roman"/>
          <w:sz w:val="18"/>
          <w:szCs w:val="18"/>
          <w:color w:val="auto"/>
        </w:rPr>
        <w:t>The Registrant previously filed a registration statement on Form S-8 (File Nos. 333-271802) registering shares of Common Stock that may be offered or sold to participants under the Plan (the “Prior Registration Statement”). Pursuant to General Instruction E to Form S-8, this Registration Statement on Form S-8 (the “Registration Statement”) hereby incorporates by reference the content of the Prior Registration Statement to the extent not modified or superseded hereby or by any subsequently filed document that is incorporated by reference herein or therein.</w:t>
      </w:r>
    </w:p>
    <w:p>
      <w:pPr>
        <w:spacing w:after="0" w:line="39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2" w:lineRule="exact"/>
        <w:rPr>
          <w:sz w:val="20"/>
          <w:szCs w:val="20"/>
          <w:color w:val="auto"/>
        </w:rPr>
      </w:pPr>
    </w:p>
    <w:p>
      <w:pPr>
        <w:ind w:left="6" w:right="200"/>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delivered in accordance with Rule 428(b)(1) of the Securities Act of 1933, as amended (the “Securities Act”). Such documents are not required to be filed with the Securities and Exchange Commission (“Commission”) either as part of this Registration Statement or as prospectuses or prospectus supplements pursuant to Rule 424. These documents, and the documents incorporated by reference in Item 3 of Part II of this Registration Statement, taken together, constitute a prospectus that meets the requirements of Section 10(a) of the Securities Act.</w:t>
      </w:r>
    </w:p>
    <w:p>
      <w:pPr>
        <w:spacing w:after="0" w:line="39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Incorporated by reference in this Registration Statement are the following documents filed by the Registrant with the Commission pursuant to the</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Securities Act and the Securities Exchange Act of 1934, as amended (the “Exchange Act”):</w:t>
      </w:r>
    </w:p>
    <w:p>
      <w:pPr>
        <w:spacing w:after="0" w:line="108" w:lineRule="exact"/>
        <w:rPr>
          <w:sz w:val="20"/>
          <w:szCs w:val="20"/>
          <w:color w:val="auto"/>
        </w:rPr>
      </w:pPr>
    </w:p>
    <w:p>
      <w:pPr>
        <w:ind w:left="446" w:hanging="446"/>
        <w:spacing w:after="0"/>
        <w:tabs>
          <w:tab w:leader="none" w:pos="4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on February 18, 2026;</w:t>
      </w:r>
    </w:p>
    <w:p>
      <w:pPr>
        <w:spacing w:after="0" w:line="113"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on April 23, 2026;</w:t>
      </w:r>
    </w:p>
    <w:p>
      <w:pPr>
        <w:sectPr>
          <w:pgSz w:w="11900" w:h="16838" w:orient="portrait"/>
          <w:cols w:equalWidth="0" w:num="1">
            <w:col w:w="10886"/>
          </w:cols>
          <w:pgMar w:left="494" w:top="264" w:right="519" w:bottom="1440" w:gutter="0" w:footer="0" w:header="0"/>
        </w:sectPr>
      </w:pPr>
    </w:p>
    <w:bookmarkStart w:id="2" w:name="page3"/>
    <w:bookmarkEnd w:id="2"/>
    <w:p>
      <w:pPr>
        <w:ind w:left="446" w:hanging="446"/>
        <w:spacing w:after="0"/>
        <w:tabs>
          <w:tab w:leader="none" w:pos="4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Registrant’s Current Reports on Form 8-K filed on </w:t>
      </w:r>
      <w:hyperlink r:id="rId21">
        <w:r>
          <w:rPr>
            <w:rFonts w:ascii="Times New Roman" w:cs="Times New Roman" w:eastAsia="Times New Roman" w:hAnsi="Times New Roman"/>
            <w:sz w:val="18"/>
            <w:szCs w:val="18"/>
            <w:u w:val="single" w:color="auto"/>
            <w:color w:val="0000EE"/>
          </w:rPr>
          <w:t>March 9, 2026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March 24, 2026</w:t>
        </w:r>
      </w:hyperlink>
      <w:r>
        <w:rPr>
          <w:rFonts w:ascii="Times New Roman" w:cs="Times New Roman" w:eastAsia="Times New Roman" w:hAnsi="Times New Roman"/>
          <w:sz w:val="18"/>
          <w:szCs w:val="18"/>
          <w:color w:val="auto"/>
        </w:rPr>
        <w:t xml:space="preserve">, and </w:t>
      </w:r>
      <w:hyperlink r:id="rId23">
        <w:r>
          <w:rPr>
            <w:rFonts w:ascii="Times New Roman" w:cs="Times New Roman" w:eastAsia="Times New Roman" w:hAnsi="Times New Roman"/>
            <w:sz w:val="18"/>
            <w:szCs w:val="18"/>
            <w:u w:val="single" w:color="auto"/>
            <w:color w:val="0000EE"/>
          </w:rPr>
          <w:t>May 29, 2026</w:t>
        </w:r>
      </w:hyperlink>
      <w:r>
        <w:rPr>
          <w:rFonts w:ascii="Times New Roman" w:cs="Times New Roman" w:eastAsia="Times New Roman" w:hAnsi="Times New Roman"/>
          <w:sz w:val="18"/>
          <w:szCs w:val="18"/>
          <w:color w:val="auto"/>
        </w:rPr>
        <w:t>; and</w:t>
      </w:r>
    </w:p>
    <w:p>
      <w:pPr>
        <w:spacing w:after="0" w:line="113" w:lineRule="exact"/>
        <w:rPr>
          <w:rFonts w:ascii="Times New Roman" w:cs="Times New Roman" w:eastAsia="Times New Roman" w:hAnsi="Times New Roman"/>
          <w:sz w:val="18"/>
          <w:szCs w:val="18"/>
          <w:color w:val="auto"/>
        </w:rPr>
      </w:pPr>
    </w:p>
    <w:p>
      <w:pPr>
        <w:ind w:left="446" w:right="300" w:hanging="446"/>
        <w:spacing w:after="0" w:line="277" w:lineRule="auto"/>
        <w:tabs>
          <w:tab w:leader="none" w:pos="4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24">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22, 2022.</w:t>
      </w:r>
    </w:p>
    <w:p>
      <w:pPr>
        <w:spacing w:after="0" w:line="163" w:lineRule="exact"/>
        <w:rPr>
          <w:rFonts w:ascii="Times New Roman" w:cs="Times New Roman" w:eastAsia="Times New Roman" w:hAnsi="Times New Roman"/>
          <w:sz w:val="18"/>
          <w:szCs w:val="18"/>
          <w:color w:val="auto"/>
        </w:rPr>
      </w:pPr>
    </w:p>
    <w:p>
      <w:pPr>
        <w:ind w:left="6" w:right="60"/>
        <w:spacing w:after="0" w:line="251"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that any portion of any annual or quarterly report to stockholders or document or current report furnished under Items 2.02 or 7.01 of Form 8-K or related exhibits furnished pursuant to Item 9.01 of Form 8-K, whether specifically listed above or filed in the future, that is not deemed filed under such provisions shall not be incorporated herein by reference.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9"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rFonts w:ascii="Times New Roman" w:cs="Times New Roman" w:eastAsia="Times New Roman" w:hAnsi="Times New Roman"/>
          <w:sz w:val="18"/>
          <w:szCs w:val="18"/>
          <w:color w:val="auto"/>
        </w:rPr>
      </w:pPr>
    </w:p>
    <w:p>
      <w:pPr>
        <w:ind w:left="6"/>
        <w:spacing w:after="0" w:line="250" w:lineRule="auto"/>
        <w:rPr>
          <w:sz w:val="20"/>
          <w:szCs w:val="20"/>
          <w:color w:val="auto"/>
        </w:rPr>
      </w:pPr>
      <w:r>
        <w:rPr>
          <w:rFonts w:ascii="Times New Roman" w:cs="Times New Roman" w:eastAsia="Times New Roman" w:hAnsi="Times New Roman"/>
          <w:sz w:val="18"/>
          <w:szCs w:val="18"/>
          <w:color w:val="auto"/>
        </w:rPr>
        <w:t>Pursuant to Section 145 of the Delaware General Corporation Law (the “DGCL”), a corporation has the power to indemnify a party to any threatened, pending, or completed legal proceeding by reason of his or her service on behalf of a corporation. The DGCL further mandates that indemnification shall be made to any such person who has been successful “on the merits” or “otherwise” with respect to the defense of any such proceeding, but does not require indemnification in any other circumstances. The DGCL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or she is or is threatened to be made a party by reason of such position, if such person has acted in good faith and in a manner he or she reasonably believed to be in or not opposed to the best interests of the corporation, and, in any criminal proceeding, if such person had no reasonable cause to believe his or her conduct was unlawful; provided that, in the case of actions brought by or in the right of the corporation, no indemnification may be made with respect to any matter as to which such person has been adjudged to be liable to the corporation unless and only to the extent that the adjudicating court determines that such indemnification is proper under the circumstances. A corporation may advance the expenses incurred in defending such a proceeding upon the giving of an undertaking, or promise, to repay such sums in the event it is later determined that such indemnitee is not entitled to be indemnified.</w:t>
      </w:r>
    </w:p>
    <w:p>
      <w:pPr>
        <w:spacing w:after="0" w:line="191" w:lineRule="exact"/>
        <w:rPr>
          <w:rFonts w:ascii="Times New Roman" w:cs="Times New Roman" w:eastAsia="Times New Roman" w:hAnsi="Times New Roman"/>
          <w:sz w:val="18"/>
          <w:szCs w:val="18"/>
          <w:color w:val="auto"/>
        </w:rPr>
      </w:pPr>
    </w:p>
    <w:p>
      <w:pPr>
        <w:ind w:left="6" w:right="180"/>
        <w:spacing w:after="0" w:line="262"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provides that the Registrant may, and the Registrant’s amended and restated bylaws provide that the Registrant shall, indemnify and advance expenses to each of the Registrant’s directors and officers, and may indemnify and advance expenses to the Registrant’s employees and other agents, to the fullest extent permitted by the DGCL, as described above.</w:t>
      </w:r>
    </w:p>
    <w:p>
      <w:pPr>
        <w:spacing w:after="0" w:line="177" w:lineRule="exact"/>
        <w:rPr>
          <w:rFonts w:ascii="Times New Roman" w:cs="Times New Roman" w:eastAsia="Times New Roman" w:hAnsi="Times New Roman"/>
          <w:sz w:val="18"/>
          <w:szCs w:val="18"/>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The Registrant also maintains insurance for its directors and officers against certain liabilities, including liabilities under the Securities Act. The effect of this insurance is to indemnify any director or officer of the Registrant against expenses, including, without limitation, attorneys’ fees, judgments, fines and amounts paid in settlement, incurred by a director or officer upon a determination that such person acted in good faith. The premiums for such insurance are paid by the Registrant.</w:t>
      </w:r>
    </w:p>
    <w:p>
      <w:pPr>
        <w:sectPr>
          <w:pgSz w:w="11900" w:h="16838" w:orient="portrait"/>
          <w:cols w:equalWidth="0" w:num="1">
            <w:col w:w="10886"/>
          </w:cols>
          <w:pgMar w:left="494" w:top="268" w:right="519" w:bottom="1440" w:gutter="0" w:footer="0" w:header="0"/>
        </w:sectPr>
      </w:pPr>
    </w:p>
    <w:bookmarkStart w:id="3" w:name="page4"/>
    <w:bookmarkEnd w:id="3"/>
    <w:p>
      <w:pPr>
        <w:ind w:left="6" w:right="10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separate indemnification agreements with the Registrant, each director and certain officers of the Registrant are indemnified against all liabilities relating to his or her position as a director or officer of the Registrant, to the fullest extent permitted under applicable law.</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000" w:type="dxa"/>
            <w:vAlign w:val="bottom"/>
          </w:tcPr>
          <w:p>
            <w:pPr>
              <w:jc w:val="center"/>
              <w:ind w:right="2429"/>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color w:val="auto"/>
                <w:w w:val="98"/>
              </w:rPr>
              <w:t>Exhibit Title</w:t>
            </w:r>
          </w:p>
        </w:tc>
        <w:tc>
          <w:tcPr>
            <w:tcW w:w="0" w:type="dxa"/>
            <w:vAlign w:val="bottom"/>
          </w:tcPr>
          <w:p>
            <w:pPr>
              <w:spacing w:after="0"/>
              <w:rPr>
                <w:sz w:val="1"/>
                <w:szCs w:val="1"/>
                <w:color w:val="auto"/>
              </w:rPr>
            </w:pPr>
          </w:p>
        </w:tc>
      </w:tr>
      <w:tr>
        <w:trPr>
          <w:trHeight w:val="185"/>
        </w:trPr>
        <w:tc>
          <w:tcPr>
            <w:tcW w:w="3000" w:type="dxa"/>
            <w:vAlign w:val="bottom"/>
          </w:tcPr>
          <w:p>
            <w:pPr>
              <w:jc w:val="center"/>
              <w:ind w:right="2449"/>
              <w:spacing w:after="0"/>
              <w:rPr>
                <w:sz w:val="20"/>
                <w:szCs w:val="20"/>
                <w:color w:val="auto"/>
              </w:rPr>
            </w:pPr>
            <w:r>
              <w:rPr>
                <w:rFonts w:ascii="Times New Roman" w:cs="Times New Roman" w:eastAsia="Times New Roman" w:hAnsi="Times New Roman"/>
                <w:sz w:val="14"/>
                <w:szCs w:val="14"/>
                <w:u w:val="single" w:color="auto"/>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-8890</wp:posOffset>
            </wp:positionV>
            <wp:extent cx="6344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6344920" cy="8255"/>
                    </a:xfrm>
                    <a:prstGeom prst="rect">
                      <a:avLst/>
                    </a:prstGeom>
                    <a:noFill/>
                  </pic:spPr>
                </pic:pic>
              </a:graphicData>
            </a:graphic>
          </wp:anchor>
        </w:drawing>
      </w:r>
    </w:p>
    <w:p>
      <w:pPr>
        <w:spacing w:after="0" w:line="53" w:lineRule="exact"/>
        <w:rPr>
          <w:sz w:val="20"/>
          <w:szCs w:val="20"/>
          <w:color w:val="auto"/>
        </w:rPr>
      </w:pPr>
    </w:p>
    <w:p>
      <w:pPr>
        <w:ind w:left="906" w:right="20" w:hanging="906"/>
        <w:spacing w:after="0" w:line="277" w:lineRule="auto"/>
        <w:tabs>
          <w:tab w:leader="none" w:pos="8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8">
        <w:r>
          <w:rPr>
            <w:rFonts w:ascii="Times New Roman" w:cs="Times New Roman" w:eastAsia="Times New Roman" w:hAnsi="Times New Roman"/>
            <w:sz w:val="18"/>
            <w:szCs w:val="18"/>
            <w:u w:val="single" w:color="auto"/>
            <w:color w:val="0000EE"/>
          </w:rPr>
          <w:t>Restated Certificate of Incorporation of American Airlines Group Inc. (incorporated by reference to Exhibit 3.1 to American Airlines Group</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Inc.’s Current Report on Form 8-K filed on December 9, 2013 (Commission File No. 001-08400)).</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4.2</w:t>
      </w:r>
      <w:hyperlink r:id="rId29">
        <w:r>
          <w:rPr>
            <w:rFonts w:ascii="Times New Roman" w:cs="Times New Roman" w:eastAsia="Times New Roman" w:hAnsi="Times New Roman"/>
            <w:sz w:val="17"/>
            <w:szCs w:val="17"/>
            <w:u w:val="single" w:color="auto"/>
            <w:color w:val="0000EE"/>
          </w:rPr>
          <w:t>Certificate of Amendment of Restated Certificate of Incorporation of American Airlines Group Inc. (incorporated by reference to Exhibit</w:t>
        </w:r>
      </w:hyperlink>
    </w:p>
    <w:p>
      <w:pPr>
        <w:spacing w:after="0" w:line="37" w:lineRule="exact"/>
        <w:rPr>
          <w:rFonts w:ascii="Times New Roman" w:cs="Times New Roman" w:eastAsia="Times New Roman" w:hAnsi="Times New Roman"/>
          <w:sz w:val="18"/>
          <w:szCs w:val="18"/>
          <w:u w:val="single" w:color="auto"/>
          <w:color w:val="0000EE"/>
        </w:rPr>
      </w:pPr>
    </w:p>
    <w:p>
      <w:pPr>
        <w:ind w:left="906"/>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3.1 to American Airlines Group Inc.’s Current Report on Form 8-K filed on June 13, 2018 (Commission File No. 1-8400)).</w:t>
        </w:r>
      </w:hyperlink>
    </w:p>
    <w:p>
      <w:pPr>
        <w:spacing w:after="0" w:line="95" w:lineRule="exact"/>
        <w:rPr>
          <w:rFonts w:ascii="Times New Roman" w:cs="Times New Roman" w:eastAsia="Times New Roman" w:hAnsi="Times New Roman"/>
          <w:sz w:val="18"/>
          <w:szCs w:val="18"/>
          <w:u w:val="single" w:color="auto"/>
          <w:color w:val="0000EE"/>
        </w:rPr>
      </w:pPr>
    </w:p>
    <w:p>
      <w:pPr>
        <w:ind w:left="906" w:hanging="906"/>
        <w:spacing w:after="0" w:line="277" w:lineRule="auto"/>
        <w:tabs>
          <w:tab w:leader="none" w:pos="87"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0">
        <w:r>
          <w:rPr>
            <w:rFonts w:ascii="Times New Roman" w:cs="Times New Roman" w:eastAsia="Times New Roman" w:hAnsi="Times New Roman"/>
            <w:sz w:val="18"/>
            <w:szCs w:val="18"/>
            <w:u w:val="single" w:color="auto"/>
            <w:color w:val="0000EE"/>
          </w:rPr>
          <w:t>Fifth Amended and Restated Bylaws of American Airlines Group Inc. (incorporated by reference to Exhibit 3.1 to American Airlines Group</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Inc.’s Current Report on Form 8-K filed on August 7, 2025 (Commission File No. 001-08400)).</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Latham &amp; Watkins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KPMG LLP, independent registered public accounting firm.</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Latham &amp; Watkins LLP (reference is made to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Powers of Attorney (reference is made to the signature page of this Registration Statement).</w:t>
      </w:r>
    </w:p>
    <w:p>
      <w:pPr>
        <w:spacing w:after="0" w:line="125" w:lineRule="exact"/>
        <w:rPr>
          <w:rFonts w:ascii="Times New Roman" w:cs="Times New Roman" w:eastAsia="Times New Roman" w:hAnsi="Times New Roman"/>
          <w:sz w:val="17"/>
          <w:szCs w:val="17"/>
          <w:color w:val="auto"/>
        </w:rPr>
      </w:pPr>
    </w:p>
    <w:p>
      <w:pPr>
        <w:ind w:left="906" w:right="220" w:hanging="906"/>
        <w:spacing w:after="0" w:line="308" w:lineRule="auto"/>
        <w:tabs>
          <w:tab w:leader="none" w:pos="87" w:val="left"/>
        </w:tabs>
        <w:numPr>
          <w:ilvl w:val="0"/>
          <w:numId w:val="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hyperlink r:id="rId31">
        <w:r>
          <w:rPr>
            <w:rFonts w:ascii="Times New Roman" w:cs="Times New Roman" w:eastAsia="Times New Roman" w:hAnsi="Times New Roman"/>
            <w:sz w:val="17"/>
            <w:szCs w:val="17"/>
            <w:u w:val="single" w:color="auto"/>
            <w:color w:val="0000EE"/>
          </w:rPr>
          <w:t>American Airlines Group Inc. Amended and Restated 2023 Incentive Award Plan (incorporated by reference to Appendix B of American</w:t>
        </w:r>
      </w:hyperlink>
      <w:r>
        <w:rPr>
          <w:rFonts w:ascii="Times New Roman" w:cs="Times New Roman" w:eastAsia="Times New Roman" w:hAnsi="Times New Roman"/>
          <w:sz w:val="17"/>
          <w:szCs w:val="17"/>
          <w:u w:val="single" w:color="auto"/>
          <w:color w:val="0000EE"/>
        </w:rPr>
        <w:t xml:space="preserve"> </w:t>
      </w:r>
      <w:hyperlink r:id="rId31">
        <w:r>
          <w:rPr>
            <w:rFonts w:ascii="Times New Roman" w:cs="Times New Roman" w:eastAsia="Times New Roman" w:hAnsi="Times New Roman"/>
            <w:sz w:val="17"/>
            <w:szCs w:val="17"/>
            <w:u w:val="single" w:color="auto"/>
            <w:color w:val="0000EE"/>
          </w:rPr>
          <w:t>Airlines Group Inc.’s Definitive Proxy Statement on Schedule 14A filed on April 28, 2026 (Commission File No. 001-08400)).</w:t>
        </w:r>
      </w:hyperlink>
    </w:p>
    <w:p>
      <w:pPr>
        <w:spacing w:after="0" w:line="33" w:lineRule="exact"/>
        <w:rPr>
          <w:rFonts w:ascii="Times New Roman" w:cs="Times New Roman" w:eastAsia="Times New Roman" w:hAnsi="Times New Roman"/>
          <w:sz w:val="18"/>
          <w:szCs w:val="18"/>
          <w:color w:val="auto"/>
        </w:rPr>
      </w:pPr>
    </w:p>
    <w:p>
      <w:pPr>
        <w:ind w:left="6"/>
        <w:spacing w:after="0"/>
        <w:tabs>
          <w:tab w:leader="none" w:pos="88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06"/>
          </w:cols>
          <w:pgMar w:left="494" w:top="26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this Registration Statement on Form S-8 and has duly caused this Registration Statement on Form S-8 to be signed on its behalf by the undersigned, thereunto duly authorized, in the City of Fort Worth, State of Texas, on the 10th day of June,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15875</wp:posOffset>
            </wp:positionV>
            <wp:extent cx="2570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Robert D. Isom</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each individual whose signature appears below constitutes and appoints Robert D. Isom and Devon E. May,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substitute or substitutes, may lawfully do or cause to be done by virtue hereof. This power of attorney may be executed in counterparts.</w:t>
      </w:r>
    </w:p>
    <w:p>
      <w:pPr>
        <w:spacing w:after="0" w:line="18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00" w:type="dxa"/>
            <w:vAlign w:val="bottom"/>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D. Isom</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Chief Executive Officer, President and Director</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D. Isom</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4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Devon E. May</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Devon E. May</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4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Angela K. Owens</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Senior Vice President and Corporate Controller</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Angela K. Owens</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4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Gregory D. Smith</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8"/>
              </w:rPr>
              <w:t>Chairman</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Gregory D. Smith</w:t>
            </w:r>
          </w:p>
        </w:tc>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Adriane M. Brown</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Adriane M. Brown</w:t>
            </w:r>
          </w:p>
        </w:tc>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T. Cahill</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T. Cahill</w:t>
            </w:r>
          </w:p>
        </w:tc>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N. Dillon</w:t>
            </w:r>
          </w:p>
        </w:tc>
        <w:tc>
          <w:tcPr>
            <w:tcW w:w="49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Mary N. Dillon</w:t>
            </w:r>
          </w:p>
        </w:tc>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ectPr>
          <w:pgSz w:w="11900" w:h="16838" w:orient="portrait"/>
          <w:cols w:equalWidth="0" w:num="1">
            <w:col w:w="10860"/>
          </w:cols>
          <w:pgMar w:left="500" w:top="264" w:right="5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Kathryn M. Farmer</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Kathryn M. Farmer</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Matthew J. Hart</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J. Hart</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D. Kronick</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D. Kronick</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H. Nesbitt</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Martin H. Nesbitt</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Vicente Reynal</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Vicente Reynal</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Douglas M. Steenland</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Douglas M. Steenland</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Howard I. Ungerleider</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10,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Howard I. Ungerleider</w:t>
            </w:r>
          </w:p>
        </w:tc>
        <w:tc>
          <w:tcPr>
            <w:tcW w:w="410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0520"/>
          </w:cols>
          <w:pgMar w:left="500" w:top="268" w:right="8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555 Eleventh Street, N.W., Suite 1000</w:t>
      </w:r>
    </w:p>
    <w:p>
      <w:pPr>
        <w:spacing w:after="0" w:line="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Washington, D.C. 20004-1304</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Tel: +1.202.637.2200 Fax: +1.202.637.2201</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www.lw.com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47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Austin</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Milan</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Beijing</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Munich</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Boston</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 York</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Brussels</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Chicago</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Paris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June 10, 2026</w:t>
            </w: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Dubai</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Riyadh</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Düsseldorf</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San Diego</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Frankfurt</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Hamburg</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Seoul</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Hong Kong</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Houston</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Singapore</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London</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Tel Aviv</w:t>
            </w:r>
          </w:p>
        </w:tc>
      </w:tr>
      <w:tr>
        <w:trPr>
          <w:trHeight w:val="214"/>
        </w:trPr>
        <w:tc>
          <w:tcPr>
            <w:tcW w:w="2900" w:type="dxa"/>
            <w:vAlign w:val="bottom"/>
          </w:tcPr>
          <w:p>
            <w:pPr>
              <w:spacing w:after="0"/>
              <w:rPr>
                <w:sz w:val="18"/>
                <w:szCs w:val="18"/>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Los Angeles</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Tokyo</w:t>
            </w:r>
          </w:p>
        </w:tc>
      </w:tr>
      <w:tr>
        <w:trPr>
          <w:trHeight w:val="233"/>
        </w:trPr>
        <w:tc>
          <w:tcPr>
            <w:tcW w:w="2900" w:type="dxa"/>
            <w:vAlign w:val="bottom"/>
          </w:tcPr>
          <w:p>
            <w:pPr>
              <w:spacing w:after="0"/>
              <w:rPr>
                <w:sz w:val="20"/>
                <w:szCs w:val="20"/>
                <w:color w:val="auto"/>
              </w:rPr>
            </w:pPr>
          </w:p>
        </w:tc>
        <w:tc>
          <w:tcPr>
            <w:tcW w:w="31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Madrid</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-2035810</wp:posOffset>
            </wp:positionV>
            <wp:extent cx="2112010" cy="23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112010" cy="2374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202"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 16.5 million shares of common stock, par value $0.01 per share as well as 6.5 million additional shares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16" w:lineRule="exact"/>
        <w:rPr>
          <w:sz w:val="20"/>
          <w:szCs w:val="20"/>
          <w:color w:val="auto"/>
        </w:rPr>
      </w:pPr>
    </w:p>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t>We have acted as special counsel to American Airlines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by the Company of 16.5 million shares of common stock, par value $0.01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reserved for issuance under the American Airlines Group Inc. Amended and Restated 2023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well as 6.5 million additional shares of Common Stock that may become available for issuance under the Plan pursuant to its terms.</w:t>
      </w:r>
    </w:p>
    <w:p>
      <w:pPr>
        <w:spacing w:after="0" w:line="175"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The Shares are included in a registration statement on Form S-8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June 10, 2026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79" w:lineRule="exact"/>
        <w:rPr>
          <w:sz w:val="20"/>
          <w:szCs w:val="20"/>
          <w:color w:val="auto"/>
        </w:rPr>
      </w:pPr>
    </w:p>
    <w:p>
      <w:pPr>
        <w:ind w:right="180" w:firstLine="436"/>
        <w:spacing w:after="0" w:line="257"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18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holders and have been issued by the Company for legal consideration in excess of par value in the circumstances contemplated by the Plan, assuming in each case that the individual grants or awards under the Plan are exercised in accordance with the requirements of law and the Plan (and the agreements and awards duly adopted thereunder and in accordance therewith), the issuance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ectPr>
          <w:pgSz w:w="11900" w:h="16838" w:orient="portrait"/>
          <w:cols w:equalWidth="0" w:num="1">
            <w:col w:w="10900"/>
          </w:cols>
          <w:pgMar w:left="500" w:top="117"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June 10,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156845</wp:posOffset>
            </wp:positionV>
            <wp:extent cx="1518285" cy="203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518285"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Sincerely,</w:t>
      </w:r>
    </w:p>
    <w:p>
      <w:pPr>
        <w:spacing w:after="0" w:line="2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u w:val="single" w:color="auto"/>
          <w:color w:val="auto"/>
        </w:rPr>
        <w:t>/s/ Latham &amp; Watkins LLP</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LATHAM &amp; WATKINS LLP</w:t>
      </w:r>
    </w:p>
    <w:p>
      <w:pPr>
        <w:sectPr>
          <w:pgSz w:w="11900" w:h="16838" w:orient="portrait"/>
          <w:cols w:equalWidth="0" w:num="1">
            <w:col w:w="10860"/>
          </w:cols>
          <w:pgMar w:left="500" w:top="264" w:right="5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consent to the use of our reports dated February 18, 2026, with respect to the consolidated financial statements of American Airlines Group Inc., and the effectiveness of internal control over financial reporting,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ectPr>
          <w:pgSz w:w="11900" w:h="16838" w:orient="portrait"/>
          <w:cols w:equalWidth="0" w:num="1">
            <w:col w:w="10900"/>
          </w:cols>
          <w:pgMar w:left="500" w:top="117" w:right="49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American Airlines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9"/>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23,000,000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$ 13.36</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$ 42,435.37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307,280,000.00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$ 42,435.37</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307,280,000.00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$ 42,435.37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line="236" w:lineRule="auto"/>
        <w:tabs>
          <w:tab w:leader="none" w:pos="800" w:val="left"/>
        </w:tabs>
        <w:numPr>
          <w:ilvl w:val="0"/>
          <w:numId w:val="5"/>
        </w:numPr>
        <w:rPr>
          <w:rFonts w:ascii="Arial" w:cs="Arial" w:eastAsia="Arial" w:hAnsi="Arial"/>
          <w:sz w:val="27"/>
          <w:szCs w:val="27"/>
          <w:color w:val="auto"/>
          <w:vertAlign w:val="superscript"/>
        </w:rPr>
      </w:pPr>
      <w:r>
        <w:rPr>
          <w:rFonts w:ascii="Arial" w:cs="Arial" w:eastAsia="Arial" w:hAnsi="Arial"/>
          <w:sz w:val="21"/>
          <w:szCs w:val="21"/>
          <w:color w:val="auto"/>
        </w:rPr>
        <w:t>Pursuant to Rule 416(a) of the Securities Act of 1933, as amended (the "Securities Act"), this Registration Statement also covers an indeterminate number of shares of common stock of American Airlines Group Inc., par value $0.01 per share (the "Common Stock"), that may be offered or issued under the Amended and Restated 2023 Incentive Award Plan as a result of a stock split, stock dividend or similar transaction. Estimated solely for purposes of calculating the registration fee pursuant to Rules 457(h) and (c) of the Securities Act. The proposed maximum offering price per share, proposed maximum aggregate offering price and the amount of the registration fee are based on the average of the high and low prices per share for the Common Stock as reported on the Nasdaq Global Select Market on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 "/>
      <w:numFmt w:val="bullet"/>
      <w:start w:val="1"/>
    </w:lvl>
  </w:abstractNum>
  <w:abstractNum w:abstractNumId="3">
    <w:nsid w:val="238E1F29"/>
    <w:multiLevelType w:val="hybridMultilevel"/>
    <w:lvl w:ilvl="0">
      <w:lvlJc w:val="left"/>
      <w:lvlText w:val=" "/>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png"/><Relationship Id="rId39" Type="http://schemas.openxmlformats.org/officeDocument/2006/relationships/image" Target="media/image21.png"/><Relationship Id="rId18" Type="http://schemas.openxmlformats.org/officeDocument/2006/relationships/hyperlink" Target="http://www.sec.gov/ix?doc=/Archives/edgar/data/4515/000000620126000014/aal-20251231.htm" TargetMode="External"/><Relationship Id="rId19" Type="http://schemas.openxmlformats.org/officeDocument/2006/relationships/hyperlink" Target="http://www.sec.gov/ix?doc=/Archives/edgar/data/4515/000000620126000032/aal-20260331.htm" TargetMode="External"/><Relationship Id="rId21" Type="http://schemas.openxmlformats.org/officeDocument/2006/relationships/hyperlink" Target="http://www.sec.gov/ix?doc=/Archives/edgar/data/4515/000119312526098647/d35934d8k.htm" TargetMode="External"/><Relationship Id="rId22" Type="http://schemas.openxmlformats.org/officeDocument/2006/relationships/hyperlink" Target="http://www.sec.gov/ix?doc=/Archives/edgar/data/6201/000000620126000023/aal-20260324.htm" TargetMode="External"/><Relationship Id="rId23" Type="http://schemas.openxmlformats.org/officeDocument/2006/relationships/hyperlink" Target="http://www.sec.gov/ix?doc=/Archives/edgar/data/4515/000119312526248886/d118984d8k.htm" TargetMode="External"/><Relationship Id="rId24" Type="http://schemas.openxmlformats.org/officeDocument/2006/relationships/hyperlink" Target="http://www.sec.gov/Archives/edgar/data/4515/000000620122000026/exhibit41q42110-k.htm" TargetMode="External"/><Relationship Id="rId25" Type="http://schemas.openxmlformats.org/officeDocument/2006/relationships/hyperlink" Target="http://www.sec.gov/ix?doc=/Archives/edgar/data/4515/000000620122000026/aal-20211231.htm" TargetMode="External"/><Relationship Id="rId28" Type="http://schemas.openxmlformats.org/officeDocument/2006/relationships/hyperlink" Target="http://www.sec.gov/Archives/edgar/data/4515/000119312513466973/d640718dex31.htm" TargetMode="External"/><Relationship Id="rId29" Type="http://schemas.openxmlformats.org/officeDocument/2006/relationships/hyperlink" Target="http://www.sec.gov/Archives/edgar/data/6201/000119312518191662/d594984dex31.htm" TargetMode="External"/><Relationship Id="rId30" Type="http://schemas.openxmlformats.org/officeDocument/2006/relationships/hyperlink" Target="http://www.sec.gov/Archives/edgar/data/6201/000000620125000042/a8-k08062025exhibit31.htm" TargetMode="External"/><Relationship Id="rId31" Type="http://schemas.openxmlformats.org/officeDocument/2006/relationships/hyperlink" Target="http://www.sec.gov/Archives/edgar/data/6201/000119312526187096/d83928ddef14a.htm#toc83928_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2026-06-10T15:20:26Z</dcterms:created>
  <dcterms:modified xsi:type="dcterms:W3CDTF">2026-06-10T15:20:26Z</dcterms:modified>
</cp:coreProperties>
</file>