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17, 2026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rPr>
              <w:t>Delaware</w:t>
            </w:r>
          </w:p>
        </w:tc>
        <w:tc>
          <w:tcPr>
            <w:tcW w:w="2500" w:type="dxa"/>
            <w:vAlign w:val="bottom"/>
          </w:tcPr>
          <w:p>
            <w:pPr>
              <w:jc w:val="center"/>
              <w:ind w:left="776"/>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jc w:val="center"/>
              <w:ind w:left="1096"/>
              <w:spacing w:after="0"/>
              <w:rPr>
                <w:sz w:val="20"/>
                <w:szCs w:val="20"/>
                <w:color w:val="auto"/>
              </w:rPr>
            </w:pPr>
            <w:r>
              <w:rPr>
                <w:rFonts w:ascii="Arial" w:cs="Arial" w:eastAsia="Arial" w:hAnsi="Arial"/>
                <w:sz w:val="18"/>
                <w:szCs w:val="18"/>
                <w:b w:val="1"/>
                <w:bCs w:val="1"/>
                <w:color w:val="auto"/>
                <w:w w:val="99"/>
              </w:rPr>
              <w:t>75-1825172</w:t>
            </w:r>
          </w:p>
        </w:tc>
        <w:tc>
          <w:tcPr>
            <w:tcW w:w="1180" w:type="dxa"/>
            <w:vAlign w:val="bottom"/>
          </w:tcPr>
          <w:p>
            <w:pPr>
              <w:spacing w:after="0"/>
              <w:rPr>
                <w:sz w:val="19"/>
                <w:szCs w:val="19"/>
                <w:color w:val="auto"/>
              </w:rPr>
            </w:pPr>
          </w:p>
        </w:tc>
      </w:tr>
      <w:tr>
        <w:trPr>
          <w:trHeight w:val="235"/>
        </w:trPr>
        <w:tc>
          <w:tcPr>
            <w:tcW w:w="1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center"/>
              <w:ind w:right="1094"/>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250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Borders>
              <w:bottom w:val="single" w:sz="8" w:color="auto"/>
            </w:tcBorders>
          </w:tcPr>
          <w:p>
            <w:pPr>
              <w:jc w:val="center"/>
              <w:ind w:left="1096"/>
              <w:spacing w:after="0"/>
              <w:rPr>
                <w:sz w:val="20"/>
                <w:szCs w:val="20"/>
                <w:color w:val="auto"/>
              </w:rPr>
            </w:pPr>
            <w:r>
              <w:rPr>
                <w:rFonts w:ascii="Arial" w:cs="Arial" w:eastAsia="Arial" w:hAnsi="Arial"/>
                <w:sz w:val="18"/>
                <w:szCs w:val="18"/>
                <w:b w:val="1"/>
                <w:bCs w:val="1"/>
                <w:color w:val="auto"/>
                <w:w w:val="99"/>
              </w:rPr>
              <w:t>13-1502798</w:t>
            </w:r>
          </w:p>
        </w:tc>
        <w:tc>
          <w:tcPr>
            <w:tcW w:w="1180" w:type="dxa"/>
            <w:vAlign w:val="bottom"/>
            <w:tcBorders>
              <w:bottom w:val="single" w:sz="8" w:color="auto"/>
            </w:tcBorders>
          </w:tcPr>
          <w:p>
            <w:pPr>
              <w:spacing w:after="0"/>
              <w:rPr>
                <w:sz w:val="20"/>
                <w:szCs w:val="20"/>
                <w:color w:val="auto"/>
              </w:rPr>
            </w:pPr>
          </w:p>
        </w:tc>
      </w:tr>
      <w:tr>
        <w:trPr>
          <w:trHeight w:val="194"/>
        </w:trPr>
        <w:tc>
          <w:tcPr>
            <w:tcW w:w="4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99"/>
        </w:trPr>
        <w:tc>
          <w:tcPr>
            <w:tcW w:w="1180" w:type="dxa"/>
            <w:vAlign w:val="bottom"/>
          </w:tcPr>
          <w:p>
            <w:pPr>
              <w:spacing w:after="0"/>
              <w:rPr>
                <w:sz w:val="24"/>
                <w:szCs w:val="24"/>
                <w:color w:val="auto"/>
              </w:rPr>
            </w:pPr>
          </w:p>
        </w:tc>
        <w:tc>
          <w:tcPr>
            <w:tcW w:w="6420" w:type="dxa"/>
            <w:vAlign w:val="bottom"/>
            <w:gridSpan w:val="6"/>
          </w:tcPr>
          <w:p>
            <w:pPr>
              <w:ind w:left="1540"/>
              <w:spacing w:after="0"/>
              <w:rPr>
                <w:sz w:val="20"/>
                <w:szCs w:val="20"/>
                <w:color w:val="auto"/>
              </w:rPr>
            </w:pPr>
            <w:r>
              <w:rPr>
                <w:rFonts w:ascii="Arial" w:cs="Arial" w:eastAsia="Arial" w:hAnsi="Arial"/>
                <w:sz w:val="18"/>
                <w:szCs w:val="18"/>
                <w:b w:val="1"/>
                <w:bCs w:val="1"/>
                <w:color w:val="auto"/>
              </w:rPr>
              <w:t>1 Skyview Drive, Fort Worth, Texas</w:t>
            </w:r>
          </w:p>
        </w:tc>
        <w:tc>
          <w:tcPr>
            <w:tcW w:w="2420" w:type="dxa"/>
            <w:vAlign w:val="bottom"/>
          </w:tcPr>
          <w:p>
            <w:pPr>
              <w:jc w:val="center"/>
              <w:ind w:right="556"/>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4"/>
                <w:szCs w:val="24"/>
                <w:color w:val="auto"/>
              </w:rPr>
            </w:pPr>
          </w:p>
        </w:tc>
      </w:tr>
      <w:tr>
        <w:trPr>
          <w:trHeight w:val="235"/>
        </w:trPr>
        <w:tc>
          <w:tcPr>
            <w:tcW w:w="1180" w:type="dxa"/>
            <w:vAlign w:val="bottom"/>
          </w:tcPr>
          <w:p>
            <w:pPr>
              <w:spacing w:after="0"/>
              <w:rPr>
                <w:sz w:val="20"/>
                <w:szCs w:val="20"/>
                <w:color w:val="auto"/>
              </w:rPr>
            </w:pPr>
          </w:p>
        </w:tc>
        <w:tc>
          <w:tcPr>
            <w:tcW w:w="536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b w:val="1"/>
                <w:bCs w:val="1"/>
                <w:color w:val="auto"/>
              </w:rPr>
              <w:t>1 Skyview Drive, Fort Worth, Texas</w:t>
            </w:r>
          </w:p>
        </w:tc>
        <w:tc>
          <w:tcPr>
            <w:tcW w:w="420" w:type="dxa"/>
            <w:vAlign w:val="bottom"/>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tcBorders>
          </w:tcPr>
          <w:p>
            <w:pPr>
              <w:jc w:val="center"/>
              <w:ind w:right="556"/>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0"/>
                <w:szCs w:val="20"/>
                <w:color w:val="auto"/>
              </w:rPr>
            </w:pPr>
          </w:p>
        </w:tc>
      </w:tr>
      <w:tr>
        <w:trPr>
          <w:trHeight w:val="194"/>
        </w:trPr>
        <w:tc>
          <w:tcPr>
            <w:tcW w:w="1180" w:type="dxa"/>
            <w:vAlign w:val="bottom"/>
          </w:tcPr>
          <w:p>
            <w:pPr>
              <w:spacing w:after="0"/>
              <w:rPr>
                <w:sz w:val="16"/>
                <w:szCs w:val="16"/>
                <w:color w:val="auto"/>
              </w:rPr>
            </w:pPr>
          </w:p>
        </w:tc>
        <w:tc>
          <w:tcPr>
            <w:tcW w:w="6420" w:type="dxa"/>
            <w:vAlign w:val="bottom"/>
            <w:gridSpan w:val="6"/>
          </w:tcPr>
          <w:p>
            <w:pPr>
              <w:ind w:left="1340"/>
              <w:spacing w:after="0"/>
              <w:rPr>
                <w:sz w:val="20"/>
                <w:szCs w:val="20"/>
                <w:color w:val="auto"/>
              </w:rPr>
            </w:pPr>
            <w:r>
              <w:rPr>
                <w:rFonts w:ascii="Arial" w:cs="Arial" w:eastAsia="Arial" w:hAnsi="Arial"/>
                <w:sz w:val="14"/>
                <w:szCs w:val="14"/>
                <w:b w:val="1"/>
                <w:bCs w:val="1"/>
                <w:color w:val="auto"/>
              </w:rPr>
              <w:t>(Address of principal executive offices)</w:t>
            </w:r>
          </w:p>
        </w:tc>
        <w:tc>
          <w:tcPr>
            <w:tcW w:w="360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123" w:lineRule="exact"/>
        <w:rPr>
          <w:sz w:val="24"/>
          <w:szCs w:val="24"/>
          <w:color w:val="auto"/>
        </w:rPr>
      </w:pPr>
    </w:p>
    <w:p>
      <w:pPr>
        <w:ind w:right="40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8"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73"/>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224"/>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84" w:lineRule="exact"/>
        <w:rPr>
          <w:sz w:val="24"/>
          <w:szCs w:val="24"/>
          <w:color w:val="auto"/>
        </w:rPr>
      </w:pPr>
    </w:p>
    <w:p>
      <w:pPr>
        <w:spacing w:after="0" w:line="32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6" w:lineRule="exact"/>
        <w:rPr>
          <w:sz w:val="24"/>
          <w:szCs w:val="24"/>
          <w:color w:val="auto"/>
        </w:rPr>
      </w:pPr>
    </w:p>
    <w:p>
      <w:pPr>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17, 2026, American Airlines Group Inc. (the “Company”) is presenting information relating to its financial and operational outlook at the 2026 J.P. Morgan Industrials Conference. As previously announced, this presentation will be webcast with a link available on the Company’s website at www.aa.com under “Investor Relations.” The presentation slides will also be posted to this website.</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Also on March 17, 2026, the Company provided investors with updated financial and operational guidance relating to the first quarter of 2026. With stronger than expected demand, driven by effective execution of the Company’s commercial initiatives and a solid demand backdrop, the Company now anticipates first-quarter total revenue to be up over 10%, representing the highest year-over-year quarterly revenue growth in Company history</w:t>
      </w:r>
      <w:r>
        <w:rPr>
          <w:rFonts w:ascii="Arial" w:cs="Arial" w:eastAsia="Arial" w:hAnsi="Arial"/>
          <w:sz w:val="23"/>
          <w:szCs w:val="23"/>
          <w:color w:val="auto"/>
          <w:vertAlign w:val="superscript"/>
        </w:rPr>
        <w:t>1</w:t>
      </w:r>
      <w:r>
        <w:rPr>
          <w:rFonts w:ascii="Arial" w:cs="Arial" w:eastAsia="Arial" w:hAnsi="Arial"/>
          <w:sz w:val="18"/>
          <w:szCs w:val="18"/>
          <w:color w:val="auto"/>
        </w:rPr>
        <w:t>. Fuel prices have increased meaningfully since the Company’s initial first-quarter guidance, and the Company now assumes a fuel price of approximately $2.75 per gallon of jet fuel in the first quarter. With the rapid increase in jet fuel prices, the Company now expects its adjusted loss per diluted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be towards the lower end of its initial first-quarter guidance range.</w:t>
      </w:r>
    </w:p>
    <w:tbl>
      <w:tblPr>
        <w:tblLayout w:type="fixed"/>
        <w:tblInd w:w="0" w:type="dxa"/>
        <w:tblCellMar>
          <w:top w:w="0" w:type="dxa"/>
          <w:left w:w="0" w:type="dxa"/>
          <w:bottom w:w="0" w:type="dxa"/>
          <w:right w:w="0" w:type="dxa"/>
        </w:tblCellMar>
      </w:tblPr>
      <w:tr>
        <w:trPr>
          <w:trHeight w:val="231"/>
        </w:trPr>
        <w:tc>
          <w:tcPr>
            <w:tcW w:w="5440" w:type="dxa"/>
            <w:vAlign w:val="bottom"/>
          </w:tcPr>
          <w:p>
            <w:pPr>
              <w:spacing w:after="0"/>
              <w:rPr>
                <w:sz w:val="20"/>
                <w:szCs w:val="20"/>
                <w:color w:val="auto"/>
              </w:rPr>
            </w:pPr>
          </w:p>
        </w:tc>
        <w:tc>
          <w:tcPr>
            <w:tcW w:w="5800" w:type="dxa"/>
            <w:vAlign w:val="bottom"/>
            <w:tcBorders>
              <w:bottom w:val="single" w:sz="8" w:color="auto"/>
            </w:tcBorders>
            <w:gridSpan w:val="3"/>
          </w:tcPr>
          <w:p>
            <w:pPr>
              <w:ind w:left="2060"/>
              <w:spacing w:after="0" w:line="232" w:lineRule="exact"/>
              <w:rPr>
                <w:sz w:val="20"/>
                <w:szCs w:val="20"/>
                <w:color w:val="auto"/>
              </w:rPr>
            </w:pPr>
            <w:r>
              <w:rPr>
                <w:rFonts w:ascii="Arial" w:cs="Arial" w:eastAsia="Arial" w:hAnsi="Arial"/>
                <w:sz w:val="18"/>
                <w:szCs w:val="18"/>
                <w:b w:val="1"/>
                <w:bCs w:val="1"/>
                <w:color w:val="auto"/>
              </w:rPr>
              <w:t>Estimated Q1 2026</w:t>
            </w:r>
            <w:r>
              <w:rPr>
                <w:rFonts w:ascii="Arial" w:cs="Arial" w:eastAsia="Arial" w:hAnsi="Arial"/>
                <w:sz w:val="23"/>
                <w:szCs w:val="23"/>
                <w:b w:val="1"/>
                <w:bCs w:val="1"/>
                <w:color w:val="auto"/>
                <w:vertAlign w:val="superscript"/>
              </w:rPr>
              <w:t>3</w:t>
            </w:r>
          </w:p>
        </w:tc>
      </w:tr>
      <w:tr>
        <w:trPr>
          <w:trHeight w:val="223"/>
        </w:trPr>
        <w:tc>
          <w:tcPr>
            <w:tcW w:w="5440" w:type="dxa"/>
            <w:vAlign w:val="bottom"/>
          </w:tcPr>
          <w:p>
            <w:pPr>
              <w:spacing w:after="0"/>
              <w:rPr>
                <w:sz w:val="19"/>
                <w:szCs w:val="19"/>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Current Guidance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rPr>
              <w:t>Previous Guidance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seat miles (vs. Q1 2025)</w:t>
            </w: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+3.0% to +4.0%</w:t>
            </w: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+3.0% to +5.0%</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Total revenue (vs. Q1 2025)</w:t>
            </w: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&gt; +10.0%</w:t>
            </w: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rPr>
              <w:t>~ +7.0% to +10.0%</w:t>
            </w:r>
          </w:p>
        </w:tc>
      </w:tr>
      <w:tr>
        <w:trPr>
          <w:trHeight w:val="229"/>
        </w:trPr>
        <w:tc>
          <w:tcPr>
            <w:tcW w:w="5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CASM-ex</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(vs. Q1 2025)</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 +4.0% to +5.0%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+3.0% to +5.0%</w:t>
            </w:r>
          </w:p>
        </w:tc>
      </w:tr>
      <w:tr>
        <w:trPr>
          <w:trHeight w:val="311"/>
        </w:trPr>
        <w:tc>
          <w:tcPr>
            <w:tcW w:w="5440" w:type="dxa"/>
            <w:vAlign w:val="bottom"/>
          </w:tcPr>
          <w:p>
            <w:pPr>
              <w:ind w:left="20"/>
              <w:spacing w:after="0"/>
              <w:rPr>
                <w:sz w:val="20"/>
                <w:szCs w:val="20"/>
                <w:color w:val="auto"/>
              </w:rPr>
            </w:pPr>
            <w:r>
              <w:rPr>
                <w:rFonts w:ascii="Arial" w:cs="Arial" w:eastAsia="Arial" w:hAnsi="Arial"/>
                <w:sz w:val="18"/>
                <w:szCs w:val="18"/>
                <w:color w:val="auto"/>
              </w:rPr>
              <w:t>Adjusted loss per diluted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($/share)</w:t>
            </w:r>
          </w:p>
        </w:tc>
        <w:tc>
          <w:tcPr>
            <w:tcW w:w="29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Lower end of guidance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 ($0.10) to ($0.50)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379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Excludes the pandemic recovery period.</w:t>
      </w:r>
    </w:p>
    <w:p>
      <w:pPr>
        <w:spacing w:after="0" w:line="90" w:lineRule="exact"/>
        <w:rPr>
          <w:sz w:val="20"/>
          <w:szCs w:val="20"/>
          <w:color w:val="auto"/>
        </w:rPr>
      </w:pPr>
    </w:p>
    <w:p>
      <w:pPr>
        <w:jc w:val="both"/>
        <w:ind w:hanging="2"/>
        <w:spacing w:after="0" w:line="259" w:lineRule="auto"/>
        <w:rPr>
          <w:sz w:val="20"/>
          <w:szCs w:val="20"/>
          <w:color w:val="auto"/>
        </w:rPr>
      </w:pPr>
      <w:r>
        <w:rPr>
          <w:rFonts w:ascii="Arial" w:cs="Arial" w:eastAsia="Arial" w:hAnsi="Arial"/>
          <w:sz w:val="18"/>
          <w:szCs w:val="18"/>
          <w:color w:val="auto"/>
        </w:rPr>
        <w:t>Adjusted loss per diluted share excludes net special items and is a non-GAAP measure. Adjusted loss per diluted share calculation assumes a diluted share count of ~661.2 million for Q1 2026. Shares outstanding are based upon several estimates and assumptions, including average per share stock price and stock award activity. The number of shares in actual calculations of loss per diluted share will likely differ from those set forth above. The guidance for adjusted loss per diluted share reflects an absolute number and is not a year-over-year comparison.</w:t>
      </w:r>
    </w:p>
    <w:p>
      <w:pPr>
        <w:spacing w:after="0" w:line="44" w:lineRule="exact"/>
        <w:rPr>
          <w:sz w:val="20"/>
          <w:szCs w:val="20"/>
          <w:color w:val="auto"/>
        </w:rPr>
      </w:pPr>
    </w:p>
    <w:p>
      <w:pPr>
        <w:jc w:val="both"/>
        <w:ind w:hanging="2"/>
        <w:spacing w:after="0" w:line="268" w:lineRule="auto"/>
        <w:rPr>
          <w:sz w:val="20"/>
          <w:szCs w:val="20"/>
          <w:color w:val="auto"/>
        </w:rPr>
      </w:pPr>
      <w:r>
        <w:rPr>
          <w:rFonts w:ascii="Arial" w:cs="Arial" w:eastAsia="Arial" w:hAnsi="Arial"/>
          <w:sz w:val="18"/>
          <w:szCs w:val="18"/>
          <w:color w:val="auto"/>
        </w:rPr>
        <w:t>Includes guidance on certain non-GAAP measures, which exclude, among other things, net special items. The Company is unable to reconcile certain forward-looking information to GAAP as the nature or amount of net special items cannot be determined at this time. Numbers may not recalculate due to rounding.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CASM-ex is cost per available seat mile (CASM) excluding fuel, profit sharing and net special items and is a non-GAAP measure.</w:t>
      </w:r>
    </w:p>
    <w:p>
      <w:pPr>
        <w:spacing w:after="0" w:line="171" w:lineRule="exact"/>
        <w:rPr>
          <w:sz w:val="20"/>
          <w:szCs w:val="20"/>
          <w:color w:val="auto"/>
        </w:rPr>
      </w:pPr>
    </w:p>
    <w:p>
      <w:pPr>
        <w:sectPr>
          <w:pgSz w:w="11900" w:h="16838" w:orient="portrait"/>
          <w:cols w:equalWidth="0" w:num="2">
            <w:col w:w="80" w:space="420"/>
            <w:col w:w="10740"/>
          </w:cols>
          <w:pgMar w:left="320" w:top="1012" w:right="339" w:bottom="1440" w:gutter="0" w:footer="0" w:header="0"/>
          <w:type w:val="continuous"/>
        </w:sectPr>
      </w:pPr>
    </w:p>
    <w:p>
      <w:pPr>
        <w:jc w:val="both"/>
        <w:spacing w:after="0" w:line="262"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 and Financial Guidance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sometimes uses financial measures that are derived from the condensed consolidated financial statements or otherwise provided in the form of guidance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price of fuel, over which the Company has no control, impacts the comparability of period-to-period financial performance. The Company excludes profit sharing because it allows investors to better understand and analyze its operating cost performance and provides a more meaningful comparison of our core operating costs to the airline industry. Additionally, net special items may vary from period-to-period in nature and amount. These adjustments to exclude fuel, profit sharing and net special items allow management an additional tool to understand and analyze the Company’s non-fuel costs and core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our inability to obtain sufficient financing or other capital to operate successfully; our high level of debt and other obligations; any deterioration of our financial condition, including if our financial condition worsens, provisions in our credit card processing and other commercial agreements may adversely affect our liquidity; any loss of key personnel, or our inability to attract, develop and retain additional qualified personnel; changing economic, geopolitical, commercial, regulatory and other conditions beyond our control, including any potential impact from the Credit Card Competition Act, if enacted, or any proposed cap on credit card interest rates, tariffs and other global events that affect travel behavior;; the intensely competitive and dynamic nature of the airline industry; union disputes, employee strikes and other labor-related disruptions; problems with any of our third-party regional operators or third-party service providers; any damage to our reputation or brand image; losses and adverse publicity stemming from any public incidents involving our company, our people or our brand; changes to our business model that may not be successful and may cause operational difficulties or decreased demand; our inability to protect our intellectual property rights, particularly our branding rights; litigation in the normal course of business or otherwise; any failure of technology and automated systems, including artificial intelligence, that we rely on to operate our business; evolving data privacy requirements, risks from cyberattacks and data privacy incidents, and compliance risks with regulations related therewith; any impairment of goodwill and intangible assets or long-lived assets; any inability of our commercial relationships with other companies to produce the returns or results we expect; our dependence on price and availability of aircraft fuel; extensive government regulation and compliance risks; any prolonged U.S. Government shutdown; economic and political instability outside of the U.S. where we have significant operations; ongoing security concerns due to conflicts, terrorist attacks or other acts of violence, domestically or abroad; climate change; environmental and social matters, and compliance risks with environmental, health and noise regulations; a shortage of pilots; our dependence on a limited number of suppliers for aircraft, aircraft engines and parts; any inability to effectively manage the costs, rights and functionality of third-party distribution channels; any inability to obtain and maintain adequate facilities and infrastructure throughout our system and, at some airports, adequate slots; interruptions or disruptions in service at one or more of our key facilities; increases in insurance costs or reductions in insurance coverage; heavy taxation in the airline industry; risks related to ownership of American Airlines Group Inc. common stock; our inability to use net operating losses and other carryforwards;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March 17,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2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March 17,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00"/>
      </w:cols>
      <w:pgMar w:left="320" w:top="8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82"/>
    </w:lvl>
  </w:abstractNum>
  <w:abstractNum w:abstractNumId="1">
    <w:nsid w:val="19495CFF"/>
    <w:multiLevelType w:val="hybridMultilevel"/>
    <w:lvl w:ilvl="0">
      <w:lvlJc w:val="left"/>
      <w:lvlText w:val="(%1)"/>
      <w:numFmt w:val="decimal"/>
      <w:start w:val="68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2026-03-17T07:05:40Z</dcterms:created>
  <dcterms:modified xsi:type="dcterms:W3CDTF">2026-03-17T07:05:40Z</dcterms:modified>
</cp:coreProperties>
</file>