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00" w:type="dxa"/>
            <w:vAlign w:val="bottom"/>
            <w:vMerge w:val="restart"/>
          </w:tcPr>
          <w:p>
            <w:pPr>
              <w:ind w:left="1080"/>
              <w:spacing w:after="0"/>
              <w:rPr>
                <w:sz w:val="20"/>
                <w:szCs w:val="20"/>
                <w:color w:val="auto"/>
              </w:rPr>
            </w:pPr>
            <w:r>
              <w:rPr>
                <w:rFonts w:ascii="Times New Roman" w:cs="Times New Roman" w:eastAsia="Times New Roman" w:hAnsi="Times New Roman"/>
                <w:sz w:val="17"/>
                <w:szCs w:val="17"/>
                <w:color w:val="0000FF"/>
              </w:rPr>
              <w:t>Vice Chair</w:t>
            </w: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02/17/2026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442,708</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2,129,884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24,449</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2,105,435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that vests over three years, with 16.67 percent of the grant vesting based on continued service through the first, second, and third anniversaries of the grant date, and 50 percent of the grant vesting in the event certain performance goals are achieved and there is continuous service through the third anniversary of the grant date. For the portion of the Restricted Stock Unit award that vests based on performance, the number of shares to be issued may vary between zero percent and two hundred percent of the number of Restricted Stock Units depending on relative and absolute performance, and no such shares will be issued if threshold performance is not achieved. The number of shares shown in the table assumes the performance-based portion of the Restricted Stock Unit award vests at one hundred percent.</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cover applicable withholding taxes related to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of securities beneficially owned reflects the forfeiture of performance-based restricted stock units previously reported in Table I</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02/19/2026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560"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2026-02-19T17:33:11Z</dcterms:created>
  <dcterms:modified xsi:type="dcterms:W3CDTF">2026-02-19T17:33:11Z</dcterms:modified>
</cp:coreProperties>
</file>