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74930</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7"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54610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5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2025</w:t>
      </w:r>
    </w:p>
    <w:p>
      <w:pPr>
        <w:spacing w:after="0" w:line="13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4"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132080</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60" w:type="dxa"/>
        <w:tblCellMar>
          <w:top w:w="0" w:type="dxa"/>
          <w:left w:w="0" w:type="dxa"/>
          <w:bottom w:w="0" w:type="dxa"/>
          <w:right w:w="0" w:type="dxa"/>
        </w:tblCellMar>
      </w:tblPr>
      <w:tr>
        <w:trPr>
          <w:trHeight w:val="221"/>
        </w:trPr>
        <w:tc>
          <w:tcPr>
            <w:tcW w:w="4840" w:type="dxa"/>
            <w:vAlign w:val="bottom"/>
          </w:tcPr>
          <w:p>
            <w:pPr>
              <w:jc w:val="center"/>
              <w:ind w:right="1043"/>
              <w:spacing w:after="0"/>
              <w:rPr>
                <w:sz w:val="20"/>
                <w:szCs w:val="20"/>
                <w:color w:val="auto"/>
              </w:rPr>
            </w:pPr>
            <w:r>
              <w:rPr>
                <w:rFonts w:ascii="Arial" w:cs="Arial" w:eastAsia="Arial" w:hAnsi="Arial"/>
                <w:sz w:val="16"/>
                <w:szCs w:val="16"/>
                <w:b w:val="1"/>
                <w:bCs w:val="1"/>
                <w:color w:val="auto"/>
              </w:rPr>
              <w:t>Delaware</w:t>
            </w:r>
          </w:p>
        </w:tc>
        <w:tc>
          <w:tcPr>
            <w:tcW w:w="2420" w:type="dxa"/>
            <w:vAlign w:val="bottom"/>
          </w:tcPr>
          <w:p>
            <w:pPr>
              <w:jc w:val="right"/>
              <w:ind w:right="604"/>
              <w:spacing w:after="0"/>
              <w:rPr>
                <w:sz w:val="20"/>
                <w:szCs w:val="20"/>
                <w:color w:val="auto"/>
              </w:rPr>
            </w:pPr>
            <w:r>
              <w:rPr>
                <w:rFonts w:ascii="Arial" w:cs="Arial" w:eastAsia="Arial" w:hAnsi="Arial"/>
                <w:sz w:val="16"/>
                <w:szCs w:val="16"/>
                <w:b w:val="1"/>
                <w:bCs w:val="1"/>
                <w:color w:val="auto"/>
              </w:rPr>
              <w:t>75-1825172</w:t>
            </w:r>
          </w:p>
        </w:tc>
      </w:tr>
      <w:tr>
        <w:trPr>
          <w:trHeight w:val="190"/>
        </w:trPr>
        <w:tc>
          <w:tcPr>
            <w:tcW w:w="4840" w:type="dxa"/>
            <w:vAlign w:val="bottom"/>
          </w:tcPr>
          <w:p>
            <w:pPr>
              <w:jc w:val="center"/>
              <w:ind w:right="1043"/>
              <w:spacing w:after="0"/>
              <w:rPr>
                <w:sz w:val="20"/>
                <w:szCs w:val="20"/>
                <w:color w:val="auto"/>
              </w:rPr>
            </w:pPr>
            <w:r>
              <w:rPr>
                <w:rFonts w:ascii="Arial" w:cs="Arial" w:eastAsia="Arial" w:hAnsi="Arial"/>
                <w:sz w:val="14"/>
                <w:szCs w:val="14"/>
                <w:color w:val="auto"/>
              </w:rPr>
              <w:t>(State or other jurisdiction of incorporation or organization)</w:t>
            </w:r>
          </w:p>
        </w:tc>
        <w:tc>
          <w:tcPr>
            <w:tcW w:w="2420" w:type="dxa"/>
            <w:vAlign w:val="bottom"/>
          </w:tcPr>
          <w:p>
            <w:pPr>
              <w:jc w:val="center"/>
              <w:ind w:left="12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840" w:type="dxa"/>
            <w:vAlign w:val="bottom"/>
          </w:tcPr>
          <w:p>
            <w:pPr>
              <w:jc w:val="right"/>
              <w:ind w:right="1503"/>
              <w:spacing w:after="0"/>
              <w:rPr>
                <w:sz w:val="20"/>
                <w:szCs w:val="20"/>
                <w:color w:val="auto"/>
              </w:rPr>
            </w:pPr>
            <w:r>
              <w:rPr>
                <w:rFonts w:ascii="Arial" w:cs="Arial" w:eastAsia="Arial" w:hAnsi="Arial"/>
                <w:sz w:val="16"/>
                <w:szCs w:val="16"/>
                <w:b w:val="1"/>
                <w:bCs w:val="1"/>
                <w:color w:val="auto"/>
              </w:rPr>
              <w:t>1 Skyview Drive, Fort Worth,  Texas</w:t>
            </w:r>
          </w:p>
        </w:tc>
        <w:tc>
          <w:tcPr>
            <w:tcW w:w="2420" w:type="dxa"/>
            <w:vAlign w:val="bottom"/>
          </w:tcPr>
          <w:p>
            <w:pPr>
              <w:jc w:val="right"/>
              <w:ind w:right="804"/>
              <w:spacing w:after="0"/>
              <w:rPr>
                <w:sz w:val="20"/>
                <w:szCs w:val="20"/>
                <w:color w:val="auto"/>
              </w:rPr>
            </w:pPr>
            <w:r>
              <w:rPr>
                <w:rFonts w:ascii="Arial" w:cs="Arial" w:eastAsia="Arial" w:hAnsi="Arial"/>
                <w:sz w:val="16"/>
                <w:szCs w:val="16"/>
                <w:b w:val="1"/>
                <w:bCs w:val="1"/>
                <w:color w:val="auto"/>
              </w:rPr>
              <w:t>76155</w:t>
            </w:r>
          </w:p>
        </w:tc>
      </w:tr>
      <w:tr>
        <w:trPr>
          <w:trHeight w:val="190"/>
        </w:trPr>
        <w:tc>
          <w:tcPr>
            <w:tcW w:w="4840" w:type="dxa"/>
            <w:vAlign w:val="bottom"/>
          </w:tcPr>
          <w:p>
            <w:pPr>
              <w:jc w:val="center"/>
              <w:ind w:right="1063"/>
              <w:spacing w:after="0"/>
              <w:rPr>
                <w:sz w:val="20"/>
                <w:szCs w:val="20"/>
                <w:color w:val="auto"/>
              </w:rPr>
            </w:pPr>
            <w:r>
              <w:rPr>
                <w:rFonts w:ascii="Arial" w:cs="Arial" w:eastAsia="Arial" w:hAnsi="Arial"/>
                <w:sz w:val="14"/>
                <w:szCs w:val="14"/>
                <w:color w:val="auto"/>
              </w:rPr>
              <w:t>(Address of principal executive offices)</w:t>
            </w:r>
          </w:p>
        </w:tc>
        <w:tc>
          <w:tcPr>
            <w:tcW w:w="2420" w:type="dxa"/>
            <w:vAlign w:val="bottom"/>
          </w:tcPr>
          <w:p>
            <w:pPr>
              <w:jc w:val="center"/>
              <w:ind w:left="144"/>
              <w:spacing w:after="0"/>
              <w:rPr>
                <w:sz w:val="20"/>
                <w:szCs w:val="20"/>
                <w:color w:val="auto"/>
              </w:rPr>
            </w:pPr>
            <w:r>
              <w:rPr>
                <w:rFonts w:ascii="Arial" w:cs="Arial" w:eastAsia="Arial" w:hAnsi="Arial"/>
                <w:sz w:val="14"/>
                <w:szCs w:val="14"/>
                <w:color w:val="auto"/>
              </w:rPr>
              <w:t>(Zip Code)</w:t>
            </w:r>
          </w:p>
        </w:tc>
      </w:tr>
      <w:tr>
        <w:trPr>
          <w:trHeight w:val="352"/>
        </w:trPr>
        <w:tc>
          <w:tcPr>
            <w:tcW w:w="4840" w:type="dxa"/>
            <w:vAlign w:val="bottom"/>
          </w:tcPr>
          <w:p>
            <w:pPr>
              <w:jc w:val="right"/>
              <w:ind w:right="123"/>
              <w:spacing w:after="0"/>
              <w:rPr>
                <w:sz w:val="20"/>
                <w:szCs w:val="20"/>
                <w:color w:val="auto"/>
              </w:rPr>
            </w:pPr>
            <w:r>
              <w:rPr>
                <w:rFonts w:ascii="Arial" w:cs="Arial" w:eastAsia="Arial" w:hAnsi="Arial"/>
                <w:sz w:val="16"/>
                <w:szCs w:val="16"/>
                <w:b w:val="1"/>
                <w:bCs w:val="1"/>
                <w:color w:val="auto"/>
              </w:rPr>
              <w:t>(682) 278-9000</w:t>
            </w:r>
          </w:p>
        </w:tc>
        <w:tc>
          <w:tcPr>
            <w:tcW w:w="242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132080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00" w:type="dxa"/>
        <w:tblCellMar>
          <w:top w:w="0" w:type="dxa"/>
          <w:left w:w="0" w:type="dxa"/>
          <w:bottom w:w="0" w:type="dxa"/>
          <w:right w:w="0" w:type="dxa"/>
        </w:tblCellMar>
      </w:tblPr>
      <w:tr>
        <w:trPr>
          <w:trHeight w:val="221"/>
        </w:trPr>
        <w:tc>
          <w:tcPr>
            <w:tcW w:w="4460" w:type="dxa"/>
            <w:vAlign w:val="bottom"/>
          </w:tcPr>
          <w:p>
            <w:pPr>
              <w:jc w:val="center"/>
              <w:ind w:right="664"/>
              <w:spacing w:after="0"/>
              <w:rPr>
                <w:sz w:val="20"/>
                <w:szCs w:val="20"/>
                <w:color w:val="auto"/>
              </w:rPr>
            </w:pPr>
            <w:r>
              <w:rPr>
                <w:rFonts w:ascii="Arial" w:cs="Arial" w:eastAsia="Arial" w:hAnsi="Arial"/>
                <w:sz w:val="16"/>
                <w:szCs w:val="16"/>
                <w:b w:val="1"/>
                <w:bCs w:val="1"/>
                <w:color w:val="auto"/>
              </w:rPr>
              <w:t>Delaware</w:t>
            </w:r>
          </w:p>
        </w:tc>
        <w:tc>
          <w:tcPr>
            <w:tcW w:w="2960" w:type="dxa"/>
            <w:vAlign w:val="bottom"/>
          </w:tcPr>
          <w:p>
            <w:pPr>
              <w:jc w:val="right"/>
              <w:ind w:right="604"/>
              <w:spacing w:after="0"/>
              <w:rPr>
                <w:sz w:val="20"/>
                <w:szCs w:val="20"/>
                <w:color w:val="auto"/>
              </w:rPr>
            </w:pPr>
            <w:r>
              <w:rPr>
                <w:rFonts w:ascii="Arial" w:cs="Arial" w:eastAsia="Arial" w:hAnsi="Arial"/>
                <w:sz w:val="16"/>
                <w:szCs w:val="16"/>
                <w:b w:val="1"/>
                <w:bCs w:val="1"/>
                <w:color w:val="auto"/>
              </w:rPr>
              <w:t>13-1502798</w:t>
            </w:r>
          </w:p>
        </w:tc>
      </w:tr>
      <w:tr>
        <w:trPr>
          <w:trHeight w:val="190"/>
        </w:trPr>
        <w:tc>
          <w:tcPr>
            <w:tcW w:w="4460" w:type="dxa"/>
            <w:vAlign w:val="bottom"/>
          </w:tcPr>
          <w:p>
            <w:pPr>
              <w:jc w:val="center"/>
              <w:ind w:right="664"/>
              <w:spacing w:after="0"/>
              <w:rPr>
                <w:sz w:val="20"/>
                <w:szCs w:val="20"/>
                <w:color w:val="auto"/>
              </w:rPr>
            </w:pPr>
            <w:r>
              <w:rPr>
                <w:rFonts w:ascii="Arial" w:cs="Arial" w:eastAsia="Arial" w:hAnsi="Arial"/>
                <w:sz w:val="14"/>
                <w:szCs w:val="14"/>
                <w:color w:val="auto"/>
              </w:rPr>
              <w:t>(State or other jurisdiction of incorporation or organization)</w:t>
            </w:r>
          </w:p>
        </w:tc>
        <w:tc>
          <w:tcPr>
            <w:tcW w:w="2960" w:type="dxa"/>
            <w:vAlign w:val="bottom"/>
          </w:tcPr>
          <w:p>
            <w:pPr>
              <w:jc w:val="center"/>
              <w:ind w:left="66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460" w:type="dxa"/>
            <w:vAlign w:val="bottom"/>
          </w:tcPr>
          <w:p>
            <w:pPr>
              <w:ind w:left="620"/>
              <w:spacing w:after="0"/>
              <w:rPr>
                <w:sz w:val="20"/>
                <w:szCs w:val="20"/>
                <w:color w:val="auto"/>
              </w:rPr>
            </w:pPr>
            <w:r>
              <w:rPr>
                <w:rFonts w:ascii="Arial" w:cs="Arial" w:eastAsia="Arial" w:hAnsi="Arial"/>
                <w:sz w:val="16"/>
                <w:szCs w:val="16"/>
                <w:b w:val="1"/>
                <w:bCs w:val="1"/>
                <w:color w:val="auto"/>
              </w:rPr>
              <w:t>1 Skyview Drive, Fort Worth,  Texas</w:t>
            </w:r>
          </w:p>
        </w:tc>
        <w:tc>
          <w:tcPr>
            <w:tcW w:w="2960" w:type="dxa"/>
            <w:vAlign w:val="bottom"/>
          </w:tcPr>
          <w:p>
            <w:pPr>
              <w:jc w:val="right"/>
              <w:ind w:right="804"/>
              <w:spacing w:after="0"/>
              <w:rPr>
                <w:sz w:val="20"/>
                <w:szCs w:val="20"/>
                <w:color w:val="auto"/>
              </w:rPr>
            </w:pPr>
            <w:r>
              <w:rPr>
                <w:rFonts w:ascii="Arial" w:cs="Arial" w:eastAsia="Arial" w:hAnsi="Arial"/>
                <w:sz w:val="16"/>
                <w:szCs w:val="16"/>
                <w:b w:val="1"/>
                <w:bCs w:val="1"/>
                <w:color w:val="auto"/>
              </w:rPr>
              <w:t>76155</w:t>
            </w:r>
          </w:p>
        </w:tc>
      </w:tr>
      <w:tr>
        <w:trPr>
          <w:trHeight w:val="190"/>
        </w:trPr>
        <w:tc>
          <w:tcPr>
            <w:tcW w:w="4460" w:type="dxa"/>
            <w:vAlign w:val="bottom"/>
          </w:tcPr>
          <w:p>
            <w:pPr>
              <w:jc w:val="center"/>
              <w:ind w:right="684"/>
              <w:spacing w:after="0"/>
              <w:rPr>
                <w:sz w:val="20"/>
                <w:szCs w:val="20"/>
                <w:color w:val="auto"/>
              </w:rPr>
            </w:pPr>
            <w:r>
              <w:rPr>
                <w:rFonts w:ascii="Arial" w:cs="Arial" w:eastAsia="Arial" w:hAnsi="Arial"/>
                <w:sz w:val="14"/>
                <w:szCs w:val="14"/>
                <w:color w:val="auto"/>
              </w:rPr>
              <w:t>(Address of principal executive offices)</w:t>
            </w:r>
          </w:p>
        </w:tc>
        <w:tc>
          <w:tcPr>
            <w:tcW w:w="2960" w:type="dxa"/>
            <w:vAlign w:val="bottom"/>
          </w:tcPr>
          <w:p>
            <w:pPr>
              <w:jc w:val="center"/>
              <w:ind w:left="684"/>
              <w:spacing w:after="0"/>
              <w:rPr>
                <w:sz w:val="20"/>
                <w:szCs w:val="20"/>
                <w:color w:val="auto"/>
              </w:rPr>
            </w:pPr>
            <w:r>
              <w:rPr>
                <w:rFonts w:ascii="Arial" w:cs="Arial" w:eastAsia="Arial" w:hAnsi="Arial"/>
                <w:sz w:val="14"/>
                <w:szCs w:val="14"/>
                <w:color w:val="auto"/>
              </w:rPr>
              <w:t>(Zip Code)</w:t>
            </w:r>
          </w:p>
        </w:tc>
      </w:tr>
    </w:tbl>
    <w:p>
      <w:pPr>
        <w:spacing w:after="0" w:line="12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(682) 278-9000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6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466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w w:val="9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99"/>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w w:val="97"/>
              </w:rPr>
              <w:t>AAL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r>
        <w:trPr>
          <w:trHeight w:val="143"/>
        </w:trPr>
        <w:tc>
          <w:tcPr>
            <w:tcW w:w="4660" w:type="dxa"/>
            <w:vAlign w:val="bottom"/>
            <w:gridSpan w:val="3"/>
            <w:vMerge w:val="restart"/>
          </w:tcPr>
          <w:p>
            <w:pPr>
              <w:jc w:val="center"/>
              <w:ind w:right="800"/>
              <w:spacing w:after="0"/>
              <w:rPr>
                <w:sz w:val="20"/>
                <w:szCs w:val="20"/>
                <w:color w:val="auto"/>
              </w:rPr>
            </w:pPr>
            <w:r>
              <w:rPr>
                <w:rFonts w:ascii="Arial" w:cs="Arial" w:eastAsia="Arial" w:hAnsi="Arial"/>
                <w:sz w:val="16"/>
                <w:szCs w:val="16"/>
                <w:b w:val="1"/>
                <w:bCs w:val="1"/>
                <w:color w:val="auto"/>
              </w:rPr>
              <w:t>Preferred Stock Purchase Rights</w:t>
            </w:r>
          </w:p>
        </w:tc>
        <w:tc>
          <w:tcPr>
            <w:tcW w:w="2980" w:type="dxa"/>
            <w:vAlign w:val="bottom"/>
            <w:gridSpan w:val="2"/>
            <w:vMerge w:val="restart"/>
          </w:tcPr>
          <w:p>
            <w:pPr>
              <w:jc w:val="center"/>
              <w:ind w:right="780"/>
              <w:spacing w:after="0"/>
              <w:rPr>
                <w:sz w:val="20"/>
                <w:szCs w:val="20"/>
                <w:color w:val="auto"/>
              </w:rPr>
            </w:pPr>
            <w:r>
              <w:rPr>
                <w:rFonts w:ascii="Arial" w:cs="Arial" w:eastAsia="Arial" w:hAnsi="Arial"/>
                <w:sz w:val="16"/>
                <w:szCs w:val="16"/>
                <w:color w:val="auto"/>
                <w:w w:val="99"/>
              </w:rPr>
              <w:t>—</w:t>
            </w: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90"/>
        </w:trPr>
        <w:tc>
          <w:tcPr>
            <w:tcW w:w="4660" w:type="dxa"/>
            <w:vAlign w:val="bottom"/>
            <w:gridSpan w:val="3"/>
            <w:vMerge w:val="continue"/>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156" w:lineRule="exact"/>
        <w:rPr>
          <w:sz w:val="24"/>
          <w:szCs w:val="24"/>
          <w:color w:val="auto"/>
        </w:rPr>
      </w:pPr>
    </w:p>
    <w:p>
      <w:pPr>
        <w:jc w:val="both"/>
        <w:ind w:firstLine="162"/>
        <w:spacing w:after="0" w:line="27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63" w:lineRule="exact"/>
        <w:rPr>
          <w:sz w:val="24"/>
          <w:szCs w:val="24"/>
          <w:color w:val="auto"/>
        </w:rPr>
      </w:pPr>
    </w:p>
    <w:p>
      <w:pPr>
        <w:jc w:val="both"/>
        <w:ind w:firstLine="162"/>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49"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97" w:right="339" w:bottom="0" w:gutter="0" w:footer="0" w:header="0"/>
        </w:sectPr>
      </w:pPr>
    </w:p>
    <w:p>
      <w:pPr>
        <w:spacing w:after="0" w:line="174" w:lineRule="exact"/>
        <w:rPr>
          <w:sz w:val="24"/>
          <w:szCs w:val="24"/>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92" w:lineRule="exact"/>
        <w:rPr>
          <w:sz w:val="24"/>
          <w:szCs w:val="24"/>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4"/>
          <w:szCs w:val="24"/>
          <w:color w:val="auto"/>
        </w:rPr>
      </w:pPr>
      <w:r>
        <w:rPr>
          <w:sz w:val="24"/>
          <w:szCs w:val="24"/>
          <w:color w:val="auto"/>
        </w:rPr>
        <w:br w:type="column"/>
      </w:r>
    </w:p>
    <w:p>
      <w:pPr>
        <w:spacing w:after="0" w:line="384" w:lineRule="exact"/>
        <w:tabs>
          <w:tab w:leader="none" w:pos="260" w:val="left"/>
          <w:tab w:leader="none" w:pos="18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62" w:lineRule="exact"/>
        <w:tabs>
          <w:tab w:leader="none" w:pos="260" w:val="left"/>
          <w:tab w:leader="none" w:pos="18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84"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62" w:lineRule="exact"/>
        <w:tabs>
          <w:tab w:leader="none" w:pos="260" w:val="left"/>
          <w:tab w:leader="none" w:pos="17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3">
            <w:col w:w="1620" w:space="320"/>
            <w:col w:w="3020" w:space="280"/>
            <w:col w:w="6000"/>
          </w:cols>
          <w:pgMar w:left="320" w:top="1097" w:right="339" w:bottom="0" w:gutter="0" w:footer="0" w:header="0"/>
          <w:type w:val="continuous"/>
        </w:sectPr>
      </w:pPr>
    </w:p>
    <w:p>
      <w:pPr>
        <w:spacing w:after="0" w:line="258" w:lineRule="exact"/>
        <w:rPr>
          <w:sz w:val="24"/>
          <w:szCs w:val="24"/>
          <w:color w:val="auto"/>
        </w:rPr>
      </w:pPr>
    </w:p>
    <w:p>
      <w:pPr>
        <w:ind w:right="20" w:firstLine="162"/>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100"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1097" w:right="339" w:bottom="0" w:gutter="0" w:footer="0" w:header="0"/>
          <w:type w:val="continuous"/>
        </w:sectPr>
      </w:pPr>
    </w:p>
    <w:bookmarkStart w:id="1" w:name="page2"/>
    <w:bookmarkEnd w:id="1"/>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40"/>
          </w:cols>
          <w:pgMar w:left="320" w:top="125" w:right="339" w:bottom="1440" w:gutter="0" w:footer="0" w:header="0"/>
        </w:sect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American Airlines Group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211" w:lineRule="exact"/>
        <w:rPr>
          <w:sz w:val="20"/>
          <w:szCs w:val="20"/>
          <w:color w:val="auto"/>
        </w:rPr>
      </w:pPr>
    </w:p>
    <w:p>
      <w:pPr>
        <w:sectPr>
          <w:pgSz w:w="11900" w:h="16838" w:orient="portrait"/>
          <w:cols w:equalWidth="0" w:num="5">
            <w:col w:w="8600" w:space="720"/>
            <w:col w:w="140" w:space="440"/>
            <w:col w:w="260" w:space="200"/>
            <w:col w:w="160" w:space="500"/>
            <w:col w:w="220"/>
          </w:cols>
          <w:pgMar w:left="320" w:top="125" w:right="339" w:bottom="1440" w:gutter="0" w:footer="0" w:header="0"/>
          <w:type w:val="continuous"/>
        </w:sectPr>
      </w:pP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of October 17, 2025, there were 660,086,495 shares of American Airlines Group Inc. common stock outstanding.</w:t>
      </w:r>
    </w:p>
    <w:p>
      <w:pPr>
        <w:spacing w:after="0" w:line="167" w:lineRule="exact"/>
        <w:rPr>
          <w:sz w:val="20"/>
          <w:szCs w:val="20"/>
          <w:color w:val="auto"/>
        </w:rPr>
      </w:pPr>
    </w:p>
    <w:p>
      <w:pPr>
        <w:ind w:firstLine="162"/>
        <w:spacing w:after="0" w:line="304" w:lineRule="auto"/>
        <w:rPr>
          <w:sz w:val="20"/>
          <w:szCs w:val="20"/>
          <w:color w:val="auto"/>
        </w:rPr>
      </w:pPr>
      <w:r>
        <w:rPr>
          <w:rFonts w:ascii="Arial" w:cs="Arial" w:eastAsia="Arial" w:hAnsi="Arial"/>
          <w:sz w:val="16"/>
          <w:szCs w:val="16"/>
          <w:color w:val="auto"/>
        </w:rPr>
        <w:t>As of October 17, 2025,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September 30, 2025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1"/>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 FINANCIAL INFORMATION</w:t>
            </w: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1"/>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6300" w:type="dxa"/>
            <w:vAlign w:val="bottom"/>
            <w:gridSpan w:val="14"/>
          </w:tcPr>
          <w:p>
            <w:pPr>
              <w:spacing w:after="0" w:line="195" w:lineRule="exact"/>
              <w:rPr>
                <w:sz w:val="20"/>
                <w:szCs w:val="20"/>
                <w:color w:val="auto"/>
              </w:rPr>
            </w:pPr>
            <w:r>
              <w:rPr>
                <w:rFonts w:ascii="Arial" w:cs="Arial" w:eastAsia="Arial" w:hAnsi="Arial"/>
                <w:sz w:val="18"/>
                <w:szCs w:val="18"/>
                <w:color w:val="0000FF"/>
                <w:w w:val="99"/>
              </w:rPr>
              <w:t>Condensed Consolidated Financial Statements of American Airlines Group Inc.</w:t>
            </w:r>
          </w:p>
        </w:tc>
        <w:tc>
          <w:tcPr>
            <w:tcW w:w="2700" w:type="dxa"/>
            <w:vAlign w:val="bottom"/>
            <w:gridSpan w:val="2"/>
          </w:tcPr>
          <w:p>
            <w:pPr>
              <w:spacing w:after="0"/>
              <w:rPr>
                <w:sz w:val="16"/>
                <w:szCs w:val="16"/>
                <w:color w:val="auto"/>
              </w:rPr>
            </w:pPr>
          </w:p>
        </w:tc>
        <w:tc>
          <w:tcPr>
            <w:tcW w:w="480" w:type="dxa"/>
            <w:vAlign w:val="bottom"/>
            <w:gridSpan w:val="2"/>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180" w:type="dxa"/>
            <w:vAlign w:val="bottom"/>
            <w:gridSpan w:val="7"/>
          </w:tcPr>
          <w:p>
            <w:pPr>
              <w:spacing w:after="0"/>
              <w:rPr>
                <w:sz w:val="18"/>
                <w:szCs w:val="18"/>
                <w:color w:val="auto"/>
              </w:rPr>
            </w:pPr>
          </w:p>
        </w:tc>
        <w:tc>
          <w:tcPr>
            <w:tcW w:w="27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2340" w:type="dxa"/>
            <w:vAlign w:val="bottom"/>
            <w:gridSpan w:val="6"/>
          </w:tcPr>
          <w:p>
            <w:pPr>
              <w:spacing w:after="0"/>
              <w:rPr>
                <w:sz w:val="18"/>
                <w:szCs w:val="18"/>
                <w:color w:val="auto"/>
              </w:rPr>
            </w:pPr>
          </w:p>
        </w:tc>
        <w:tc>
          <w:tcPr>
            <w:tcW w:w="3320" w:type="dxa"/>
            <w:vAlign w:val="bottom"/>
            <w:gridSpan w:val="4"/>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8"/>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Stockholders’ Deficit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6"/>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800" w:type="dxa"/>
            <w:vAlign w:val="bottom"/>
            <w:gridSpan w:val="13"/>
          </w:tcPr>
          <w:p>
            <w:pPr>
              <w:spacing w:after="0"/>
              <w:rPr>
                <w:sz w:val="20"/>
                <w:szCs w:val="20"/>
                <w:color w:val="auto"/>
              </w:rPr>
            </w:pPr>
            <w:r>
              <w:rPr>
                <w:rFonts w:ascii="Arial" w:cs="Arial" w:eastAsia="Arial" w:hAnsi="Arial"/>
                <w:sz w:val="18"/>
                <w:szCs w:val="18"/>
                <w:color w:val="0000FF"/>
                <w:w w:val="99"/>
              </w:rPr>
              <w:t>Condensed Consolidated Financial Statements of American Airlines, Inc.</w:t>
            </w:r>
          </w:p>
        </w:tc>
        <w:tc>
          <w:tcPr>
            <w:tcW w:w="3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1680" w:type="dxa"/>
            <w:vAlign w:val="bottom"/>
            <w:gridSpan w:val="6"/>
          </w:tcPr>
          <w:p>
            <w:pPr>
              <w:spacing w:after="0"/>
              <w:rPr>
                <w:sz w:val="18"/>
                <w:szCs w:val="18"/>
                <w:color w:val="auto"/>
              </w:rPr>
            </w:pPr>
          </w:p>
        </w:tc>
        <w:tc>
          <w:tcPr>
            <w:tcW w:w="3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2340" w:type="dxa"/>
            <w:vAlign w:val="bottom"/>
            <w:gridSpan w:val="6"/>
          </w:tcPr>
          <w:p>
            <w:pPr>
              <w:spacing w:after="0"/>
              <w:rPr>
                <w:sz w:val="18"/>
                <w:szCs w:val="18"/>
                <w:color w:val="auto"/>
              </w:rPr>
            </w:pPr>
          </w:p>
        </w:tc>
        <w:tc>
          <w:tcPr>
            <w:tcW w:w="332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8"/>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412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60" w:type="dxa"/>
            <w:vAlign w:val="bottom"/>
            <w:gridSpan w:val="2"/>
          </w:tcPr>
          <w:p>
            <w:pPr>
              <w:spacing w:after="0"/>
              <w:rPr>
                <w:sz w:val="18"/>
                <w:szCs w:val="18"/>
                <w:color w:val="auto"/>
              </w:rPr>
            </w:pPr>
          </w:p>
        </w:tc>
        <w:tc>
          <w:tcPr>
            <w:tcW w:w="412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360" w:type="dxa"/>
            <w:vAlign w:val="bottom"/>
            <w:tcBorders>
              <w:left w:val="single" w:sz="8" w:color="0000FF"/>
            </w:tcBorders>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9"/>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6"/>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4280" w:type="dxa"/>
            <w:vAlign w:val="bottom"/>
            <w:gridSpan w:val="7"/>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62</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7000" w:type="dxa"/>
            <w:vAlign w:val="bottom"/>
            <w:gridSpan w:val="11"/>
          </w:tcPr>
          <w:p>
            <w:pPr>
              <w:jc w:val="center"/>
              <w:ind w:right="3040"/>
              <w:spacing w:after="0"/>
              <w:rPr>
                <w:sz w:val="20"/>
                <w:szCs w:val="20"/>
                <w:color w:val="auto"/>
              </w:rPr>
            </w:pPr>
            <w:r>
              <w:rPr>
                <w:rFonts w:ascii="Arial" w:cs="Arial" w:eastAsia="Arial" w:hAnsi="Arial"/>
                <w:sz w:val="18"/>
                <w:szCs w:val="18"/>
                <w:b w:val="1"/>
                <w:bCs w:val="1"/>
                <w:color w:val="auto"/>
                <w:w w:val="99"/>
              </w:rPr>
              <w:t>PART II: OTHER INFORMATION</w:t>
            </w:r>
          </w:p>
        </w:tc>
        <w:tc>
          <w:tcPr>
            <w:tcW w:w="4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7500" w:type="dxa"/>
            <w:vAlign w:val="bottom"/>
            <w:gridSpan w:val="12"/>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79"/>
              </w:rPr>
              <w:t>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50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7600" w:type="dxa"/>
            <w:vAlign w:val="bottom"/>
            <w:gridSpan w:val="1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65</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 Capitalized terms used but not defined herein shall have the meanings given to them in our annual report on Form 10-K for the year ended December 31, 2024 (2024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w:t>
      </w:r>
    </w:p>
    <w:p>
      <w:pPr>
        <w:spacing w:after="0" w:line="12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downturns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obtain sufficient financing or other capital to operate successfully;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high level of debt and other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pension and other postretirement benefit funding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deterioration of our financial condition;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loss of key personnel, or our inability to attract, develop and retain additional qualified personnel;</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economic, geopolitical, commercial, regulatory and other conditions beyond our control, including the recently announced tariffs and other global events that affect travel behavior;</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regarding federal governmental tariffs, the implementation of federal government budget cuts, a prolonged government shutdown and the potential that any of the foregoing disrupts our operations, and affects the demand for, or restricts the use of, travel by government employees and their families or private sector enterprises that contract or otherwise interface with the federal government;</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intensely competitive and dynamic nature of the airline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union disputes, employee strikes and other labor-related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problems with any of our third-party regional operators or third-party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damage to our reputation or brand image;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and adverse publicity stemming from any public incidents involving our company, our people or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our business model that may not be successful and may cause operational difficulties or decreased demand;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 particularly our branding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 the normal course of business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use net operating losses and other carryforwards;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new U.S. and international tax legislation;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impairment of goodwill and intangible assets or long-lived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inability of our commercial relationships with other companies to produce the returns or results we expect;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price and availability of aircraft fuel;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extensive government regulation and compliance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political instability outside of the U.S. where we have significant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security concerns due to conflicts, terrorist attacks or other acts of violence, domestically or abroad;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social matters, and compliance risks with environmental, health and noise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shortage of pilots;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suppliers for aircraft, aircraft engines and parts;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failure of technology and automated systems, including artificial intelligence, that we rely on to operate our business;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evolving data privacy requirements, risks from cyberattacks and data privacy incidents, and compliance risks with regulations related therewith;</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inability to effectively manage the costs, rights and functionality of third-party distribution channels;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inability to obtain and maintain adequate facilities and infrastructure throughout our system and, at some airports, adequate slots;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interruptions or disruptions in service at one or more of our key facilities;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insurance costs or reductions in insurance coverage;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heavy taxation in the airline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ownership of AAG common stock; and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risks as described in Part I, Item 1A. Risk Factors in our 2024 Form 10-K, Part I, Item 2. Management’s Discussion and Analysis of Financial Condition and Results of Operations and Part II, Item 1A. Risk Factors of this report and other risks and uncertainties listed from time to time in our filings with the Securities and Exchange Commission (the SEC).</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9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12,523</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36,985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37,184</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40,551</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11,917</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2,823</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660,358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657,424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659,788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656,745</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-4902835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9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0"/>
        </w:trPr>
        <w:tc>
          <w:tcPr>
            <w:tcW w:w="5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6,180</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2,006</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2,638</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794</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13,154</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44,994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43,521</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10,366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10,202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850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1,012</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56,210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54,735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(24,752)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(23,608)</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31,458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31,127</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7,333</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$847 and $841, respectively</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2,044</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2,485</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1,549</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9,938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10,169</w:t>
            </w:r>
          </w:p>
        </w:tc>
      </w:tr>
      <w:tr>
        <w:trPr>
          <w:trHeight w:val="196"/>
        </w:trPr>
        <w:tc>
          <w:tcPr>
            <w:tcW w:w="758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62,141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61,783</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0"/>
        </w:trPr>
        <w:tc>
          <w:tcPr>
            <w:tcW w:w="75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 (DEFICIT)</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5,322</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2,833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2,455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8,092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6,759</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3,556</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1,143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1,092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2,961</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24,638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24,295</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25,113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25,154</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 and postretirement benefits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2,128</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6,815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6,498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5,976</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1,709</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noncurrent 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41,465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41,465</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49"/>
        </w:trPr>
        <w:tc>
          <w:tcPr>
            <w:tcW w:w="7580" w:type="dxa"/>
            <w:vAlign w:val="bottom"/>
          </w:tcPr>
          <w:p>
            <w:pPr>
              <w:ind w:left="360"/>
              <w:spacing w:after="0" w:line="149" w:lineRule="exact"/>
              <w:rPr>
                <w:sz w:val="20"/>
                <w:szCs w:val="20"/>
                <w:color w:val="auto"/>
              </w:rPr>
            </w:pPr>
            <w:r>
              <w:rPr>
                <w:rFonts w:ascii="Arial" w:cs="Arial" w:eastAsia="Arial" w:hAnsi="Arial"/>
                <w:sz w:val="15"/>
                <w:szCs w:val="15"/>
                <w:color w:val="auto"/>
              </w:rPr>
              <w:t>Common stock, $0.01 par value; 1,750,000,000 shares authorized, 660,064,930 shares issued and</w:t>
            </w: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5"/>
                <w:szCs w:val="15"/>
                <w:color w:val="auto"/>
              </w:rPr>
              <w:t>outstanding at September 30, 2025; 657,566,166 shares issued and outstanding at December 31, 2024</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6"/>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(4,515)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(4,565)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Retained deficit</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(6,831)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(6,843)</w:t>
            </w:r>
          </w:p>
        </w:tc>
      </w:tr>
      <w:tr>
        <w:trPr>
          <w:trHeight w:val="195"/>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stockholders’ deficit</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(3,977)</w:t>
            </w:r>
          </w:p>
        </w:tc>
      </w:tr>
      <w:tr>
        <w:trPr>
          <w:trHeight w:val="222"/>
        </w:trPr>
        <w:tc>
          <w:tcPr>
            <w:tcW w:w="75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62,141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61,783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 and sale of property and equipment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(6,528)</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restricted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r>
      <w:tr>
        <w:trPr>
          <w:trHeight w:val="248"/>
        </w:trPr>
        <w:tc>
          <w:tcPr>
            <w:tcW w:w="77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 and other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Operating leases converted to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39"/>
        </w:trPr>
        <w:tc>
          <w:tcPr>
            <w:tcW w:w="776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rPr>
              <w:t>Settlement of PSP1 and Treasury Loan Warrants</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Arial" w:cs="Arial" w:eastAsia="Arial" w:hAnsi="Arial"/>
                <w:sz w:val="18"/>
                <w:szCs w:val="18"/>
                <w:color w:val="auto"/>
              </w:rPr>
              <w:t>(see Note 3)</w:t>
            </w:r>
          </w:p>
        </w:tc>
        <w:tc>
          <w:tcPr>
            <w:tcW w:w="14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1,914,837 shares of AAG common stock pursuant to</w:t>
            </w: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4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rPr>
              <w:t>Issuance of 316,253 shares of AAG common stock pursuant to</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4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267,674 shares of AAG common stock pursuant to</w:t>
            </w: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4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5540" w:type="dxa"/>
            <w:vAlign w:val="bottom"/>
          </w:tcPr>
          <w:p>
            <w:pPr>
              <w:ind w:left="20"/>
              <w:spacing w:after="0" w:line="176" w:lineRule="exact"/>
              <w:rPr>
                <w:sz w:val="20"/>
                <w:szCs w:val="20"/>
                <w:color w:val="auto"/>
              </w:rPr>
            </w:pPr>
            <w:r>
              <w:rPr>
                <w:rFonts w:ascii="Arial" w:cs="Arial" w:eastAsia="Arial" w:hAnsi="Arial"/>
                <w:sz w:val="18"/>
                <w:szCs w:val="18"/>
                <w:color w:val="auto"/>
              </w:rPr>
              <w:t>Issuance of 1,772,443 shares of AAG common stock pursuant to</w:t>
            </w:r>
          </w:p>
        </w:tc>
        <w:tc>
          <w:tcPr>
            <w:tcW w:w="12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2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Modification of share-based awards</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5"/>
        </w:trPr>
        <w:tc>
          <w:tcPr>
            <w:tcW w:w="5540" w:type="dxa"/>
            <w:vAlign w:val="bottom"/>
          </w:tcPr>
          <w:p>
            <w:pPr>
              <w:ind w:left="20"/>
              <w:spacing w:after="0" w:line="176" w:lineRule="exact"/>
              <w:rPr>
                <w:sz w:val="20"/>
                <w:szCs w:val="20"/>
                <w:color w:val="auto"/>
              </w:rPr>
            </w:pPr>
            <w:r>
              <w:rPr>
                <w:rFonts w:ascii="Arial" w:cs="Arial" w:eastAsia="Arial" w:hAnsi="Arial"/>
                <w:sz w:val="18"/>
                <w:szCs w:val="18"/>
                <w:color w:val="auto"/>
              </w:rPr>
              <w:t>Issuance of 562,167 shares of AAG common stock pursuant to</w:t>
            </w:r>
          </w:p>
        </w:tc>
        <w:tc>
          <w:tcPr>
            <w:tcW w:w="12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2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495,040 shares of AAG common stock pursuant to</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2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2024.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Operating Property and Equipment</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Effective January 1, 2025, we adjusted the estimated useful lives of our mainline and regional aircraft, engines and related rotable parts by three years to align with the extended lives of aircraft included in our long-term fleet plan. In conjunction with this change, we also reduced the salvage values for most of these assets from 10% to 5% of original cost to more closely reflect the estimated value at the end of the useful life. Accordingly, the estimated useful lives for the principal property and equipment classification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4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1"/>
        </w:trPr>
        <w:tc>
          <w:tcPr>
            <w:tcW w:w="2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engines and related rotable parts</w:t>
            </w:r>
          </w:p>
        </w:tc>
        <w:tc>
          <w:tcPr>
            <w:tcW w:w="3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 33 years</w:t>
            </w:r>
          </w:p>
        </w:tc>
      </w:tr>
    </w:tbl>
    <w:p>
      <w:pPr>
        <w:spacing w:after="0" w:line="23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effect of these changes did not have a material impact to depreciation and amortization expense in the condensed consolidated statement of operations for the three and nine months ended September 30, 2025.</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 Construction Projects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improvements to the overhaul and maintenance base at Tulsa International Airport (Tulsa Maintenance Base) include the design, construction and renovation of various facilities at the Tulsa Maintenance Base. The Tulsa Maintenance Base is American’s largest maintenance facility and is an integral part of operating its mainline fleet. American has concluded that it does not control the underlying assets being constructed, and therefore, it recognizes operating lease liabilities with corresponding right-of-use assets on the condensed consolidated balance sheet as individual project stages are completed and leases commence.</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May 2025, the Tulsa Municipal Airport Trust (TMAT) issued $400 million aggregate principal amount of special facility revenue bonds on behalf of American, with $300 million maturing on December 1, 2035 and $100 million maturing on December 1, 2040 (collectively, the 2025 TMAT Bonds). The 2025 TMAT Bond due December 1, 2035 was priced at 109% of par value and the 2025 TMAT Bond due December 1, 2040 was priced at 107% of par value. The gross proceeds from the issuance of the 2025 TMAT Bonds were approximately $ 432 million. Of this amount, $104 million was used to fund the redemption of the aggregate principal amount of TMAT’s outstanding 2015 special facility revenue bonds (the 2015 TMAT Bonds) and the remaining $328 million will be used to finance the cost of improvements at the Tulsa Maintenance Base. The net proceeds received from the 2025 TMAT Bonds, offset by related project spend, are reflected within other investing activities in the condensed consolidated statement of cash flows.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2025 TMAT Bonds bear interest at 6.25% per annum commencing on May 8, 2025, until the day preceding the applicable maturity date, on which date the bonds will be subject to mandatory tender for purchase by American. American is required to pay rent equal to the annual principal and interest requirement on the 2025 TMAT Bonds through payments under a sublease agreement with TMAT (as amended), and AAG guarantees the 2025 TMAT Bonds. American’s obligations under both the sublease agreement with TMAT and the 2025 TMAT Bonds are secured by a leasehold mortgage on American’s lease of the Tulsa Maintenance Base.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 Recent Accounting Pronouncements</w:t>
      </w:r>
    </w:p>
    <w:p>
      <w:pPr>
        <w:spacing w:after="0" w:line="9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8"/>
          <w:szCs w:val="18"/>
          <w:i w:val="1"/>
          <w:iCs w:val="1"/>
          <w:color w:val="auto"/>
        </w:rPr>
        <w:t>Accounting Standards Update 2025-06: Intangibles - Goodwill and Other - Internal-Use Software (Subtopic 350-40) Targeted Improvements to the Accounting for Internal-Use Software</w:t>
      </w:r>
    </w:p>
    <w:p>
      <w:pPr>
        <w:spacing w:after="0" w:line="1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modernizes the accounting for costs related to internal-use software by removing references to project stages and by clarifying the thresholds entities apply to begin capitalizing costs. The amendments in this update are effective for interim and annual periods beginning after December 15, 2027, and early adoption is permitted. We are currently evaluating how the adoption of this standard may impact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74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70"/>
        </w:trPr>
        <w:tc>
          <w:tcPr>
            <w:tcW w:w="5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9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(2)</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nine months ended September 30, 2025 included a one-time charge for adjustments to vacation accruals resulting from pay rate increases effective January 1, 2025, related to the ratification of the contract extension in the fourth quarter of 2024 with our mainline maintenance and fleet service team members.</w:t>
      </w:r>
    </w:p>
    <w:p>
      <w:pPr>
        <w:spacing w:after="0" w:line="140" w:lineRule="exact"/>
        <w:rPr>
          <w:rFonts w:ascii="Arial" w:cs="Arial" w:eastAsia="Arial" w:hAnsi="Arial"/>
          <w:sz w:val="23"/>
          <w:szCs w:val="23"/>
          <w:color w:val="auto"/>
          <w:vertAlign w:val="superscript"/>
        </w:rPr>
      </w:pPr>
    </w:p>
    <w:p>
      <w:pPr>
        <w:jc w:val="both"/>
        <w:ind w:left="340"/>
        <w:spacing w:after="0" w:line="262"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September 30, 2024 included one-time charges resulting from the ratification of a new collective bargaining agreement with our mainline flight attendants, including a one-time payment of $514 million. For the nine months ended September 30, 2024, labor contract expenses included one-time charges resulting from the ratification of new collective bargaining agreements with our mainline flight attendants and mainline passenger service team members.</w:t>
      </w:r>
    </w:p>
    <w:p>
      <w:pPr>
        <w:spacing w:after="0" w:line="9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Common Share</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following table provides the computation of basic and diluted earnings (loss) per common share (EPS) (in millions,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48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656,745</w:t>
            </w:r>
          </w:p>
        </w:tc>
      </w:tr>
      <w:tr>
        <w:trPr>
          <w:trHeight w:val="223"/>
        </w:trPr>
        <w:tc>
          <w:tcPr>
            <w:tcW w:w="5940" w:type="dxa"/>
            <w:vAlign w:val="bottom"/>
          </w:tcPr>
          <w:p>
            <w:pPr>
              <w:ind w:left="140"/>
              <w:spacing w:after="0"/>
              <w:rPr>
                <w:sz w:val="20"/>
                <w:szCs w:val="20"/>
                <w:color w:val="auto"/>
              </w:rPr>
            </w:pPr>
            <w:r>
              <w:rPr>
                <w:rFonts w:ascii="Arial" w:cs="Arial" w:eastAsia="Arial" w:hAnsi="Arial"/>
                <w:sz w:val="18"/>
                <w:szCs w:val="18"/>
                <w:color w:val="auto"/>
              </w:rPr>
              <w:t>Basic EPS</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for purposes of computing diluted EPS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common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656,745</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 awards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certain PSP Warrants and Treasury Loan Warrants</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23"/>
        </w:trPr>
        <w:tc>
          <w:tcPr>
            <w:tcW w:w="59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660,358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657,424</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660,784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658,775</w:t>
            </w:r>
          </w:p>
        </w:tc>
      </w:tr>
      <w:tr>
        <w:trPr>
          <w:trHeight w:val="248"/>
        </w:trPr>
        <w:tc>
          <w:tcPr>
            <w:tcW w:w="5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were excluded from the calculation of diluted EPS because inclusion of such shares would be antidilutive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60" w:type="dxa"/>
            <w:vAlign w:val="bottom"/>
          </w:tcPr>
          <w:p>
            <w:pPr>
              <w:spacing w:after="0"/>
              <w:rPr>
                <w:sz w:val="17"/>
                <w:szCs w:val="17"/>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r>
      <w:tr>
        <w:trPr>
          <w:trHeight w:val="224"/>
        </w:trPr>
        <w:tc>
          <w:tcPr>
            <w:tcW w:w="5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6.50% convertible senior notes </w:t>
            </w:r>
            <w:r>
              <w:rPr>
                <w:rFonts w:ascii="Arial" w:cs="Arial" w:eastAsia="Arial" w:hAnsi="Arial"/>
                <w:sz w:val="23"/>
                <w:szCs w:val="23"/>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r>
      <w:tr>
        <w:trPr>
          <w:trHeight w:val="239"/>
        </w:trPr>
        <w:tc>
          <w:tcPr>
            <w:tcW w:w="5960" w:type="dxa"/>
            <w:vAlign w:val="bottom"/>
          </w:tcPr>
          <w:p>
            <w:pPr>
              <w:ind w:left="20"/>
              <w:spacing w:after="0"/>
              <w:rPr>
                <w:sz w:val="20"/>
                <w:szCs w:val="20"/>
                <w:color w:val="auto"/>
              </w:rPr>
            </w:pPr>
            <w:r>
              <w:rPr>
                <w:rFonts w:ascii="Arial" w:cs="Arial" w:eastAsia="Arial" w:hAnsi="Arial"/>
                <w:sz w:val="18"/>
                <w:szCs w:val="18"/>
                <w:color w:val="auto"/>
              </w:rPr>
              <w:t>Restricted stock unit awards</w:t>
            </w:r>
          </w:p>
        </w:tc>
        <w:tc>
          <w:tcPr>
            <w:tcW w:w="1220" w:type="dxa"/>
            <w:vAlign w:val="bottom"/>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311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37" w:lineRule="auto"/>
        <w:tabs>
          <w:tab w:leader="none" w:pos="33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On March 27, 2025, we provided notice to the holders of our Convertible Notes that we would settle our Convertible Notes at their maturity in cash on July 1, 2025. As a result, for the quarterly periods ending after March 31, 2025, we have excluded the Convertible Notes from the calculation of diluted EPS.</w:t>
      </w:r>
    </w:p>
    <w:p>
      <w:pPr>
        <w:spacing w:after="0" w:line="14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excluded from the calculation of diluted EPS because inclusion of such shares would be antidilutive, are certain shares underlying the warrants issued pursuant to (i) the payroll support program established under the Coronavirus Aid, Relief, and Economic Security Act (PSP1 Warrants), (ii) the payroll support program established under the Subtitle A of Title IV of Division N of the Consolidated Appropriations Act, 2021 (PSP2 Warrants), (iii) the payroll support program established under the American Rescue Plan Act of 2021 (PSP3 Warrants) and (iv) the Loan and Guarantee Agreement with the U.S. Department of Treasury (Treasury Loan Warrants).</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first quarter of 2025, all of the PSP1 Warrants and Treasury Loan Warrants, 14.0 million shares and 4.4 million shares, respectively, were exercised at an exercise price of $12.51 per share and net settled in cash for $79 million, reflected within other financing activities in the condensed consolidated statement of cash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provides a summary of the warrants outstanding as of September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2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Warrants Issued (shares, in</w:t>
            </w:r>
          </w:p>
        </w:tc>
        <w:tc>
          <w:tcPr>
            <w:tcW w:w="21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Exercise Price ($)</w:t>
            </w:r>
          </w:p>
        </w:tc>
        <w:tc>
          <w:tcPr>
            <w:tcW w:w="3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1"/>
        </w:trPr>
        <w:tc>
          <w:tcPr>
            <w:tcW w:w="3280" w:type="dxa"/>
            <w:vAlign w:val="bottom"/>
            <w:gridSpan w:val="2"/>
            <w:vMerge w:val="continue"/>
          </w:tcPr>
          <w:p>
            <w:pPr>
              <w:spacing w:after="0"/>
              <w:rPr>
                <w:sz w:val="17"/>
                <w:szCs w:val="17"/>
                <w:color w:val="auto"/>
              </w:rPr>
            </w:pPr>
          </w:p>
        </w:tc>
        <w:tc>
          <w:tcPr>
            <w:tcW w:w="2160" w:type="dxa"/>
            <w:vAlign w:val="bottom"/>
            <w:gridSpan w:val="2"/>
          </w:tcPr>
          <w:p>
            <w:pPr>
              <w:jc w:val="center"/>
              <w:ind w:right="60"/>
              <w:spacing w:after="0" w:line="201" w:lineRule="exact"/>
              <w:rPr>
                <w:sz w:val="20"/>
                <w:szCs w:val="20"/>
                <w:color w:val="auto"/>
              </w:rPr>
            </w:pPr>
            <w:r>
              <w:rPr>
                <w:rFonts w:ascii="Arial" w:cs="Arial" w:eastAsia="Arial" w:hAnsi="Arial"/>
                <w:sz w:val="14"/>
                <w:szCs w:val="14"/>
                <w:b w:val="1"/>
                <w:bCs w:val="1"/>
                <w:color w:val="auto"/>
                <w:w w:val="99"/>
              </w:rPr>
              <w:t xml:space="preserve">thousands) </w:t>
            </w:r>
            <w:r>
              <w:rPr>
                <w:rFonts w:ascii="Arial" w:cs="Arial" w:eastAsia="Arial" w:hAnsi="Arial"/>
                <w:sz w:val="18"/>
                <w:szCs w:val="18"/>
                <w:b w:val="1"/>
                <w:bCs w:val="1"/>
                <w:color w:val="auto"/>
                <w:w w:val="99"/>
                <w:vertAlign w:val="superscript"/>
              </w:rPr>
              <w:t>(1)</w:t>
            </w:r>
          </w:p>
        </w:tc>
        <w:tc>
          <w:tcPr>
            <w:tcW w:w="2160" w:type="dxa"/>
            <w:vAlign w:val="bottom"/>
            <w:gridSpan w:val="2"/>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PSP2 Warrants</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January 2026 to April 2026</w:t>
            </w:r>
          </w:p>
        </w:tc>
        <w:tc>
          <w:tcPr>
            <w:tcW w:w="0" w:type="dxa"/>
            <w:vAlign w:val="bottom"/>
          </w:tcPr>
          <w:p>
            <w:pPr>
              <w:spacing w:after="0"/>
              <w:rPr>
                <w:sz w:val="1"/>
                <w:szCs w:val="1"/>
                <w:color w:val="auto"/>
              </w:rPr>
            </w:pPr>
          </w:p>
        </w:tc>
      </w:tr>
      <w:tr>
        <w:trPr>
          <w:trHeight w:val="23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PSP3 Warrants</w:t>
            </w:r>
          </w:p>
        </w:tc>
        <w:tc>
          <w:tcPr>
            <w:tcW w:w="2080" w:type="dxa"/>
            <w:vAlign w:val="bottom"/>
          </w:tcPr>
          <w:p>
            <w:pPr>
              <w:jc w:val="right"/>
              <w:spacing w:after="0"/>
              <w:rPr>
                <w:sz w:val="20"/>
                <w:szCs w:val="20"/>
                <w:color w:val="auto"/>
              </w:rPr>
            </w:pPr>
            <w:r>
              <w:rPr>
                <w:rFonts w:ascii="Arial" w:cs="Arial" w:eastAsia="Arial" w:hAnsi="Arial"/>
                <w:sz w:val="18"/>
                <w:szCs w:val="18"/>
                <w:color w:val="auto"/>
              </w:rPr>
              <w:t>4,407</w:t>
            </w:r>
          </w:p>
        </w:tc>
        <w:tc>
          <w:tcPr>
            <w:tcW w:w="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April 2026 to June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42"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PSP2 Warrants and PSP3 Warrants are subject to certain anti-dilution provisions, do not have any voting rights and are freely transferable, with registration rights. Each warrant will be exercisable either through net share settlement or cash, at our option. The warrants were issued solely as compensation to the U.S. Government related to entry into the payroll support program agreements. No separate proceeds (apart from the financial assistance previously received in 2021) were received upon issuance of the warrants or will be received upon exercise thereof.</w:t>
      </w:r>
    </w:p>
    <w:p>
      <w:pPr>
        <w:spacing w:after="0" w:line="221" w:lineRule="exact"/>
        <w:rPr>
          <w:sz w:val="20"/>
          <w:szCs w:val="20"/>
          <w:color w:val="auto"/>
        </w:rPr>
      </w:pPr>
    </w:p>
    <w:p>
      <w:pPr>
        <w:ind w:left="260" w:right="9200" w:hanging="252"/>
        <w:spacing w:after="0" w:line="364" w:lineRule="auto"/>
        <w:tabs>
          <w:tab w:leader="none" w:pos="21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208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r>
      <w:tr>
        <w:trPr>
          <w:trHeight w:val="21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11,402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34,004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34,334</w:t>
            </w:r>
          </w:p>
        </w:tc>
      </w:tr>
      <w:tr>
        <w:trPr>
          <w:trHeight w:val="230"/>
        </w:trPr>
        <w:tc>
          <w:tcPr>
            <w:tcW w:w="59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23"/>
        </w:trPr>
        <w:tc>
          <w:tcPr>
            <w:tcW w:w="594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37,184</w:t>
            </w: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30"/>
        </w:trPr>
        <w:tc>
          <w:tcPr>
            <w:tcW w:w="5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5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r>
      <w:tr>
        <w:trPr>
          <w:trHeight w:val="223"/>
        </w:trPr>
        <w:tc>
          <w:tcPr>
            <w:tcW w:w="594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40,551</w:t>
            </w:r>
          </w:p>
        </w:tc>
      </w:tr>
      <w:tr>
        <w:trPr>
          <w:trHeight w:val="20"/>
        </w:trPr>
        <w:tc>
          <w:tcPr>
            <w:tcW w:w="2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48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9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26,285</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4,897</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248"/>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-616585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r>
      <w:tr>
        <w:trPr>
          <w:trHeight w:val="230"/>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29"/>
        </w:trPr>
        <w:tc>
          <w:tcPr>
            <w:tcW w:w="95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r>
      <w:tr>
        <w:trPr>
          <w:trHeight w:val="223"/>
        </w:trPr>
        <w:tc>
          <w:tcPr>
            <w:tcW w:w="95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September 30, 2025 </w:t>
            </w:r>
            <w:r>
              <w:rPr>
                <w:rFonts w:ascii="Arial" w:cs="Arial" w:eastAsia="Arial" w:hAnsi="Arial"/>
                <w:sz w:val="23"/>
                <w:szCs w:val="23"/>
                <w:color w:val="auto"/>
                <w:vertAlign w:val="superscript"/>
              </w:rPr>
              <w:t>(2)</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7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76" w:lineRule="exact"/>
        <w:rPr>
          <w:sz w:val="20"/>
          <w:szCs w:val="20"/>
          <w:color w:val="auto"/>
        </w:rPr>
      </w:pPr>
    </w:p>
    <w:p>
      <w:pPr>
        <w:jc w:val="both"/>
        <w:ind w:left="340" w:hanging="332"/>
        <w:spacing w:after="0"/>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the AAdvantage member has any type of qualifying activity at least every 24 months or if the AAdvantage member is the primary holder of a co-branded credit card. As of September 30, 2025, our current loyalty program liability was $3.7 billion and represents our current estimate of revenue expected to be recognized in the next 12 months based on historical trends, with the balance reflected in long-term loyalty program liability expected to be recognized as revenue in periods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the nine months ended September 30, 2025, $5.1 billion of revenue was recognized in passenger revenue that was included in our air traffic liability at December 31, 2024.</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1"/>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2013 Term Loan Facility, variable interest rate of 6.50%, installments until due in February</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43"/>
        </w:trPr>
        <w:tc>
          <w:tcPr>
            <w:tcW w:w="2080" w:type="dxa"/>
            <w:vAlign w:val="bottom"/>
          </w:tcPr>
          <w:p>
            <w:pPr>
              <w:ind w:left="300"/>
              <w:spacing w:after="0"/>
              <w:rPr>
                <w:sz w:val="20"/>
                <w:szCs w:val="20"/>
                <w:color w:val="auto"/>
              </w:rPr>
            </w:pPr>
            <w:r>
              <w:rPr>
                <w:rFonts w:ascii="Arial" w:cs="Arial" w:eastAsia="Arial" w:hAnsi="Arial"/>
                <w:sz w:val="18"/>
                <w:szCs w:val="18"/>
                <w:color w:val="auto"/>
              </w:rPr>
              <w:t>2028</w:t>
            </w:r>
          </w:p>
        </w:tc>
        <w:tc>
          <w:tcPr>
            <w:tcW w:w="54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2014 Term Loan Facility, variable interest rate of 5.98%, installments until due in January</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2027</w:t>
            </w:r>
          </w:p>
        </w:tc>
        <w:tc>
          <w:tcPr>
            <w:tcW w:w="5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2023 Term Loan Facility, variable interest rate of 6.26%, installments until due in June 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8.50% senior secured notes, interest only payments until due in May 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until due in April 2026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2021 AAdvantage Term Loan Facility, variable interest rate of 6.58%, installments until due in</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line="243" w:lineRule="exact"/>
              <w:rPr>
                <w:sz w:val="20"/>
                <w:szCs w:val="20"/>
                <w:color w:val="auto"/>
              </w:rPr>
            </w:pPr>
            <w:r>
              <w:rPr>
                <w:rFonts w:ascii="Arial" w:cs="Arial" w:eastAsia="Arial" w:hAnsi="Arial"/>
                <w:sz w:val="18"/>
                <w:szCs w:val="18"/>
                <w:color w:val="auto"/>
              </w:rPr>
              <w:t xml:space="preserve">April 2028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2025 AAdvantage Term Loan Facility, variable interest rate of 7.58%, installments until due in</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line="243" w:lineRule="exact"/>
              <w:rPr>
                <w:sz w:val="20"/>
                <w:szCs w:val="20"/>
                <w:color w:val="auto"/>
              </w:rPr>
            </w:pPr>
            <w:r>
              <w:rPr>
                <w:rFonts w:ascii="Arial" w:cs="Arial" w:eastAsia="Arial" w:hAnsi="Arial"/>
                <w:sz w:val="18"/>
                <w:szCs w:val="18"/>
                <w:color w:val="auto"/>
              </w:rPr>
              <w:t xml:space="preserve">May 2032 </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7.15%, averaging 3.77%, maturing from 2025 to 2034</w:t>
            </w: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4,880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2.55% to 6.91%, averaging 5.94%, maturing from 2025 to 2037</w:t>
            </w: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25,372</w:t>
            </w: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Unsecured</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PSP1 Promissory Note, variable interest rate of 6.04%, interest only payments until due in</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43"/>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April 2030</w:t>
            </w: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PSP2 Promissory Note, interest only payments until due in January 2031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PSP3 Promissory Note, interest only payments until due in April 2031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6.50% convertible senior notes</w:t>
            </w: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30,118</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PSP2 and PSP3 notes bear interest at a fixed interest rate of 1.00% until the first and second quarters of 2026, respectively. Thereafter and until maturity, the notes bear interest at 2.00% plus an interest rate based on the Secured Overnight Financing Rate (SOFR).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2025, the maximum availability under our revolving credit and other facilities is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2013 Revolving Facility </w:t>
            </w:r>
            <w:r>
              <w:rPr>
                <w:rFonts w:ascii="Arial" w:cs="Arial" w:eastAsia="Arial" w:hAnsi="Arial"/>
                <w:sz w:val="23"/>
                <w:szCs w:val="23"/>
                <w:color w:val="auto"/>
                <w:vertAlign w:val="superscript"/>
              </w:rPr>
              <w:t>(1)</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9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2014 Revolving Facility </w:t>
            </w:r>
            <w:r>
              <w:rPr>
                <w:rFonts w:ascii="Arial" w:cs="Arial" w:eastAsia="Arial" w:hAnsi="Arial"/>
                <w:sz w:val="23"/>
                <w:szCs w:val="23"/>
                <w:color w:val="auto"/>
                <w:vertAlign w:val="superscript"/>
              </w:rPr>
              <w:t>(1)</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30"/>
        </w:trPr>
        <w:tc>
          <w:tcPr>
            <w:tcW w:w="9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2023 Revolving Facility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29"/>
        </w:trPr>
        <w:tc>
          <w:tcPr>
            <w:tcW w:w="94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facilities </w:t>
            </w:r>
            <w:r>
              <w:rPr>
                <w:rFonts w:ascii="Arial" w:cs="Arial" w:eastAsia="Arial" w:hAnsi="Arial"/>
                <w:sz w:val="23"/>
                <w:szCs w:val="23"/>
                <w:color w:val="auto"/>
                <w:vertAlign w:val="superscript"/>
              </w:rPr>
              <w:t>(2)</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48"/>
        </w:trPr>
        <w:tc>
          <w:tcPr>
            <w:tcW w:w="9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7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62" w:lineRule="exact"/>
        <w:rPr>
          <w:sz w:val="20"/>
          <w:szCs w:val="20"/>
          <w:color w:val="auto"/>
        </w:rPr>
      </w:pPr>
    </w:p>
    <w:p>
      <w:pPr>
        <w:jc w:val="both"/>
        <w:ind w:left="340" w:hanging="332"/>
        <w:spacing w:after="0" w:line="237"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On April 21, 2025, the aggregate revolving commitments under the 2013, 2014 and 2023 Revolving Facilities were increased from $2.9 billion to $3.0 billion upon the upsize of commitments by certain existing lenders. No other terms were changed and there are no borrowings outstanding under the facilities.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a revolving credit facility that provides for borrowing capacity of up to $350 million, maturing in March 2027 with an option to extend for an additional year. Additionally, American currently has $50 million of available borrowing base under a cargo receivables facility that is set to expire in December 2025. There are no amounts drawn under these facilities.</w:t>
      </w:r>
    </w:p>
    <w:p>
      <w:pPr>
        <w:spacing w:after="0" w:line="14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AAdvantage Term Loan Facilities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24, 2025, American and AAdvantage Loyalty IP Ltd. (the Borrowers) entered into a second amendment to the term loan credit and guaranty agreement dated March 24, 2021 (the Second Amendment). As a result of the Second Amendment, the term loans outstanding with a principal amount of approximately $2.3 billion (the 2021 AAdvantage Term Loan Facility) were replaced with new term loans in the same principal amount. The terms of the new term loans are substantially similar to the prior term loans; however, the new term loans bear interest at a base rate (subject to a floor of 0.00%) plus an applicable margin of 1.25% per annum or, at the Borrowers’ option, the SOFR for a tenor of three months (subject to a floor of 0.00%), plus an applicable margin of 2.25% per annum. Additionally, the scheduled quarterly principal amortization amount was reduced to 0.25% of the principal amount of term loans outstanding as of March 24, 2025 (approximately $6 million each quarter), which began in July 2025, and the remaining balance is due at maturity in April 2028. Pursuant to the Second Amendment, the new term loans are not subject to a cost spread adjustment.</w:t>
      </w:r>
    </w:p>
    <w:p>
      <w:pPr>
        <w:spacing w:after="0" w:line="1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May 28, 2025, the Borrowers entered into a third amendment to the term loan credit and guaranty agreement dated March 24, 2021 (the Third Amendment). As a result of the Third Amendment, the Borrowers incurred $1.0 billion of incremental term loans (the 2025 AAdvantage Term Loan Facility) due on May 28, 2032. The terms of the 2025 AAdvantage Term Loan Facility are substantially similar to the 2021 AAdvantage Term Loan Facility; however, the 2025 AAdvantage Term Loan Facility bears interest at a base rate (subject to a floor of 0.00%) plus an applicable margin of 2.25% per annum or, at the Borrowers’ option, the SOFR rate for a tenor of three months (subject to a floor of 0.00%), plus an applicable margin of 3.25% per annum. Additionally, the scheduled quarterly principal amortization amount is equal to 0.25% of the original aggregate principal amount of the 2025 AAdvantage Term Loan Facility (approximately $3 million each quarter), which began in July 2025, and the remaining balance is due at maturity in May 2032. Pursuant to the Third Amendment, the 2025 AAdvantage Term Loan Facility is not subject to a cost spread adjustment. The net proceeds from the 2025 AAdvantage Term Loan Facility were used to repay near term maturities, including the Convertible Notes described further below.</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6.50% Convertible Senior Notes (the Convertible Notes)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27, 2025, we provided notice to the holders of our Convertible Notes that we would settle our Convertible Notes at their maturity in cash (including any conversions up to a price per share of AAG common stock of approximately $22.00) if the volume-weighted average price per share of AAG common stock did not exceed approximately $22.00 on any trading day of the 20-trading day “observation period” over which the consideration due upon conversion is calculated and determined. On July 1, 2025, the volume-weighted average price per share of AAG common stock did not exceed $ 22.00 on any trading day of the 20-trading day “observation period” and therefore the Convertible Notes were settled at their maturity in cash for $1.0 billion.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Equipment Loans and Other Notes Payable Issued in 2025</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first nine months of 2025, American entered into agreements under which it borrowed $1.2 billion in connection with the financing of certain aircraft. Debt incurred under these agreements matures in 2036 through 2037 and bears interest at variable rates (comprised of SOFR plus an applicable margin) averaging 6.05% as of September 30, 2025.</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 Financing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first nine months of 2025, American prepaid $487 million of the outstanding principal amounts of equipment notes issued under EETCs, and these amounts were applied to repay the related trust certificates. Additionally, American prepaid $ 308 million toward portions of the outstanding principal amounts of the 10.75% senior secured IP notes and 10.75% senior secured LGA/DCA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December 31, 2024, we had approximately $12.9 billion of gross federal net operating losses (NOLs) and $5.9 billion of other carryforwards available to reduce future federal taxable income, of which $2.6 billion will expire beginning in 2033 if unused and $ 16.2 billion can be carried forward indefinitely. We also had approximately $5.2 billion of NOL carryforwards to reduce future state taxable income at December 31, 2024, which will expire in taxable years 2024 through 2044 if unused.</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and other carryforwards,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historically calculated the provision for income taxes during interim reporting periods by applying an estimate of the annual effective tax rate for the full year to income or loss for the reporting period. We have changed to use the discrete method to calculate income taxes for the three and nine months ended September 30, 2025. At this time, we believe that the use of the discrete method is more appropriate than the estimated annual effective tax rate method due to the fact that small changes in projected full year income could cause material fluctuations in our annual effective tax rate applied during each quarter.</w:t>
      </w:r>
    </w:p>
    <w:p>
      <w:pPr>
        <w:spacing w:after="0" w:line="125"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During the three and nine months ended September 30, 2025, we recorded an income tax benefit of $28 million and an income tax provision of $36 million, respectively, which was substantially non-cash due to the utilization of the NOLs described above. Substantially all of our income or loss before income taxes is attributable to the United States.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July 4, 2025, H.R. 1, the “One Big Beautiful Bill Act” (the OBBBA) was signed into law in the U.S. Among other changes, the OBBBA modifies key business tax provisions, including by restoring 100% bonus depreciation under Section 168(k), reverting to the higher, EBITDA-based, business interest expense limitation under Section 163(j) and changing the computation of taxes related to international operations. Based on our current analysis of these provisions, we do not believe these provisions will have a material impact on our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nine months ended September 30, 2025.</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September 30, 2025</w:t>
            </w:r>
          </w:p>
        </w:tc>
        <w:tc>
          <w:tcPr>
            <w:tcW w:w="88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94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Tulsa Maintenance Base. Restricted short-term investments mature in one year or less except for $128 million as of September 30, 2025.</w:t>
      </w:r>
    </w:p>
    <w:p>
      <w:pPr>
        <w:spacing w:after="0" w:line="140"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our equity investment in China Southern Airlines Company Limited (China Southern Airlines). See Note 8 for further information on our equity investments.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The fair value of the Convertible Notes, which would have been classified as Level 2, was $1.2 billion as of December 31, 2024.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2025</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5"/>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48"/>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020" w:type="dxa"/>
            <w:vAlign w:val="bottom"/>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05"/>
        </w:trPr>
        <w:tc>
          <w:tcPr>
            <w:tcW w:w="4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5"/>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48"/>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020" w:type="dxa"/>
            <w:vAlign w:val="bottom"/>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 help expand our network and as part of our ongoing commitment to sustainability, we enter into various commercial relationships or other strategic partnerships, including equity investments, with other airlines and companies. Our equity investments are reflected in other assets on our condensed consolidated balance sheets. Our share of equity method investees’ financial results and changes in fair value are recorded in nonoperating other income (expense), net on the condensed consolidated statements of operations.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equity investment ownership interests and carrying values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Carrying Value (in millions)</w:t>
            </w:r>
          </w:p>
        </w:tc>
        <w:tc>
          <w:tcPr>
            <w:tcW w:w="0" w:type="dxa"/>
            <w:vAlign w:val="bottom"/>
          </w:tcPr>
          <w:p>
            <w:pPr>
              <w:spacing w:after="0"/>
              <w:rPr>
                <w:sz w:val="1"/>
                <w:szCs w:val="1"/>
                <w:color w:val="auto"/>
              </w:rPr>
            </w:pPr>
          </w:p>
        </w:tc>
      </w:tr>
      <w:tr>
        <w:trPr>
          <w:trHeight w:val="201"/>
        </w:trPr>
        <w:tc>
          <w:tcPr>
            <w:tcW w:w="2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 Treatment</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57"/>
        </w:trPr>
        <w:tc>
          <w:tcPr>
            <w:tcW w:w="2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Republic Airways</w:t>
            </w:r>
          </w:p>
        </w:tc>
        <w:tc>
          <w:tcPr>
            <w:tcW w:w="19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rPr>
              <w:t>Equity Method</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Holdings Inc.</w:t>
            </w:r>
          </w:p>
        </w:tc>
        <w:tc>
          <w:tcPr>
            <w:tcW w:w="1980" w:type="dxa"/>
            <w:vAlign w:val="bottom"/>
            <w:gridSpan w:val="2"/>
            <w:vMerge w:val="continue"/>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Fair Value</w:t>
            </w: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Primarily includes our investment in JetSMART Holdings Limited, which is accounted for under the equity method.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nine months of 2025, we made required contributions of $224 million to our defined benefit pension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Pension, Retiree</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Medical and Other</w:t>
            </w: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Postretirement</w:t>
            </w: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Income Tax Provision </w:t>
            </w:r>
            <w:r>
              <w:rPr>
                <w:rFonts w:ascii="Arial" w:cs="Arial" w:eastAsia="Arial" w:hAnsi="Arial"/>
                <w:sz w:val="18"/>
                <w:szCs w:val="18"/>
                <w:b w:val="1"/>
                <w:bCs w:val="1"/>
                <w:color w:val="auto"/>
                <w:vertAlign w:val="superscript"/>
              </w:rPr>
              <w:t>(1)</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Benefits</w:t>
            </w:r>
          </w:p>
        </w:tc>
        <w:tc>
          <w:tcPr>
            <w:tcW w:w="1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Amounts reclassified from AOCI</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21" w:right="339" w:bottom="1440" w:gutter="0" w:footer="0" w:header="0"/>
        </w:sect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Amounts reclassified from AOCI</w:t>
            </w:r>
          </w:p>
        </w:tc>
        <w:tc>
          <w:tcPr>
            <w:tcW w:w="900" w:type="dxa"/>
            <w:vAlign w:val="bottom"/>
            <w:tcBorders>
              <w:bottom w:val="single" w:sz="8" w:color="auto"/>
            </w:tcBorders>
          </w:tcPr>
          <w:p>
            <w:pPr>
              <w:spacing w:after="0"/>
              <w:rPr>
                <w:sz w:val="17"/>
                <w:szCs w:val="17"/>
                <w:color w:val="auto"/>
              </w:rPr>
            </w:pPr>
          </w:p>
        </w:tc>
      </w:tr>
      <w:tr>
        <w:trPr>
          <w:trHeight w:val="161"/>
        </w:trPr>
        <w:tc>
          <w:tcPr>
            <w:tcW w:w="3900" w:type="dxa"/>
            <w:vAlign w:val="bottom"/>
          </w:tcPr>
          <w:p>
            <w:pPr>
              <w:spacing w:after="0"/>
              <w:rPr>
                <w:sz w:val="13"/>
                <w:szCs w:val="13"/>
                <w:color w:val="auto"/>
              </w:rPr>
            </w:pPr>
          </w:p>
        </w:tc>
        <w:tc>
          <w:tcPr>
            <w:tcW w:w="2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900" w:type="dxa"/>
            <w:vAlign w:val="bottom"/>
          </w:tcPr>
          <w:p>
            <w:pPr>
              <w:spacing w:after="0"/>
              <w:rPr>
                <w:sz w:val="16"/>
                <w:szCs w:val="16"/>
                <w:color w:val="auto"/>
              </w:rPr>
            </w:pPr>
          </w:p>
        </w:tc>
        <w:tc>
          <w:tcPr>
            <w:tcW w:w="2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4"/>
        </w:trPr>
        <w:tc>
          <w:tcPr>
            <w:tcW w:w="390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12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2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9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firstLine="44"/>
        <w:spacing w:after="0" w:line="256" w:lineRule="auto"/>
        <w:rPr>
          <w:sz w:val="20"/>
          <w:szCs w:val="20"/>
          <w:color w:val="auto"/>
        </w:rPr>
      </w:pPr>
      <w:r>
        <w:rPr>
          <w:rFonts w:ascii="Arial" w:cs="Arial" w:eastAsia="Arial" w:hAnsi="Arial"/>
          <w:sz w:val="14"/>
          <w:szCs w:val="14"/>
          <w:b w:val="1"/>
          <w:bCs w:val="1"/>
          <w:color w:val="auto"/>
        </w:rPr>
        <w:t xml:space="preserve">Affected line items on the condensed </w:t>
      </w:r>
      <w:r>
        <w:rPr>
          <w:rFonts w:ascii="Arial" w:cs="Arial" w:eastAsia="Arial" w:hAnsi="Arial"/>
          <w:sz w:val="14"/>
          <w:szCs w:val="14"/>
          <w:b w:val="1"/>
          <w:bCs w:val="1"/>
          <w:u w:val="single" w:color="auto"/>
          <w:color w:val="auto"/>
        </w:rPr>
        <w:t>consolidated statements of operations</w:t>
      </w:r>
    </w:p>
    <w:p>
      <w:pPr>
        <w:spacing w:after="0" w:line="1" w:lineRule="exact"/>
        <w:rPr>
          <w:sz w:val="20"/>
          <w:szCs w:val="20"/>
          <w:color w:val="auto"/>
        </w:rPr>
      </w:pPr>
    </w:p>
    <w:p>
      <w:pPr>
        <w:sectPr>
          <w:pgSz w:w="11900" w:h="16838" w:orient="portrait"/>
          <w:cols w:equalWidth="0" w:num="2">
            <w:col w:w="8400" w:space="160"/>
            <w:col w:w="2680"/>
          </w:cols>
          <w:pgMar w:left="320" w:top="121" w:right="339" w:bottom="1440" w:gutter="0" w:footer="0" w:header="0"/>
          <w:type w:val="continuous"/>
        </w:sectPr>
      </w:pPr>
    </w:p>
    <w:p>
      <w:pPr>
        <w:ind w:left="20"/>
        <w:spacing w:after="0" w:line="237" w:lineRule="auto"/>
        <w:rPr>
          <w:sz w:val="20"/>
          <w:szCs w:val="20"/>
          <w:color w:val="auto"/>
        </w:rPr>
      </w:pPr>
      <w:r>
        <w:rPr>
          <w:rFonts w:ascii="Arial" w:cs="Arial" w:eastAsia="Arial" w:hAnsi="Arial"/>
          <w:sz w:val="18"/>
          <w:szCs w:val="18"/>
          <w:color w:val="auto"/>
        </w:rPr>
        <w:t>Amortization of pension, retiree medical and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postretirement benefits:</w:t>
      </w:r>
    </w:p>
    <w:tbl>
      <w:tblPr>
        <w:tblLayout w:type="fixed"/>
        <w:tblInd w:w="0" w:type="dxa"/>
        <w:tblCellMar>
          <w:top w:w="0" w:type="dxa"/>
          <w:left w:w="0" w:type="dxa"/>
          <w:bottom w:w="0" w:type="dxa"/>
          <w:right w:w="0" w:type="dxa"/>
        </w:tblCellMar>
      </w:tblPr>
      <w:tr>
        <w:trPr>
          <w:trHeight w:val="194"/>
        </w:trPr>
        <w:tc>
          <w:tcPr>
            <w:tcW w:w="3920" w:type="dxa"/>
            <w:vAlign w:val="bottom"/>
            <w:vMerge w:val="restart"/>
          </w:tcPr>
          <w:p>
            <w:pPr>
              <w:ind w:left="360"/>
              <w:spacing w:after="0"/>
              <w:rPr>
                <w:sz w:val="20"/>
                <w:szCs w:val="20"/>
                <w:color w:val="auto"/>
              </w:rPr>
            </w:pPr>
            <w:r>
              <w:rPr>
                <w:rFonts w:ascii="Arial" w:cs="Arial" w:eastAsia="Arial" w:hAnsi="Arial"/>
                <w:sz w:val="18"/>
                <w:szCs w:val="18"/>
                <w:color w:val="auto"/>
              </w:rPr>
              <w:t>Prior service cost</w:t>
            </w: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6"/>
                <w:szCs w:val="16"/>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6"/>
                <w:szCs w:val="16"/>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6"/>
                <w:szCs w:val="16"/>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840" w:type="dxa"/>
            <w:vAlign w:val="bottom"/>
          </w:tcPr>
          <w:p>
            <w:pPr>
              <w:ind w:left="120"/>
              <w:spacing w:after="0" w:line="194"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35"/>
        </w:trPr>
        <w:tc>
          <w:tcPr>
            <w:tcW w:w="392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2840" w:type="dxa"/>
            <w:vAlign w:val="bottom"/>
          </w:tcPr>
          <w:p>
            <w:pPr>
              <w:ind w:left="2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84"/>
        </w:trPr>
        <w:tc>
          <w:tcPr>
            <w:tcW w:w="39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4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35"/>
        </w:trPr>
        <w:tc>
          <w:tcPr>
            <w:tcW w:w="3920" w:type="dxa"/>
            <w:vAlign w:val="bottom"/>
            <w:vMerge w:val="continue"/>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2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Our regional carrier arrangements are principally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for the three months ended September 30, 2025 and 2024 include $84 million and $80 million of depreciation and amortization, respectively, and $2 million of aircraft rent in each period. Regional expenses for the nine months ended September 30, 2025 and 2024 include $244 million and $238 million of depreciation and amortization, respectively, and $7 million of aircraft rent in each period.</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three months ended September 30, 2025 and 2024, we recognized $ 177 million and $153 million, respectively, of expense under our capacity purchase agreement with Republic Airways Inc. (Republic). During the nine months ended September 30, 2025 and 2024, we recognized $ 519 million and $452 million, respectively, of expense under our capacity purchase agreement with Republic. We hold a 25% equity interest in Republic Airways Holdings Inc., the parent company of Republic.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(NEA). </w:t>
      </w:r>
      <w:r>
        <w:rPr>
          <w:rFonts w:ascii="Arial" w:cs="Arial" w:eastAsia="Arial" w:hAnsi="Arial"/>
          <w:sz w:val="18"/>
          <w:szCs w:val="18"/>
          <w:color w:val="auto"/>
        </w:rPr>
        <w:t>On December 5, 2022 and December 7, 2022, two private party</w:t>
      </w:r>
      <w:r>
        <w:rPr>
          <w:rFonts w:ascii="Arial" w:cs="Arial" w:eastAsia="Arial" w:hAnsi="Arial"/>
          <w:sz w:val="18"/>
          <w:szCs w:val="18"/>
          <w:i w:val="1"/>
          <w:iCs w:val="1"/>
          <w:color w:val="auto"/>
        </w:rPr>
        <w:t xml:space="preserve"> </w:t>
      </w:r>
      <w:r>
        <w:rPr>
          <w:rFonts w:ascii="Arial" w:cs="Arial" w:eastAsia="Arial" w:hAnsi="Arial"/>
          <w:sz w:val="18"/>
          <w:szCs w:val="18"/>
          <w:color w:val="auto"/>
        </w:rPr>
        <w:t>plaintiffs filed putative class action antitrust complaints against AAG and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and the parties are now engaged in discovery. We believe these lawsuits are without merit and are defending against them vigorously.</w:t>
      </w:r>
    </w:p>
    <w:p>
      <w:pPr>
        <w:spacing w:after="0" w:line="13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Securities and Stockholder Derivative Litigation. </w:t>
      </w:r>
      <w:r>
        <w:rPr>
          <w:rFonts w:ascii="Arial" w:cs="Arial" w:eastAsia="Arial" w:hAnsi="Arial"/>
          <w:sz w:val="18"/>
          <w:szCs w:val="18"/>
          <w:color w:val="auto"/>
        </w:rPr>
        <w:t>On July 18, 2024, AAG and certain of its current and former officers were named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defendants in a putative class action lawsuit filed in the U.S. District Court for the Northern District of Texas, captioned </w:t>
      </w:r>
      <w:r>
        <w:rPr>
          <w:rFonts w:ascii="Arial" w:cs="Arial" w:eastAsia="Arial" w:hAnsi="Arial"/>
          <w:sz w:val="18"/>
          <w:szCs w:val="18"/>
          <w:i w:val="1"/>
          <w:iCs w:val="1"/>
          <w:color w:val="auto"/>
        </w:rPr>
        <w:t>Qawasmi v. American</w:t>
      </w:r>
      <w:r>
        <w:rPr>
          <w:rFonts w:ascii="Arial" w:cs="Arial" w:eastAsia="Arial" w:hAnsi="Arial"/>
          <w:sz w:val="18"/>
          <w:szCs w:val="18"/>
          <w:color w:val="auto"/>
        </w:rPr>
        <w:t xml:space="preserve"> </w:t>
      </w:r>
      <w:r>
        <w:rPr>
          <w:rFonts w:ascii="Arial" w:cs="Arial" w:eastAsia="Arial" w:hAnsi="Arial"/>
          <w:sz w:val="18"/>
          <w:szCs w:val="18"/>
          <w:i w:val="1"/>
          <w:iCs w:val="1"/>
          <w:color w:val="auto"/>
        </w:rPr>
        <w:t>Airlines Group Inc., et al</w:t>
      </w:r>
      <w:r>
        <w:rPr>
          <w:rFonts w:ascii="Arial" w:cs="Arial" w:eastAsia="Arial" w:hAnsi="Arial"/>
          <w:sz w:val="18"/>
          <w:szCs w:val="18"/>
          <w:color w:val="auto"/>
        </w:rPr>
        <w:t>. The</w:t>
      </w:r>
      <w:r>
        <w:rPr>
          <w:rFonts w:ascii="Arial" w:cs="Arial" w:eastAsia="Arial" w:hAnsi="Arial"/>
          <w:sz w:val="18"/>
          <w:szCs w:val="18"/>
          <w:i w:val="1"/>
          <w:iCs w:val="1"/>
          <w:color w:val="auto"/>
        </w:rPr>
        <w:t xml:space="preserve"> Qawasmi </w:t>
      </w:r>
      <w:r>
        <w:rPr>
          <w:rFonts w:ascii="Arial" w:cs="Arial" w:eastAsia="Arial" w:hAnsi="Arial"/>
          <w:sz w:val="18"/>
          <w:szCs w:val="18"/>
          <w:color w:val="auto"/>
        </w:rPr>
        <w:t>plaintiff purports to represent investors who acquired AAG securities between January 25, 2024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May 28, 2024. On August 28, 2024, AAG and certain of its current and former officers were named as defendants in a second putative class action lawsuit filed in the same court, captioned </w:t>
      </w:r>
      <w:r>
        <w:rPr>
          <w:rFonts w:ascii="Arial" w:cs="Arial" w:eastAsia="Arial" w:hAnsi="Arial"/>
          <w:sz w:val="18"/>
          <w:szCs w:val="18"/>
          <w:i w:val="1"/>
          <w:iCs w:val="1"/>
          <w:color w:val="auto"/>
        </w:rPr>
        <w:t>Thornburg v. American Airlines Group Inc.,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plaintiff purports to represent investors who acquired AAG securities between July 20, 2023 and May 28, 2024. Both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complaints assert violations of Sections 10(b) and 20(a) of the Exchange Act based on allegations that, during the relevant periods, AAG misrepresented and/or omitted material facts related to its financial outlook and certain commercial initiatives. On September 16, 2024, certain purported AAG investors moved for consolidation of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actions as well as appointment as lead plaintiff. On November 22, 2024,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complaints were consolidated into a single action bearing the caption </w:t>
      </w:r>
      <w:r>
        <w:rPr>
          <w:rFonts w:ascii="Arial" w:cs="Arial" w:eastAsia="Arial" w:hAnsi="Arial"/>
          <w:sz w:val="18"/>
          <w:szCs w:val="18"/>
          <w:i w:val="1"/>
          <w:iCs w:val="1"/>
          <w:color w:val="auto"/>
        </w:rPr>
        <w:t>In re American Airlines Group Inc.</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Litigation</w:t>
      </w:r>
      <w:r>
        <w:rPr>
          <w:rFonts w:ascii="Arial" w:cs="Arial" w:eastAsia="Arial" w:hAnsi="Arial"/>
          <w:sz w:val="18"/>
          <w:szCs w:val="18"/>
          <w:color w:val="auto"/>
        </w:rPr>
        <w:t>. The court also appointed co-lead plaintiffs and lead counsel to represent the putative class in the consolidated action.</w:t>
      </w:r>
      <w:r>
        <w:rPr>
          <w:rFonts w:ascii="Arial" w:cs="Arial" w:eastAsia="Arial" w:hAnsi="Arial"/>
          <w:sz w:val="18"/>
          <w:szCs w:val="18"/>
          <w:i w:val="1"/>
          <w:iCs w:val="1"/>
          <w:color w:val="auto"/>
        </w:rPr>
        <w:t xml:space="preserve"> </w:t>
      </w:r>
      <w:r>
        <w:rPr>
          <w:rFonts w:ascii="Arial" w:cs="Arial" w:eastAsia="Arial" w:hAnsi="Arial"/>
          <w:sz w:val="18"/>
          <w:szCs w:val="18"/>
          <w:color w:val="auto"/>
        </w:rPr>
        <w:t>Plaintiffs filed a consolidated complaint on January 21, 2025, and an amended consolidated complaint on March 19, 2025. The consolidated complaint makes similar factual allegations to the prior complaints regarding AAG’s financial outlook and certain commercial initiatives. AAG and the individual defendants filed a joint motion to dismiss on March 21, 2025 that was fully submitted on May 23, 2025. That motion is currently pending.</w:t>
      </w:r>
    </w:p>
    <w:p>
      <w:pPr>
        <w:spacing w:after="0" w:line="1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Additionally, on September 19, 2024, certain of AAG’s current and former directors and officers were named as defendants in a shareholder derivative lawsuit (in which AAG is a nominal defendant) filed in the U.S. District Court for the Northern District of Texas, captioned </w:t>
      </w:r>
      <w:r>
        <w:rPr>
          <w:rFonts w:ascii="Arial" w:cs="Arial" w:eastAsia="Arial" w:hAnsi="Arial"/>
          <w:sz w:val="18"/>
          <w:szCs w:val="18"/>
          <w:i w:val="1"/>
          <w:iCs w:val="1"/>
          <w:color w:val="auto"/>
        </w:rPr>
        <w:t>Hollin v. Isom,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complaint asserts violations of Section 10(b) of the Exchange Act, breach of fiduciary duty, and claims for unjust enrichment and corporate waste. On September 26, 2024, a second derivative complaint was filed in the same court, similarly naming certain of AAG’s current and former directors and officers (as well as AAG as a nominal defendant), captioned </w:t>
      </w:r>
      <w:r>
        <w:rPr>
          <w:rFonts w:ascii="Arial" w:cs="Arial" w:eastAsia="Arial" w:hAnsi="Arial"/>
          <w:sz w:val="18"/>
          <w:szCs w:val="18"/>
          <w:i w:val="1"/>
          <w:iCs w:val="1"/>
          <w:color w:val="auto"/>
        </w:rPr>
        <w:t>Leon v. Isom,</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The</w:t>
      </w:r>
      <w:r>
        <w:rPr>
          <w:rFonts w:ascii="Arial" w:cs="Arial" w:eastAsia="Arial" w:hAnsi="Arial"/>
          <w:sz w:val="18"/>
          <w:szCs w:val="18"/>
          <w:i w:val="1"/>
          <w:iCs w:val="1"/>
          <w:color w:val="auto"/>
        </w:rPr>
        <w:t xml:space="preserve"> Leon </w:t>
      </w:r>
      <w:r>
        <w:rPr>
          <w:rFonts w:ascii="Arial" w:cs="Arial" w:eastAsia="Arial" w:hAnsi="Arial"/>
          <w:sz w:val="18"/>
          <w:szCs w:val="18"/>
          <w:color w:val="auto"/>
        </w:rPr>
        <w:t>complaint asserts violations of Section 14(a) of the Exchange Act, breaches of fiduciary duty, claims of unjust enrichment,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abuse of control, gross mismanagement, waste of corporate assets, and a claim for contribution.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generally allege the same purported misconduct as alleged in the securities class actions. On November 25, 2024,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were consolidated into a single action bearing the caption </w:t>
      </w:r>
      <w:r>
        <w:rPr>
          <w:rFonts w:ascii="Arial" w:cs="Arial" w:eastAsia="Arial" w:hAnsi="Arial"/>
          <w:sz w:val="18"/>
          <w:szCs w:val="18"/>
          <w:i w:val="1"/>
          <w:iCs w:val="1"/>
          <w:color w:val="auto"/>
        </w:rPr>
        <w:t>In re American Airlines Group Inc. Stockholder Derivative Action</w:t>
      </w:r>
      <w:r>
        <w:rPr>
          <w:rFonts w:ascii="Arial" w:cs="Arial" w:eastAsia="Arial" w:hAnsi="Arial"/>
          <w:sz w:val="18"/>
          <w:szCs w:val="18"/>
          <w:color w:val="auto"/>
        </w:rPr>
        <w:t>. The derivative actions are currently stayed pending resolution of the securities class action. We believe both the securities class action and shareholder derivative lawsuit are without merit and intend to defend against them vigorously.</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October 2025, American refinanced the $629 million remaining outstanding principal amount of the 10.75% senior secured IP notes and the 10.75% senior secured LGA/DCA notes due February 2026 with $629 million borrowed under a senior unsecured short-term loan facility. Term loans under the facility mature on January 21, 2026 and bear interest at SOFR for a tenor of one month plus an applicable margin of 2.375% per annum (6.40% as of the closing date). The resulting transactions also accelerated the release of the 10.75% senior secured LGA/DCA notes collateral.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12,523</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36,985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37,184</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40,546</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11,911</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2,823</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4,844</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9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1"/>
        </w:trPr>
        <w:tc>
          <w:tcPr>
            <w:tcW w:w="5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795</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Short-term investments</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6,020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6,177</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Restricted cash and short-term investments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Accounts receivable, net</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1,996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1,977</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Receivables from related parties, net</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8,187</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Aircraft fuel, spare parts and supplies, net</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2,594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2,476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Prepaid expenses and other</w:t>
            </w:r>
          </w:p>
        </w:tc>
        <w:tc>
          <w:tcPr>
            <w:tcW w:w="1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195"/>
        </w:trPr>
        <w:tc>
          <w:tcPr>
            <w:tcW w:w="7560" w:type="dxa"/>
            <w:vAlign w:val="bottom"/>
          </w:tcPr>
          <w:p>
            <w:pPr>
              <w:ind w:left="66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22,656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21,019</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Flight equipment</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44,631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43,158</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Ground property and equipment</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9,709</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Equipment purchase deposits</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1,012</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property and equipment, at cost</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53,879</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Less accumulated depreciation and amortization</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(23,060)</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property and equipment, net</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30,819</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7,441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7,274</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Intangibles, net of accumulated amortization of $847 and $841, respectively</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2,044</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Deferred tax asset</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1,926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2,068</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1,440</w:t>
            </w:r>
          </w:p>
        </w:tc>
        <w:tc>
          <w:tcPr>
            <w:tcW w:w="0" w:type="dxa"/>
            <w:vAlign w:val="bottom"/>
          </w:tcPr>
          <w:p>
            <w:pPr>
              <w:spacing w:after="0"/>
              <w:rPr>
                <w:sz w:val="1"/>
                <w:szCs w:val="1"/>
                <w:color w:val="auto"/>
              </w:rPr>
            </w:pPr>
          </w:p>
        </w:tc>
      </w:tr>
      <w:tr>
        <w:trPr>
          <w:trHeight w:val="195"/>
        </w:trPr>
        <w:tc>
          <w:tcPr>
            <w:tcW w:w="756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Total other assets</w:t>
            </w: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9,299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9,643</w:t>
            </w:r>
          </w:p>
        </w:tc>
        <w:tc>
          <w:tcPr>
            <w:tcW w:w="0" w:type="dxa"/>
            <w:vAlign w:val="bottom"/>
          </w:tcPr>
          <w:p>
            <w:pPr>
              <w:spacing w:after="0"/>
              <w:rPr>
                <w:sz w:val="1"/>
                <w:szCs w:val="1"/>
                <w:color w:val="auto"/>
              </w:rPr>
            </w:pPr>
          </w:p>
        </w:tc>
      </w:tr>
      <w:tr>
        <w:trPr>
          <w:trHeight w:val="221"/>
        </w:trPr>
        <w:tc>
          <w:tcPr>
            <w:tcW w:w="75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70,535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68,755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Current maturities of long-term debt and finance leases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3,601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4,326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payable</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2,372</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Accrued salaries and wages</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1,875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1,995</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Air traffic liability</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6,759</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Loyalty program liability</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3,699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3,556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Operating lease liabilities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1,082</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accrued liabilities</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2,812</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22,902</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Long-term debt and finance leases, net of current maturities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21,410</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Pension and postretirement benefits</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1,749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2,115</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Loyalty program liability</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6,498</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6,157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5,926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1,670</w:t>
            </w:r>
          </w:p>
        </w:tc>
        <w:tc>
          <w:tcPr>
            <w:tcW w:w="0" w:type="dxa"/>
            <w:vAlign w:val="bottom"/>
          </w:tcPr>
          <w:p>
            <w:pPr>
              <w:spacing w:after="0"/>
              <w:rPr>
                <w:sz w:val="1"/>
                <w:szCs w:val="1"/>
                <w:color w:val="auto"/>
              </w:rPr>
            </w:pPr>
          </w:p>
        </w:tc>
      </w:tr>
      <w:tr>
        <w:trPr>
          <w:trHeight w:val="195"/>
        </w:trPr>
        <w:tc>
          <w:tcPr>
            <w:tcW w:w="7560" w:type="dxa"/>
            <w:vAlign w:val="bottom"/>
          </w:tcPr>
          <w:p>
            <w:pPr>
              <w:ind w:left="660"/>
              <w:spacing w:after="0"/>
              <w:rPr>
                <w:sz w:val="20"/>
                <w:szCs w:val="20"/>
                <w:color w:val="auto"/>
              </w:rPr>
            </w:pPr>
            <w:r>
              <w:rPr>
                <w:rFonts w:ascii="Arial" w:cs="Arial" w:eastAsia="Arial" w:hAnsi="Arial"/>
                <w:sz w:val="15"/>
                <w:szCs w:val="15"/>
                <w:color w:val="auto"/>
              </w:rPr>
              <w:t>Total noncurrent liabilities</w:t>
            </w: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37,629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37,619</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17,456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17,408</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Accumulated other comprehensive loss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(4,677)</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Retained deficit</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(4,497)</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8,676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8,234</w:t>
            </w:r>
          </w:p>
        </w:tc>
        <w:tc>
          <w:tcPr>
            <w:tcW w:w="0" w:type="dxa"/>
            <w:vAlign w:val="bottom"/>
          </w:tcPr>
          <w:p>
            <w:pPr>
              <w:spacing w:after="0"/>
              <w:rPr>
                <w:sz w:val="1"/>
                <w:szCs w:val="1"/>
                <w:color w:val="auto"/>
              </w:rPr>
            </w:pPr>
          </w:p>
        </w:tc>
      </w:tr>
      <w:tr>
        <w:trPr>
          <w:trHeight w:val="195"/>
        </w:trPr>
        <w:tc>
          <w:tcPr>
            <w:tcW w:w="756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70,535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68,755</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 and sale of property and equipment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(6,527)</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restricted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48"/>
        </w:trPr>
        <w:tc>
          <w:tcPr>
            <w:tcW w:w="77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 and other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Operating leases converted to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39"/>
        </w:trPr>
        <w:tc>
          <w:tcPr>
            <w:tcW w:w="776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31"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Modification of share-based awards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rFonts w:ascii="Arial" w:cs="Arial" w:eastAsia="Arial" w:hAnsi="Arial"/>
          <w:sz w:val="18"/>
          <w:szCs w:val="18"/>
          <w:b w:val="1"/>
          <w:bCs w:val="1"/>
          <w:color w:val="auto"/>
        </w:rPr>
      </w:pPr>
    </w:p>
    <w:p>
      <w:pPr>
        <w:ind w:left="520" w:hanging="269"/>
        <w:spacing w:after="0"/>
        <w:tabs>
          <w:tab w:leader="none" w:pos="520" w:val="left"/>
        </w:tabs>
        <w:numPr>
          <w:ilvl w:val="1"/>
          <w:numId w:val="19"/>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2024. American is the principal wholly-owned subsidiary of American Airlines Group Inc. (AAG). All significant intercompany transactions have been eliminated.</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Operating Property and Equipment</w:t>
      </w:r>
    </w:p>
    <w:p>
      <w:pPr>
        <w:spacing w:after="0" w:line="88"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7"/>
          <w:szCs w:val="17"/>
          <w:color w:val="auto"/>
        </w:rPr>
        <w:t>Effective January 1, 2025, American adjusted the estimated useful lives of its mainline and regional aircraft, engines and related rotable parts by three years to align with the extended lives of aircraft included in American’s long-term fleet plan. In conjunction with this change, American also reduced the salvage values for most of these assets from 10% to 5% of original cost to more closely reflect the estimated value at the end of the useful life. Accordingly, the estimated useful lives for the principal property and equipment classification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4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engines and related rotable parts</w:t>
            </w:r>
          </w:p>
        </w:tc>
        <w:tc>
          <w:tcPr>
            <w:tcW w:w="3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 33 years</w:t>
            </w:r>
          </w:p>
        </w:tc>
      </w:tr>
    </w:tbl>
    <w:p>
      <w:pPr>
        <w:spacing w:after="0" w:line="23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effect of these changes did not have a material impact to depreciation and amortization expense in the condensed consolidated statement of operations for the three and nine months ended September 30, 2025.</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 Construction Projects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improvements to the overhaul and maintenance base at Tulsa International Airport (Tulsa Maintenance Base) include the design, construction and renovation of various facilities at the Tulsa Maintenance Base. The Tulsa Maintenance Base is American’s largest maintenance facility and is an integral part of operating its mainline fleet. American has concluded that it does not control the underlying assets being constructed, and therefore, it recognizes operating lease liabilities with corresponding right-of-use assets on the condensed consolidated balance sheet as individual project stages are completed and leases commence.</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May 2025, the Tulsa Municipal Airport Trust (TMAT) issued $400 million aggregate principal amount of special facility revenue bonds on behalf of American, with $300 million maturing on December 1, 2035 and $100 million maturing on December 1, 2040 (collectively, the 2025 TMAT Bonds). The 2025 TMAT Bond due December 1, 2035 was priced at 109% of par value and the 2025 TMAT Bond due December 1, 2040 was priced at 107% of par value. The gross proceeds from the issuance of the 2025 TMAT Bonds were approximately $ 432 million. Of this amount, $104 million was used to fund the redemption of the aggregate principal amount of TMAT’s outstanding 2015 special facility revenue bonds (the 2015 TMAT Bonds) and the remaining $328 million will be used to finance the cost of improvements at the Tulsa Maintenance Base. The net proceeds received from the 2025 TMAT Bonds, offset by related project spend, are reflected within other investing activities in the condensed consolidated statement of cash flows.</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2025 TMAT Bonds bear interest at 6.25% per annum commencing on May 8, 2025, until the day preceding the applicable maturity date, on which date the bonds will be subject to mandatory tender for purchase by American. American is required to pay rent equal to the annual principal and interest requirement on the 2025 TMAT Bonds through payments under a sublease agreement with TMAT (as amended), and AAG guarantees the 2025 TMAT Bonds. American’s obligations under both the sublease agreement with TMAT and the 2025 TMAT Bonds are secured by a leasehold mortgage on American’s lease of the Tulsa Maintenance Base.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 Recent Accounting Pronouncements</w:t>
      </w:r>
    </w:p>
    <w:p>
      <w:pPr>
        <w:spacing w:after="0" w:line="9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8"/>
          <w:szCs w:val="18"/>
          <w:i w:val="1"/>
          <w:iCs w:val="1"/>
          <w:color w:val="auto"/>
        </w:rPr>
        <w:t>Accounting Standards Update 2025-06: Intangibles - Goodwill and Other - Internal-Use Software (Subtopic 350-40) Targeted Improvements to the Accounting for Internal-Use Software</w:t>
      </w:r>
    </w:p>
    <w:p>
      <w:pPr>
        <w:spacing w:after="0" w:line="1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modernizes the accounting for costs related to internal-use software by removing references to project stages and by clarifying the thresholds entities apply to begin capitalizing costs. The amendments in this update are effective for interim and annual periods beginning after December 15, 2027, and early adoption is permitted. American is currently evaluating how the adoption of this standard may impact its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74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70"/>
        </w:trPr>
        <w:tc>
          <w:tcPr>
            <w:tcW w:w="5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9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(2)</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nine months ended September 30, 2025 included a one-time charge for adjustments to vacation accruals resulting from pay rate increases effective January 1, 2025, related to the ratification of the contract extension in the fourth quarter of 2024 with American’s mainline maintenance and fleet service team members.</w:t>
      </w:r>
    </w:p>
    <w:p>
      <w:pPr>
        <w:spacing w:after="0" w:line="140" w:lineRule="exact"/>
        <w:rPr>
          <w:rFonts w:ascii="Arial" w:cs="Arial" w:eastAsia="Arial" w:hAnsi="Arial"/>
          <w:sz w:val="23"/>
          <w:szCs w:val="23"/>
          <w:color w:val="auto"/>
          <w:vertAlign w:val="superscript"/>
        </w:rPr>
      </w:pPr>
    </w:p>
    <w:p>
      <w:pPr>
        <w:jc w:val="both"/>
        <w:ind w:left="340"/>
        <w:spacing w:after="0" w:line="262"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September 30, 2024 included one-time charges resulting from the ratification of a new collective bargaining agreement with American’s mainline flight attendants, including a one-time payment of $514 million. For the nine months ended September 30, 2024, labor contract expenses included one-time charges resulting from the ratification of new collective bargaining agreements with American’s mainline flight attendants and mainline passenger service team members.</w:t>
      </w:r>
    </w:p>
    <w:p>
      <w:pPr>
        <w:spacing w:after="0" w:line="9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right="9200" w:hanging="252"/>
        <w:spacing w:after="0" w:line="364" w:lineRule="auto"/>
        <w:tabs>
          <w:tab w:leader="none" w:pos="217"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0" w:type="dxa"/>
            <w:vAlign w:val="bottom"/>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r>
      <w:tr>
        <w:trPr>
          <w:trHeight w:val="210"/>
        </w:trPr>
        <w:tc>
          <w:tcPr>
            <w:tcW w:w="4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Passenger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Arial" w:cs="Arial" w:eastAsia="Arial" w:hAnsi="Arial"/>
                <w:sz w:val="18"/>
                <w:szCs w:val="18"/>
                <w:color w:val="auto"/>
              </w:rPr>
              <w:t>Passenger travel</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11,539</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34,004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34,334</w:t>
            </w: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23"/>
        </w:trPr>
        <w:tc>
          <w:tcPr>
            <w:tcW w:w="40" w:type="dxa"/>
            <w:vAlign w:val="bottom"/>
          </w:tcPr>
          <w:p>
            <w:pPr>
              <w:spacing w:after="0"/>
              <w:rPr>
                <w:sz w:val="19"/>
                <w:szCs w:val="19"/>
                <w:color w:val="auto"/>
              </w:rPr>
            </w:pPr>
          </w:p>
        </w:tc>
        <w:tc>
          <w:tcPr>
            <w:tcW w:w="594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37,184</w:t>
            </w: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29"/>
        </w:trPr>
        <w:tc>
          <w:tcPr>
            <w:tcW w:w="4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Loyalty revenue - marketing services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29"/>
        </w:trPr>
        <w:tc>
          <w:tcPr>
            <w:tcW w:w="40" w:type="dxa"/>
            <w:vAlign w:val="bottom"/>
          </w:tcPr>
          <w:p>
            <w:pPr>
              <w:spacing w:after="0"/>
              <w:rPr>
                <w:sz w:val="19"/>
                <w:szCs w:val="19"/>
                <w:color w:val="auto"/>
              </w:rPr>
            </w:pPr>
          </w:p>
        </w:tc>
        <w:tc>
          <w:tcPr>
            <w:tcW w:w="59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23"/>
        </w:trPr>
        <w:tc>
          <w:tcPr>
            <w:tcW w:w="40" w:type="dxa"/>
            <w:vAlign w:val="bottom"/>
          </w:tcPr>
          <w:p>
            <w:pPr>
              <w:spacing w:after="0"/>
              <w:rPr>
                <w:sz w:val="19"/>
                <w:szCs w:val="19"/>
                <w:color w:val="auto"/>
              </w:rPr>
            </w:pPr>
          </w:p>
        </w:tc>
        <w:tc>
          <w:tcPr>
            <w:tcW w:w="5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r>
      <w:tr>
        <w:trPr>
          <w:trHeight w:val="223"/>
        </w:trPr>
        <w:tc>
          <w:tcPr>
            <w:tcW w:w="40" w:type="dxa"/>
            <w:vAlign w:val="bottom"/>
          </w:tcPr>
          <w:p>
            <w:pPr>
              <w:spacing w:after="0"/>
              <w:rPr>
                <w:sz w:val="19"/>
                <w:szCs w:val="19"/>
                <w:color w:val="auto"/>
              </w:rPr>
            </w:pPr>
          </w:p>
        </w:tc>
        <w:tc>
          <w:tcPr>
            <w:tcW w:w="594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40,546</w:t>
            </w:r>
          </w:p>
        </w:tc>
      </w:tr>
      <w:tr>
        <w:trPr>
          <w:trHeight w:val="21"/>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48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9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26,285</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4,897</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248"/>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-1173480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r>
      <w:tr>
        <w:trPr>
          <w:trHeight w:val="229"/>
        </w:trPr>
        <w:tc>
          <w:tcPr>
            <w:tcW w:w="946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30"/>
        </w:trPr>
        <w:tc>
          <w:tcPr>
            <w:tcW w:w="94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r>
      <w:tr>
        <w:trPr>
          <w:trHeight w:val="223"/>
        </w:trPr>
        <w:tc>
          <w:tcPr>
            <w:tcW w:w="946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September 30, 2025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w:t>
            </w:r>
          </w:p>
        </w:tc>
      </w:tr>
      <w:tr>
        <w:trPr>
          <w:trHeight w:val="21"/>
        </w:trPr>
        <w:tc>
          <w:tcPr>
            <w:tcW w:w="20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62" w:lineRule="exact"/>
        <w:rPr>
          <w:sz w:val="20"/>
          <w:szCs w:val="20"/>
          <w:color w:val="auto"/>
        </w:rPr>
      </w:pPr>
    </w:p>
    <w:p>
      <w:pPr>
        <w:jc w:val="both"/>
        <w:ind w:left="340" w:hanging="332"/>
        <w:spacing w:after="0"/>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the AAdvantage member has any type of qualifying activity at least every 24 months or if the AAdvantage member is the primary holder of a co-branded credit card. As of September 30, 2025, American’s current loyalty program liability was $3.7 billion and represents American’s current estimate of revenue expected to be recognized in the next 12 months based on historical trends, with the balance reflected in long-term loyalty program liability expected to be recognized as revenue in periods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the nine months ended September 30, 2025, $5.1 billion of revenue was recognized in passenger revenue that was included in American’s air traffic liability at December 31, 2024.</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1"/>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2013 Term Loan Facility, variable interest rate of 6.50%, installments until due in February</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43"/>
        </w:trPr>
        <w:tc>
          <w:tcPr>
            <w:tcW w:w="2080" w:type="dxa"/>
            <w:vAlign w:val="bottom"/>
          </w:tcPr>
          <w:p>
            <w:pPr>
              <w:ind w:left="300"/>
              <w:spacing w:after="0"/>
              <w:rPr>
                <w:sz w:val="20"/>
                <w:szCs w:val="20"/>
                <w:color w:val="auto"/>
              </w:rPr>
            </w:pPr>
            <w:r>
              <w:rPr>
                <w:rFonts w:ascii="Arial" w:cs="Arial" w:eastAsia="Arial" w:hAnsi="Arial"/>
                <w:sz w:val="18"/>
                <w:szCs w:val="18"/>
                <w:color w:val="auto"/>
              </w:rPr>
              <w:t>2028</w:t>
            </w:r>
          </w:p>
        </w:tc>
        <w:tc>
          <w:tcPr>
            <w:tcW w:w="54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2014 Term Loan Facility, variable interest rate of 5.98%, installments until due in January</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2027</w:t>
            </w:r>
          </w:p>
        </w:tc>
        <w:tc>
          <w:tcPr>
            <w:tcW w:w="5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2023 Term Loan Facility, variable interest rate of 6.26%, installments until due in June 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8.50% senior secured notes, interest only payments until due in May 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until due in April 2026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2021 AAdvantage Term Loan Facility, variable interest rate of 6.58%, installments until due in</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line="243" w:lineRule="exact"/>
              <w:rPr>
                <w:sz w:val="20"/>
                <w:szCs w:val="20"/>
                <w:color w:val="auto"/>
              </w:rPr>
            </w:pPr>
            <w:r>
              <w:rPr>
                <w:rFonts w:ascii="Arial" w:cs="Arial" w:eastAsia="Arial" w:hAnsi="Arial"/>
                <w:sz w:val="18"/>
                <w:szCs w:val="18"/>
                <w:color w:val="auto"/>
              </w:rPr>
              <w:t xml:space="preserve">April 2028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2025 AAdvantage Term Loan Facility, variable interest rate of 7.58%, installments until due in</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line="243" w:lineRule="exact"/>
              <w:rPr>
                <w:sz w:val="20"/>
                <w:szCs w:val="20"/>
                <w:color w:val="auto"/>
              </w:rPr>
            </w:pPr>
            <w:r>
              <w:rPr>
                <w:rFonts w:ascii="Arial" w:cs="Arial" w:eastAsia="Arial" w:hAnsi="Arial"/>
                <w:sz w:val="18"/>
                <w:szCs w:val="18"/>
                <w:color w:val="auto"/>
              </w:rPr>
              <w:t xml:space="preserve">May 2032 </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7.15%, averaging 3.77%, maturing from 2025 to 2034</w:t>
            </w: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4,880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2.55% to 6.91%, averaging 5.94%, maturing from 2025 to 2037</w:t>
            </w: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25,372</w:t>
            </w: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2025, the maximum availability under American’s revolving credit and other facilities is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2013 Revolving Facility </w:t>
            </w:r>
            <w:r>
              <w:rPr>
                <w:rFonts w:ascii="Arial" w:cs="Arial" w:eastAsia="Arial" w:hAnsi="Arial"/>
                <w:sz w:val="23"/>
                <w:szCs w:val="23"/>
                <w:color w:val="auto"/>
                <w:vertAlign w:val="superscript"/>
              </w:rPr>
              <w:t>(1)</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9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2014 Revolving Facility </w:t>
            </w:r>
            <w:r>
              <w:rPr>
                <w:rFonts w:ascii="Arial" w:cs="Arial" w:eastAsia="Arial" w:hAnsi="Arial"/>
                <w:sz w:val="23"/>
                <w:szCs w:val="23"/>
                <w:color w:val="auto"/>
                <w:vertAlign w:val="superscript"/>
              </w:rPr>
              <w:t>(1)</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30"/>
        </w:trPr>
        <w:tc>
          <w:tcPr>
            <w:tcW w:w="9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2023 Revolving Facility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30"/>
        </w:trPr>
        <w:tc>
          <w:tcPr>
            <w:tcW w:w="94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facilities </w:t>
            </w:r>
            <w:r>
              <w:rPr>
                <w:rFonts w:ascii="Arial" w:cs="Arial" w:eastAsia="Arial" w:hAnsi="Arial"/>
                <w:sz w:val="23"/>
                <w:szCs w:val="23"/>
                <w:color w:val="auto"/>
                <w:vertAlign w:val="superscript"/>
              </w:rPr>
              <w:t>(2)</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48"/>
        </w:trPr>
        <w:tc>
          <w:tcPr>
            <w:tcW w:w="9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7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76" w:lineRule="exact"/>
        <w:rPr>
          <w:sz w:val="20"/>
          <w:szCs w:val="20"/>
          <w:color w:val="auto"/>
        </w:rPr>
      </w:pPr>
    </w:p>
    <w:p>
      <w:pPr>
        <w:jc w:val="both"/>
        <w:ind w:left="340" w:hanging="332"/>
        <w:spacing w:after="0" w:line="237"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On April 21, 2025, the aggregate revolving commitments under the 2013, 2014 and 2023 Revolving Facilities were increased from $2.9 billion to $3.0 billion upon the upsize of commitments by certain existing lenders. No other terms were changed and there are no borrowings outstanding under the facilities.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Includes a revolving credit facility that provides for borrowing capacity of up to $350 million, maturing in March 2027 with an option to extend for an additional year. Additionally, American currently has $50 million of available borrowing base under a cargo receivables facility that is set to expire in December 2025. There are no amounts drawn under these facilities.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AAdvantage Term Loan Facilities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24, 2025, American and AAdvantage Loyalty IP Ltd. (the Borrowers) entered into a second amendment to the term loan credit and guaranty agreement dated March 24, 2021 (the Second Amendment). As a result of the Second Amendment, the term loans outstanding with a principal amount of approximately $2.3 billion (the 2021 AAdvantage Term Loan Facility) were replaced with new term loans in the same principal amount. The terms of the new term loans are substantially similar to the prior term loans; however, the new term loans bear interest at a base rate (subject to a floor of 0.00%) plus an applicable margin of 1.25% per annum or, at the Borrowers’ option, the Secured Overnight Financing Rate (SOFR) for a tenor of three months (subject to a floor of 0.00%), plus an applicable margin of 2.25% per annum. Additionally, the scheduled quarterly principal amortization amount was reduced to 0.25% of the principal amount of term loans outstanding as of March 24, 2025 (approximately $6 million each quarter), which began in July 2025, and the remaining balance is due at maturity in April 2028. Pursuant to the Second Amendment, the new term loans are not subject to a cost spread adjustment.</w:t>
      </w:r>
    </w:p>
    <w:p>
      <w:pPr>
        <w:spacing w:after="0" w:line="1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May 28, 2025, the Borrowers entered into a third amendment to the term loan credit and guaranty agreement dated March 24, 2021 (the Third Amendment). As a result of the Third Amendment, the Borrowers incurred $1.0 billion of incremental term loans (the 2025 AAdvantage Term Loan Facility) due on May 28, 2032. The terms of the 2025 AAdvantage Term Loan Facility are substantially similar to the 2021 AAdvantage Term Loan Facility; however, the 2025 AAdvantage Term Loan Facility bears interest at a base rate (subject to a floor of 0.00%) plus an applicable margin of 2.25% per annum or, at the Borrowers’ option, the SOFR rate for a tenor of three months (subject to a floor of 0.00%), plus an applicable margin of 3.25% per annum. Additionally, the scheduled quarterly principal amortization amount is equal to 0.25% of the original aggregate principal amount of the 2025 AAdvantage Term Loan Facility (approximately $3 million each quarter), which began in July 2025, and the remaining balance is due at maturity in May 2032. Pursuant to the Third Amendment, the 2025 AAdvantage Term Loan Facility is not subject to a cost spread adjustment. The net proceeds from the 2025 AAdvantage Term Loan Facility were used to repay near term maturities, including AAG’s 6.50% convertible senior notes.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Equipment Loans and Other Notes Payable Issued in 2025</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first nine months of 2025, American entered into agreements under which it borrowed $1.2 billion in connection with the financing of certain aircraft. Debt incurred under these agreements matures in 2036 through 2037 and bears interest at variable rates (comprised of SOFR plus an applicable margin) averaging 6.05% as of September 30, 2025.</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 Financing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first nine months of 2025, American prepaid $487 million of the outstanding principal amounts of equipment notes issued under EETCs, and these amounts were applied to repay the related trust certificates. Additionally, American prepaid $ 308 million toward portions of the outstanding principal amounts of the 10.75% senior secured IP notes and 10.75% senior secured LGA/DCA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December 31, 2024, American had approximately $12.8 billion of gross federal net operating losses (NOLs) and $4.2 billion of other carryforwards available to reduce future federal taxable income, of which $2.9 billion will expire beginning in 2033 if unused and $14.1 billion can be carried forward indefinitely. American is a member of AAG’s consolidated federal and certain state income tax returns. American also had approximately $5.0 billion of NOL carryforwards to reduce future state taxable income at December 31, 2024, which will expire in taxable years 2024 through 2044 if unused.</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its NOLs and other carryforwards,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volatility of aircraft fuel and travel demand. American has determined that positive factors outweigh negative factors in the determination of the realizability of its deferred tax assets.</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has historically calculated the provision for income taxes during interim reporting periods by applying an estimate of the annual effective tax rate for the full year to income or loss for the reporting period. American has changed to use the discrete method to calculate income taxes for the three and nine months ended September 30, 2025. At this time, American believes that the use of the discrete method is more appropriate than the estimated annual effective tax rate method due to the fact that small changes in projected full year income could cause material fluctuations in American’s annual effective tax rate applied during each quarter.</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three and nine months ended September 30, 2025, American recorded an income tax provision of $5 million and $128 million, respectively, which was substantially non-cash due to the utilization of the NOLs described above. Substantially all of American’s income or loss before income taxes is attributable to the United States.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July 4, 2025, H.R. 1, the “One Big Beautiful Bill Act” (the OBBBA) was signed into law in the U.S. Among other changes, the OBBBA modifies key business tax provisions, including by restoring 100% bonus depreciation under Section 168(k), reverting to the higher, EBITDA-based, business interest expense limitation under Section 163(j) and changing the computation of taxes related to international operations. Based on American’s current analysis of these provisions, American does not believe these provisions will have a material impact on its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nine months ended September 30, 2025.</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rPr>
              <w:t>Fair Value Measurements as of September 30, 2025</w:t>
            </w:r>
          </w:p>
        </w:tc>
        <w:tc>
          <w:tcPr>
            <w:tcW w:w="1060" w:type="dxa"/>
            <w:vAlign w:val="bottom"/>
            <w:tcBorders>
              <w:bottom w:val="single" w:sz="8" w:color="auto"/>
            </w:tcBorders>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7"/>
                <w:szCs w:val="17"/>
                <w:color w:val="auto"/>
              </w:rPr>
            </w:pPr>
          </w:p>
        </w:tc>
        <w:tc>
          <w:tcPr>
            <w:tcW w:w="10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32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Tulsa Maintenance Base. Restricted short-term investments mature in one year or less except for $128 million as of September 30, 2025.</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American’s equity investment in China Southern Airlines Company Limited (China Southern Airlines). See Note 7 for further information on American’s equity investments.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September 30, 2025</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5"/>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5"/>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11"/>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18"/>
        </w:trPr>
        <w:tc>
          <w:tcPr>
            <w:tcW w:w="4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5"/>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11"/>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help expand American’s network and as part of its ongoing commitment to sustainability, American enters into various commercial relationships or other strategic partnerships, including equity investments, with other airlines and companies. American’s equity investments are reflected in other assets on its condensed consolidated balance sheets. American’s share of equity method investees’ financial results and changes in fair value are recorded in nonoperating other income (expense), net on the condensed consolidated statements of operations.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American’s equity investment ownership interests and carrying values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Carrying Value (in millions)</w:t>
            </w:r>
          </w:p>
        </w:tc>
        <w:tc>
          <w:tcPr>
            <w:tcW w:w="0" w:type="dxa"/>
            <w:vAlign w:val="bottom"/>
          </w:tcPr>
          <w:p>
            <w:pPr>
              <w:spacing w:after="0"/>
              <w:rPr>
                <w:sz w:val="1"/>
                <w:szCs w:val="1"/>
                <w:color w:val="auto"/>
              </w:rPr>
            </w:pPr>
          </w:p>
        </w:tc>
      </w:tr>
      <w:tr>
        <w:trPr>
          <w:trHeight w:val="202"/>
        </w:trPr>
        <w:tc>
          <w:tcPr>
            <w:tcW w:w="2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 Treatment</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56"/>
        </w:trPr>
        <w:tc>
          <w:tcPr>
            <w:tcW w:w="2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Republic Airways</w:t>
            </w:r>
          </w:p>
        </w:tc>
        <w:tc>
          <w:tcPr>
            <w:tcW w:w="19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rPr>
              <w:t>Equity Method</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Holdings Inc.</w:t>
            </w:r>
          </w:p>
        </w:tc>
        <w:tc>
          <w:tcPr>
            <w:tcW w:w="1980" w:type="dxa"/>
            <w:vAlign w:val="bottom"/>
            <w:gridSpan w:val="2"/>
            <w:vMerge w:val="continue"/>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Fair Value</w:t>
            </w: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2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520" w:right="1240" w:hanging="5512"/>
        <w:spacing w:after="0" w:line="721" w:lineRule="auto"/>
        <w:tabs>
          <w:tab w:leader="none" w:pos="322"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Primarily includes American’s investment in JetSMART Holdings Limited, which is accounted for under the equity method.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nine months of 2025, American made required contributions of $221 million to its defined benefit pension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Pension, Retiree</w:t>
      </w:r>
    </w:p>
    <w:p>
      <w:pPr>
        <w:jc w:val="center"/>
        <w:ind w:left="1800"/>
        <w:spacing w:after="0" w:line="221" w:lineRule="auto"/>
        <w:rPr>
          <w:sz w:val="20"/>
          <w:szCs w:val="20"/>
          <w:color w:val="auto"/>
        </w:rPr>
      </w:pPr>
      <w:r>
        <w:rPr>
          <w:rFonts w:ascii="Arial" w:cs="Arial" w:eastAsia="Arial" w:hAnsi="Arial"/>
          <w:sz w:val="14"/>
          <w:szCs w:val="14"/>
          <w:b w:val="1"/>
          <w:bCs w:val="1"/>
          <w:color w:val="auto"/>
        </w:rPr>
        <w:t>Medical and Other</w:t>
      </w:r>
    </w:p>
    <w:p>
      <w:pPr>
        <w:ind w:left="6020"/>
        <w:spacing w:after="0" w:line="209" w:lineRule="auto"/>
        <w:rPr>
          <w:sz w:val="20"/>
          <w:szCs w:val="20"/>
          <w:color w:val="auto"/>
        </w:rPr>
      </w:pPr>
      <w:r>
        <w:rPr>
          <w:rFonts w:ascii="Arial" w:cs="Arial" w:eastAsia="Arial" w:hAnsi="Arial"/>
          <w:sz w:val="14"/>
          <w:szCs w:val="14"/>
          <w:b w:val="1"/>
          <w:bCs w:val="1"/>
          <w:color w:val="auto"/>
        </w:rPr>
        <w:t>Postretirement</w:t>
      </w:r>
    </w:p>
    <w:tbl>
      <w:tblPr>
        <w:tblLayout w:type="fixed"/>
        <w:tblInd w:w="0" w:type="dxa"/>
        <w:tblCellMar>
          <w:top w:w="0" w:type="dxa"/>
          <w:left w:w="0" w:type="dxa"/>
          <w:bottom w:w="0" w:type="dxa"/>
          <w:right w:w="0" w:type="dxa"/>
        </w:tblCellMar>
      </w:tblPr>
      <w:tr>
        <w:trPr>
          <w:trHeight w:val="193"/>
        </w:trPr>
        <w:tc>
          <w:tcPr>
            <w:tcW w:w="20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Benefits</w:t>
            </w:r>
          </w:p>
        </w:tc>
        <w:tc>
          <w:tcPr>
            <w:tcW w:w="1720" w:type="dxa"/>
            <w:vAlign w:val="bottom"/>
            <w:gridSpan w:val="2"/>
          </w:tcPr>
          <w:p>
            <w:pPr>
              <w:jc w:val="right"/>
              <w:spacing w:after="0" w:line="193" w:lineRule="exact"/>
              <w:rPr>
                <w:sz w:val="20"/>
                <w:szCs w:val="20"/>
                <w:color w:val="auto"/>
              </w:rPr>
            </w:pPr>
            <w:r>
              <w:rPr>
                <w:rFonts w:ascii="Arial" w:cs="Arial" w:eastAsia="Arial" w:hAnsi="Arial"/>
                <w:sz w:val="14"/>
                <w:szCs w:val="14"/>
                <w:b w:val="1"/>
                <w:bCs w:val="1"/>
                <w:color w:val="auto"/>
              </w:rPr>
              <w:t xml:space="preserve">Income Tax Provision </w:t>
            </w:r>
            <w:r>
              <w:rPr>
                <w:rFonts w:ascii="Arial" w:cs="Arial" w:eastAsia="Arial" w:hAnsi="Arial"/>
                <w:sz w:val="18"/>
                <w:szCs w:val="18"/>
                <w:b w:val="1"/>
                <w:bCs w:val="1"/>
                <w:color w:val="auto"/>
                <w:vertAlign w:val="superscript"/>
              </w:rPr>
              <w:t>(1)</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14"/>
              <w:spacing w:after="0"/>
              <w:rPr>
                <w:sz w:val="20"/>
                <w:szCs w:val="20"/>
                <w:color w:val="auto"/>
              </w:rPr>
            </w:pPr>
            <w:r>
              <w:rPr>
                <w:rFonts w:ascii="Arial" w:cs="Arial" w:eastAsia="Arial" w:hAnsi="Arial"/>
                <w:sz w:val="14"/>
                <w:szCs w:val="14"/>
                <w:b w:val="1"/>
                <w:bCs w:val="1"/>
                <w:color w:val="auto"/>
              </w:rPr>
              <w:t>Total</w:t>
            </w:r>
          </w:p>
        </w:tc>
      </w:tr>
      <w:tr>
        <w:trPr>
          <w:trHeight w:val="22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r>
      <w:tr>
        <w:trPr>
          <w:trHeight w:val="230"/>
        </w:trPr>
        <w:tc>
          <w:tcPr>
            <w:tcW w:w="5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Amounts reclassified from AOCI</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2025</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r>
      <w:tr>
        <w:trPr>
          <w:trHeight w:val="20"/>
        </w:trPr>
        <w:tc>
          <w:tcPr>
            <w:tcW w:w="20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3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OF AMERICAN AIRLINES,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22" w:right="339" w:bottom="1440" w:gutter="0" w:footer="0" w:header="0"/>
        </w:sect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7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Amounts reclassified from AOCI</w:t>
            </w:r>
          </w:p>
        </w:tc>
        <w:tc>
          <w:tcPr>
            <w:tcW w:w="840" w:type="dxa"/>
            <w:vAlign w:val="bottom"/>
            <w:tcBorders>
              <w:bottom w:val="single" w:sz="8" w:color="auto"/>
            </w:tcBorders>
          </w:tcPr>
          <w:p>
            <w:pPr>
              <w:spacing w:after="0"/>
              <w:rPr>
                <w:sz w:val="17"/>
                <w:szCs w:val="17"/>
                <w:color w:val="auto"/>
              </w:rPr>
            </w:pPr>
          </w:p>
        </w:tc>
      </w:tr>
      <w:tr>
        <w:trPr>
          <w:trHeight w:val="161"/>
        </w:trPr>
        <w:tc>
          <w:tcPr>
            <w:tcW w:w="3740" w:type="dxa"/>
            <w:vAlign w:val="bottom"/>
          </w:tcPr>
          <w:p>
            <w:pPr>
              <w:spacing w:after="0"/>
              <w:rPr>
                <w:sz w:val="13"/>
                <w:szCs w:val="13"/>
                <w:color w:val="auto"/>
              </w:rPr>
            </w:pPr>
          </w:p>
        </w:tc>
        <w:tc>
          <w:tcPr>
            <w:tcW w:w="2180" w:type="dxa"/>
            <w:vAlign w:val="bottom"/>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740" w:type="dxa"/>
            <w:vAlign w:val="bottom"/>
          </w:tcPr>
          <w:p>
            <w:pPr>
              <w:spacing w:after="0"/>
              <w:rPr>
                <w:sz w:val="16"/>
                <w:szCs w:val="16"/>
                <w:color w:val="auto"/>
              </w:rPr>
            </w:pPr>
          </w:p>
        </w:tc>
        <w:tc>
          <w:tcPr>
            <w:tcW w:w="2180" w:type="dxa"/>
            <w:vAlign w:val="bottom"/>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4"/>
        </w:trPr>
        <w:tc>
          <w:tcPr>
            <w:tcW w:w="374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840" w:type="dxa"/>
            <w:vAlign w:val="bottom"/>
            <w:tcBorders>
              <w:top w:val="single" w:sz="8" w:color="auto"/>
            </w:tcBorders>
          </w:tcPr>
          <w:p>
            <w:pPr>
              <w:ind w:left="340"/>
              <w:spacing w:after="0"/>
              <w:rPr>
                <w:sz w:val="20"/>
                <w:szCs w:val="20"/>
                <w:color w:val="auto"/>
              </w:rPr>
            </w:pPr>
            <w:r>
              <w:rPr>
                <w:rFonts w:ascii="Arial" w:cs="Arial" w:eastAsia="Arial" w:hAnsi="Arial"/>
                <w:sz w:val="14"/>
                <w:szCs w:val="14"/>
                <w:b w:val="1"/>
                <w:bCs w:val="1"/>
                <w:color w:val="auto"/>
              </w:rPr>
              <w:t>2025</w:t>
            </w:r>
          </w:p>
        </w:tc>
        <w:tc>
          <w:tcPr>
            <w:tcW w:w="12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24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40" w:firstLine="44"/>
        <w:spacing w:after="0" w:line="256"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020" w:space="340"/>
            <w:col w:w="2880"/>
          </w:cols>
          <w:pgMar w:left="320" w:top="122" w:right="339" w:bottom="1440" w:gutter="0" w:footer="0" w:header="0"/>
          <w:type w:val="continuous"/>
        </w:sectPr>
      </w:pPr>
    </w:p>
    <w:p>
      <w:pPr>
        <w:ind w:left="20"/>
        <w:spacing w:after="0" w:line="221" w:lineRule="auto"/>
        <w:rPr>
          <w:sz w:val="20"/>
          <w:szCs w:val="20"/>
          <w:color w:val="auto"/>
        </w:rPr>
      </w:pPr>
      <w:r>
        <w:rPr>
          <w:rFonts w:ascii="Arial" w:cs="Arial" w:eastAsia="Arial" w:hAnsi="Arial"/>
          <w:sz w:val="18"/>
          <w:szCs w:val="18"/>
          <w:color w:val="auto"/>
        </w:rPr>
        <w:t>Amortization of pension, retiree medical and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postretirement benefits:</w:t>
      </w:r>
    </w:p>
    <w:tbl>
      <w:tblPr>
        <w:tblLayout w:type="fixed"/>
        <w:tblInd w:w="0" w:type="dxa"/>
        <w:tblCellMar>
          <w:top w:w="0" w:type="dxa"/>
          <w:left w:w="0" w:type="dxa"/>
          <w:bottom w:w="0" w:type="dxa"/>
          <w:right w:w="0" w:type="dxa"/>
        </w:tblCellMar>
      </w:tblPr>
      <w:tr>
        <w:trPr>
          <w:trHeight w:val="199"/>
        </w:trPr>
        <w:tc>
          <w:tcPr>
            <w:tcW w:w="3760" w:type="dxa"/>
            <w:vAlign w:val="bottom"/>
            <w:vMerge w:val="restart"/>
          </w:tcPr>
          <w:p>
            <w:pPr>
              <w:ind w:left="360"/>
              <w:spacing w:after="0"/>
              <w:rPr>
                <w:sz w:val="20"/>
                <w:szCs w:val="20"/>
                <w:color w:val="auto"/>
              </w:rPr>
            </w:pPr>
            <w:r>
              <w:rPr>
                <w:rFonts w:ascii="Arial" w:cs="Arial" w:eastAsia="Arial" w:hAnsi="Arial"/>
                <w:sz w:val="18"/>
                <w:szCs w:val="18"/>
                <w:color w:val="auto"/>
              </w:rPr>
              <w:t>Prior service cost</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3220" w:type="dxa"/>
            <w:vAlign w:val="bottom"/>
          </w:tcPr>
          <w:p>
            <w:pPr>
              <w:ind w:left="100"/>
              <w:spacing w:after="0" w:line="199" w:lineRule="exact"/>
              <w:rPr>
                <w:sz w:val="20"/>
                <w:szCs w:val="20"/>
                <w:color w:val="auto"/>
              </w:rPr>
            </w:pPr>
            <w:r>
              <w:rPr>
                <w:rFonts w:ascii="Arial" w:cs="Arial" w:eastAsia="Arial" w:hAnsi="Arial"/>
                <w:sz w:val="18"/>
                <w:szCs w:val="18"/>
                <w:color w:val="auto"/>
              </w:rPr>
              <w:t>Nonoperating other income (expense),</w:t>
            </w:r>
          </w:p>
        </w:tc>
        <w:tc>
          <w:tcPr>
            <w:tcW w:w="0" w:type="dxa"/>
            <w:vAlign w:val="bottom"/>
          </w:tcPr>
          <w:p>
            <w:pPr>
              <w:spacing w:after="0"/>
              <w:rPr>
                <w:sz w:val="1"/>
                <w:szCs w:val="1"/>
                <w:color w:val="auto"/>
              </w:rPr>
            </w:pPr>
          </w:p>
        </w:tc>
      </w:tr>
      <w:tr>
        <w:trPr>
          <w:trHeight w:val="243"/>
        </w:trPr>
        <w:tc>
          <w:tcPr>
            <w:tcW w:w="376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3220" w:type="dxa"/>
            <w:vAlign w:val="bottom"/>
          </w:tcPr>
          <w:p>
            <w:pPr>
              <w:ind w:left="2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75"/>
        </w:trPr>
        <w:tc>
          <w:tcPr>
            <w:tcW w:w="37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Nonoperating other income (expense),</w:t>
            </w:r>
          </w:p>
        </w:tc>
        <w:tc>
          <w:tcPr>
            <w:tcW w:w="0" w:type="dxa"/>
            <w:vAlign w:val="bottom"/>
          </w:tcPr>
          <w:p>
            <w:pPr>
              <w:spacing w:after="0"/>
              <w:rPr>
                <w:sz w:val="1"/>
                <w:szCs w:val="1"/>
                <w:color w:val="auto"/>
              </w:rPr>
            </w:pPr>
          </w:p>
        </w:tc>
      </w:tr>
      <w:tr>
        <w:trPr>
          <w:trHeight w:val="243"/>
        </w:trPr>
        <w:tc>
          <w:tcPr>
            <w:tcW w:w="3760" w:type="dxa"/>
            <w:vAlign w:val="bottom"/>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vMerge w:val="continue"/>
            <w:shd w:val="clear" w:color="auto" w:fill="CCEEFF"/>
          </w:tcPr>
          <w:p>
            <w:pPr>
              <w:spacing w:after="0"/>
              <w:rPr>
                <w:sz w:val="21"/>
                <w:szCs w:val="21"/>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55"/>
        </w:trPr>
        <w:tc>
          <w:tcPr>
            <w:tcW w:w="3760" w:type="dxa"/>
            <w:vAlign w:val="bottom"/>
          </w:tcPr>
          <w:p>
            <w:pPr>
              <w:ind w:left="20"/>
              <w:spacing w:after="0" w:line="156" w:lineRule="exact"/>
              <w:rPr>
                <w:sz w:val="20"/>
                <w:szCs w:val="20"/>
                <w:color w:val="auto"/>
              </w:rPr>
            </w:pPr>
            <w:r>
              <w:rPr>
                <w:rFonts w:ascii="Arial" w:cs="Arial" w:eastAsia="Arial" w:hAnsi="Arial"/>
                <w:sz w:val="18"/>
                <w:szCs w:val="18"/>
                <w:color w:val="auto"/>
              </w:rPr>
              <w:t>Total reclassifications for the period, net of</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3"/>
                <w:szCs w:val="13"/>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3"/>
                <w:szCs w:val="13"/>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3"/>
                <w:szCs w:val="13"/>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760" w:type="dxa"/>
            <w:vAlign w:val="bottom"/>
          </w:tcPr>
          <w:p>
            <w:pPr>
              <w:ind w:left="180"/>
              <w:spacing w:after="0"/>
              <w:rPr>
                <w:sz w:val="20"/>
                <w:szCs w:val="20"/>
                <w:color w:val="auto"/>
              </w:rPr>
            </w:pPr>
            <w:r>
              <w:rPr>
                <w:rFonts w:ascii="Arial" w:cs="Arial" w:eastAsia="Arial" w:hAnsi="Arial"/>
                <w:sz w:val="18"/>
                <w:szCs w:val="18"/>
                <w:color w:val="auto"/>
              </w:rPr>
              <w:t>tax</w:t>
            </w:r>
          </w:p>
        </w:tc>
        <w:tc>
          <w:tcPr>
            <w:tcW w:w="4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American’s regional carrier arrangements are principally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for the three months ended September 30, 2025 and 2024 include $75 million and $70 million of depreciation and amortization, respectively, and $2 million of aircraft rent in each period. Regional expenses for the nine months ended September 30, 2025 and 2024 include $216 million and $208 million of depreciation and amortization, respectively, and $7 million of aircraft rent in each period.</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three months ended September 30, 2025 and 2024, American recognized $177 million and $ 153 million, respectively, of expense under its capacity purchase agreement with Republic Airways Inc. (Republic). During the nine months ended September 30, 2025 and 2024, American recognized $519 million and $452 million, respectively, of expense under its capacity purchase agreement with Republic. American holds a 25% equity interest in Republic Airways Holdings Inc., the parent company of Republic.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Transactions with Related Parties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Pr>
          <w:p>
            <w:pPr>
              <w:spacing w:after="0"/>
              <w:rPr>
                <w:sz w:val="17"/>
                <w:szCs w:val="17"/>
                <w:color w:val="auto"/>
              </w:rPr>
            </w:pPr>
          </w:p>
        </w:tc>
        <w:tc>
          <w:tcPr>
            <w:tcW w:w="1620" w:type="dxa"/>
            <w:vAlign w:val="bottom"/>
          </w:tcPr>
          <w:p>
            <w:pPr>
              <w:jc w:val="right"/>
              <w:ind w:right="175"/>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75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AAG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r>
      <w:tr>
        <w:trPr>
          <w:trHeight w:val="230"/>
        </w:trPr>
        <w:tc>
          <w:tcPr>
            <w:tcW w:w="7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r>
    </w:tbl>
    <w:p>
      <w:pPr>
        <w:spacing w:after="0" w:line="76" w:lineRule="exact"/>
        <w:rPr>
          <w:sz w:val="20"/>
          <w:szCs w:val="20"/>
          <w:color w:val="auto"/>
        </w:rPr>
      </w:pPr>
    </w:p>
    <w:p>
      <w:pPr>
        <w:jc w:val="both"/>
        <w:ind w:left="340" w:hanging="332"/>
        <w:spacing w:after="0" w:line="237"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The increase in American’s net related party receivable from AAG is due in part to American providing the cash funding for AAG’s financing transactions, including the $1.0 billion cash settlement of AAG’s 6.50% convertible senior notes upon their maturity on July 1, 2025.</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(NEA). </w:t>
      </w:r>
      <w:r>
        <w:rPr>
          <w:rFonts w:ascii="Arial" w:cs="Arial" w:eastAsia="Arial" w:hAnsi="Arial"/>
          <w:sz w:val="18"/>
          <w:szCs w:val="18"/>
          <w:color w:val="auto"/>
        </w:rPr>
        <w:t>On December 5, 2022 and December 7, 2022, two private party</w:t>
      </w:r>
      <w:r>
        <w:rPr>
          <w:rFonts w:ascii="Arial" w:cs="Arial" w:eastAsia="Arial" w:hAnsi="Arial"/>
          <w:sz w:val="18"/>
          <w:szCs w:val="18"/>
          <w:i w:val="1"/>
          <w:iCs w:val="1"/>
          <w:color w:val="auto"/>
        </w:rPr>
        <w:t xml:space="preserve"> </w:t>
      </w:r>
      <w:r>
        <w:rPr>
          <w:rFonts w:ascii="Arial" w:cs="Arial" w:eastAsia="Arial" w:hAnsi="Arial"/>
          <w:sz w:val="18"/>
          <w:szCs w:val="18"/>
          <w:color w:val="auto"/>
        </w:rPr>
        <w:t>plaintiffs filed putative class action antitrust complaints against AAG and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and the parties are now engaged in discovery. AAG believes these lawsuits are without merit and is defending against them vigorously.</w:t>
      </w:r>
    </w:p>
    <w:p>
      <w:pPr>
        <w:spacing w:after="0" w:line="13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Securities and Stockholder Derivative Litigation. </w:t>
      </w:r>
      <w:r>
        <w:rPr>
          <w:rFonts w:ascii="Arial" w:cs="Arial" w:eastAsia="Arial" w:hAnsi="Arial"/>
          <w:sz w:val="18"/>
          <w:szCs w:val="18"/>
          <w:color w:val="auto"/>
        </w:rPr>
        <w:t>On July 18, 2024, AAG and certain of its current and former officers were named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defendants in a putative class action lawsuit filed in the U.S. District Court for the Northern District of Texas, captioned </w:t>
      </w:r>
      <w:r>
        <w:rPr>
          <w:rFonts w:ascii="Arial" w:cs="Arial" w:eastAsia="Arial" w:hAnsi="Arial"/>
          <w:sz w:val="18"/>
          <w:szCs w:val="18"/>
          <w:i w:val="1"/>
          <w:iCs w:val="1"/>
          <w:color w:val="auto"/>
        </w:rPr>
        <w:t>Qawasmi v. American</w:t>
      </w:r>
      <w:r>
        <w:rPr>
          <w:rFonts w:ascii="Arial" w:cs="Arial" w:eastAsia="Arial" w:hAnsi="Arial"/>
          <w:sz w:val="18"/>
          <w:szCs w:val="18"/>
          <w:color w:val="auto"/>
        </w:rPr>
        <w:t xml:space="preserve"> </w:t>
      </w:r>
      <w:r>
        <w:rPr>
          <w:rFonts w:ascii="Arial" w:cs="Arial" w:eastAsia="Arial" w:hAnsi="Arial"/>
          <w:sz w:val="18"/>
          <w:szCs w:val="18"/>
          <w:i w:val="1"/>
          <w:iCs w:val="1"/>
          <w:color w:val="auto"/>
        </w:rPr>
        <w:t>Airlines Group Inc., et al</w:t>
      </w:r>
      <w:r>
        <w:rPr>
          <w:rFonts w:ascii="Arial" w:cs="Arial" w:eastAsia="Arial" w:hAnsi="Arial"/>
          <w:sz w:val="18"/>
          <w:szCs w:val="18"/>
          <w:color w:val="auto"/>
        </w:rPr>
        <w:t>. The</w:t>
      </w:r>
      <w:r>
        <w:rPr>
          <w:rFonts w:ascii="Arial" w:cs="Arial" w:eastAsia="Arial" w:hAnsi="Arial"/>
          <w:sz w:val="18"/>
          <w:szCs w:val="18"/>
          <w:i w:val="1"/>
          <w:iCs w:val="1"/>
          <w:color w:val="auto"/>
        </w:rPr>
        <w:t xml:space="preserve"> Qawasmi </w:t>
      </w:r>
      <w:r>
        <w:rPr>
          <w:rFonts w:ascii="Arial" w:cs="Arial" w:eastAsia="Arial" w:hAnsi="Arial"/>
          <w:sz w:val="18"/>
          <w:szCs w:val="18"/>
          <w:color w:val="auto"/>
        </w:rPr>
        <w:t>plaintiff purports to represent investors who acquired AAG securities between January 25, 2024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May 28, 2024. On August 28, 2024, AAG and certain of its current and former officers were named as defendants in a second putative class action lawsuit filed in the same court, captioned </w:t>
      </w:r>
      <w:r>
        <w:rPr>
          <w:rFonts w:ascii="Arial" w:cs="Arial" w:eastAsia="Arial" w:hAnsi="Arial"/>
          <w:sz w:val="18"/>
          <w:szCs w:val="18"/>
          <w:i w:val="1"/>
          <w:iCs w:val="1"/>
          <w:color w:val="auto"/>
        </w:rPr>
        <w:t>Thornburg v. American Airlines Group Inc.,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plaintiff purports to represent investors who acquired AAG securities between July 20, 2023 and May 28, 2024. Both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complaints assert violations of Sections 10(b) and 20(a) of the Exchange Act based on allegations that, during the relevant periods, AAG misrepresented and/or omitted material facts related to its financial outlook and certain commercial initiatives. On September 16, 2024, certain purported AAG investors moved for consolidation of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actions as well as appointment as lead plaintiff. On November 22, 2024,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complaints were consolidated into a single action bearing the caption </w:t>
      </w:r>
      <w:r>
        <w:rPr>
          <w:rFonts w:ascii="Arial" w:cs="Arial" w:eastAsia="Arial" w:hAnsi="Arial"/>
          <w:sz w:val="18"/>
          <w:szCs w:val="18"/>
          <w:i w:val="1"/>
          <w:iCs w:val="1"/>
          <w:color w:val="auto"/>
        </w:rPr>
        <w:t>In re American Airlines Group Inc.</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Litigation</w:t>
      </w:r>
      <w:r>
        <w:rPr>
          <w:rFonts w:ascii="Arial" w:cs="Arial" w:eastAsia="Arial" w:hAnsi="Arial"/>
          <w:sz w:val="18"/>
          <w:szCs w:val="18"/>
          <w:color w:val="auto"/>
        </w:rPr>
        <w:t>. The court also appointed co-lead plaintiffs and lead counsel to represent the putative class in the consolidated action.</w:t>
      </w:r>
      <w:r>
        <w:rPr>
          <w:rFonts w:ascii="Arial" w:cs="Arial" w:eastAsia="Arial" w:hAnsi="Arial"/>
          <w:sz w:val="18"/>
          <w:szCs w:val="18"/>
          <w:i w:val="1"/>
          <w:iCs w:val="1"/>
          <w:color w:val="auto"/>
        </w:rPr>
        <w:t xml:space="preserve"> </w:t>
      </w:r>
      <w:r>
        <w:rPr>
          <w:rFonts w:ascii="Arial" w:cs="Arial" w:eastAsia="Arial" w:hAnsi="Arial"/>
          <w:sz w:val="18"/>
          <w:szCs w:val="18"/>
          <w:color w:val="auto"/>
        </w:rPr>
        <w:t>Plaintiffs filed a consolidated complaint on January 21, 2025, and an amended consolidated complaint on March 19, 2025. The consolidated complaint makes similar factual allegations to the prior complaints regarding AAG’s financial outlook and certain commercial initiatives. AAG and the individual defendants filed a joint motion to dismiss on March 21, 2025 that was fully submitted on May 23, 2025. That motion is currently pending.</w:t>
      </w:r>
    </w:p>
    <w:p>
      <w:pPr>
        <w:spacing w:after="0" w:line="1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Additionally, on September 19, 2024, certain of AAG’s current and former directors and officers were named as defendants in a shareholder derivative lawsuit (in which AAG is a nominal defendant) filed in the U.S. District Court for the Northern District of Texas, captioned </w:t>
      </w:r>
      <w:r>
        <w:rPr>
          <w:rFonts w:ascii="Arial" w:cs="Arial" w:eastAsia="Arial" w:hAnsi="Arial"/>
          <w:sz w:val="18"/>
          <w:szCs w:val="18"/>
          <w:i w:val="1"/>
          <w:iCs w:val="1"/>
          <w:color w:val="auto"/>
        </w:rPr>
        <w:t>Hollin v. Isom,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complaint asserts violations of Section 10(b) of the Exchange Act, breach of fiduciary duty, and claims for unjust enrichment and corporate waste. On September 26, 2024, a second derivative complaint was filed in the same court, similarly naming certain of AAG’s current and former directors and officers (as well as AAG as a nominal defendant), captioned </w:t>
      </w:r>
      <w:r>
        <w:rPr>
          <w:rFonts w:ascii="Arial" w:cs="Arial" w:eastAsia="Arial" w:hAnsi="Arial"/>
          <w:sz w:val="18"/>
          <w:szCs w:val="18"/>
          <w:i w:val="1"/>
          <w:iCs w:val="1"/>
          <w:color w:val="auto"/>
        </w:rPr>
        <w:t>Leon v. Isom,</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The</w:t>
      </w:r>
      <w:r>
        <w:rPr>
          <w:rFonts w:ascii="Arial" w:cs="Arial" w:eastAsia="Arial" w:hAnsi="Arial"/>
          <w:sz w:val="18"/>
          <w:szCs w:val="18"/>
          <w:i w:val="1"/>
          <w:iCs w:val="1"/>
          <w:color w:val="auto"/>
        </w:rPr>
        <w:t xml:space="preserve"> Leon </w:t>
      </w:r>
      <w:r>
        <w:rPr>
          <w:rFonts w:ascii="Arial" w:cs="Arial" w:eastAsia="Arial" w:hAnsi="Arial"/>
          <w:sz w:val="18"/>
          <w:szCs w:val="18"/>
          <w:color w:val="auto"/>
        </w:rPr>
        <w:t>complaint asserts violations of Section 14(a) of the Exchange Act, breaches of fiduciary duty, claims of unjust enrichment,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abuse of control, gross mismanagement, waste of corporate assets, and a claim for contribution.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generally allege the same purported misconduct as alleged in the securities class actions. On November 25, 2024,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were consolidated into a single action bearing the caption </w:t>
      </w:r>
      <w:r>
        <w:rPr>
          <w:rFonts w:ascii="Arial" w:cs="Arial" w:eastAsia="Arial" w:hAnsi="Arial"/>
          <w:sz w:val="18"/>
          <w:szCs w:val="18"/>
          <w:i w:val="1"/>
          <w:iCs w:val="1"/>
          <w:color w:val="auto"/>
        </w:rPr>
        <w:t>In re American Airlines Group Inc. Stockholder Derivative Action</w:t>
      </w:r>
      <w:r>
        <w:rPr>
          <w:rFonts w:ascii="Arial" w:cs="Arial" w:eastAsia="Arial" w:hAnsi="Arial"/>
          <w:sz w:val="18"/>
          <w:szCs w:val="18"/>
          <w:color w:val="auto"/>
        </w:rPr>
        <w:t>. The derivative actions are currently stayed pending resolution of the securities class action. AAG believes both the securities class action and shareholder derivative lawsuit are without merit and intends to defend against them vigorously.</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October 2025, American refinanced the $629 million remaining outstanding principal amount of the 10.75% senior secured IP notes and the 10.75% senior secured LGA/DCA notes due February 2026 with $629 million borrowed under a senior unsecured short-term loan facility. Term loans under the facility mature on January 21, 2026 and bear interest at SOFR for a tenor of one month plus an applicable margin of 2.375% per annum (6.40% as of the closing date). The resulting transactions also accelerated the release of the 10.75% senior secured LGA/DCA notes collateral.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2024 (the 2024 Form 10-K). The information contained herein is not a comprehensive discussion and analysis of the financial condition and results of operations of AAG and American, but rather updates disclosures made in the 2024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Macroeconomic Conditions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Starting in the first quarter of 2025, the U.S. Government has promoted and implemented plans to place additional tariffs on goods imported into the U.S. from numerous countries and has pursued other trade policies intended to restrict imports and, in response, multiple nations have countered with reciprocal tariffs and other actions.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These or additional changes in U.S. or international trade policies, along with continued uncertainty surrounding such policies, could lead to further weakened business conditions for the transportation industry, which may adversely impact our operations through increased supply chain challenges, commodity price volatility and a decline in discretionary spending and consumer confidence, among others. We continue to monitor the situation.</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Many aspects of our airline operations depend on the U.S. Government. The current shutdown, if it continues for an extended period of time, could strain air traffic control and security staffing, reduce air traffic capacity at key airports in the U.S. and have a material and adverse impact on our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Third Quarter 2025 Results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center"/>
              <w:ind w:left="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93"/>
              <w:spacing w:after="0" w:line="121" w:lineRule="exact"/>
              <w:rPr>
                <w:sz w:val="20"/>
                <w:szCs w:val="20"/>
                <w:color w:val="auto"/>
              </w:rPr>
            </w:pPr>
            <w:r>
              <w:rPr>
                <w:rFonts w:ascii="Arial" w:cs="Arial" w:eastAsia="Arial" w:hAnsi="Arial"/>
                <w:sz w:val="13"/>
                <w:szCs w:val="13"/>
                <w:b w:val="1"/>
                <w:bCs w:val="1"/>
                <w:color w:val="auto"/>
              </w:rPr>
              <w:t>Increase</w:t>
            </w:r>
          </w:p>
        </w:tc>
        <w:tc>
          <w:tcPr>
            <w:tcW w:w="1260" w:type="dxa"/>
            <w:vAlign w:val="bottom"/>
          </w:tcPr>
          <w:p>
            <w:pPr>
              <w:jc w:val="center"/>
              <w:ind w:left="36"/>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40" w:type="dxa"/>
            <w:vAlign w:val="bottom"/>
            <w:gridSpan w:val="7"/>
          </w:tcPr>
          <w:p>
            <w:pPr>
              <w:jc w:val="right"/>
              <w:ind w:right="153"/>
              <w:spacing w:after="0"/>
              <w:rPr>
                <w:sz w:val="20"/>
                <w:szCs w:val="20"/>
                <w:color w:val="auto"/>
              </w:rPr>
            </w:pPr>
            <w:r>
              <w:rPr>
                <w:rFonts w:ascii="Arial" w:cs="Arial" w:eastAsia="Arial" w:hAnsi="Arial"/>
                <w:sz w:val="14"/>
                <w:szCs w:val="14"/>
                <w:b w:val="1"/>
                <w:bCs w:val="1"/>
                <w:color w:val="auto"/>
              </w:rPr>
              <w:t>(In millions, except percentage changes)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w w:val="96"/>
              </w:rPr>
              <w:t>69.4</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loss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7"/>
              </w:rPr>
              <w:t>(44.7)</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w w:val="97"/>
              </w:rPr>
              <w:t>(74.1)</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7"/>
              </w:rPr>
              <w:t>(23.5)</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loss –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7"/>
              </w:rPr>
              <w:t>(44.7)</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260" w:type="dxa"/>
            <w:vAlign w:val="bottom"/>
            <w:tcBorders>
              <w:bottom w:val="single" w:sz="8" w:color="CCEEFF"/>
            </w:tcBorders>
          </w:tcPr>
          <w:p>
            <w:pPr>
              <w:jc w:val="center"/>
              <w:ind w:left="36"/>
              <w:spacing w:after="0"/>
              <w:rPr>
                <w:sz w:val="20"/>
                <w:szCs w:val="20"/>
                <w:color w:val="auto"/>
              </w:rPr>
            </w:pPr>
            <w:r>
              <w:rPr>
                <w:rFonts w:ascii="Arial" w:cs="Arial" w:eastAsia="Arial" w:hAnsi="Arial"/>
                <w:sz w:val="18"/>
                <w:szCs w:val="18"/>
                <w:color w:val="auto"/>
                <w:w w:val="97"/>
              </w:rPr>
              <w:t>(99.4)</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60" w:type="dxa"/>
            <w:vAlign w:val="bottom"/>
            <w:tcBorders>
              <w:bottom w:val="single" w:sz="8" w:color="CCEEFF"/>
            </w:tcBorders>
            <w:shd w:val="clear" w:color="auto" w:fill="CCEEFF"/>
          </w:tcPr>
          <w:p>
            <w:pPr>
              <w:ind w:left="480"/>
              <w:spacing w:after="0" w:line="223"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0"/>
                <w:szCs w:val="10"/>
                <w:color w:val="auto"/>
              </w:rPr>
              <w:t xml:space="preserve"> (2)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-2468245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-2468245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340" w:hanging="332"/>
        <w:spacing w:after="0" w:line="231" w:lineRule="auto"/>
        <w:tabs>
          <w:tab w:leader="none" w:pos="33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below and Note 2 to AAG’s Condensed Consolidated Financial Statements in Part I, Item 1A for details on the components of net special items.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Loss and Net Loss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Pre-tax loss and net loss were $142 million and $114 million, respectively, in the third quarter of 2025. This compares to third quarter of 2024 pre-tax loss and net loss of $256 million and $149 million, respectively. The period-over-period decrease in pre-tax loss on a GAAP basis was principally driven by a decrease in pre-tax net special items and lower costs for aircraft fuel and related taxes, offset in part by increases in certain operating expenses including salaries, wages and benefits and regional expenses.</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Excluding the effects of pre-tax net special items, pre-tax loss was $139 million in the third quarter of 2025 and pre-tax income was $271 million in the third quarter of 2024. The period-over-period decrease in our pre-tax income excluding pre-tax net special items was principally driven by increases in certain operating expenses including salaries, wages and benefits and regional expenses, offset in part by lower costs for aircraft fuel and related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third quarter of 2025, we reported total operating revenues of $13.7 billion, an increase of $44 million, or 0.3%, from the third quarter of 2024. Passenger revenue was $ 12.5 billion, a decrease of $52 million, or 0.4%, in the third quarter of 2025 from the third quarter of 2024. Our passenger revenue in the third quarter of 2025 was impacted by weakness in international travel, primarily in the Latin America region, offset in part by improvement in domestic revenue.</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increased $10 million, or 5.0%, in the third quarter of 2025 from the third quarter of 2024, primarily due to a 4.3% increase in cargo yield.</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$86 million, or 9.4%, in the third quarter of 2025 from the third quarter of 2024, driven primarily by higher revenue associated with our loyalty program. During the three months ended September 30, 2025 and 2024, cash payments from co-branded credit card and other partners were $1.5 billion and $1.4 billion, respectively.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total revenue per available seat mile (TRASM) was 17.69 cents in the third quarter of 2025, a 1.9% decrease as compared to 18.04 cents in the third quarter of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Aircraft fuel and related taxes was $2.8 billion in the third quarter of 2025, which was $107 million, or 3.7%, lower as compared to the third quarter of 2024. This was primarily due to a 5.5% decrease in the average price per gallon of aircraft fuel including related taxes to $2.37 in the third quarter of 2025 from $2.50 in the third quarter of 2024, offset in part by a 1.9% increase in gallons of fuel consumed due to increased capacity.</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As of September 30, 2025,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See Part I, Item 1A. Risk Factors – </w:t>
      </w:r>
      <w:r>
        <w:rPr>
          <w:rFonts w:ascii="Arial" w:cs="Arial" w:eastAsia="Arial" w:hAnsi="Arial"/>
          <w:sz w:val="18"/>
          <w:szCs w:val="18"/>
          <w:i w:val="1"/>
          <w:iCs w:val="1"/>
          <w:color w:val="auto"/>
        </w:rPr>
        <w:t>“Our business is very dependent on the price and availability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aircraft fuel. Continued periods of high volatility in fuel costs, increased fuel prices or significant disruptions in the supply of aircraft fuel could have a significant negative impact on consumer demand, our operating results and liquidity” </w:t>
      </w:r>
      <w:r>
        <w:rPr>
          <w:rFonts w:ascii="Arial" w:cs="Arial" w:eastAsia="Arial" w:hAnsi="Arial"/>
          <w:sz w:val="18"/>
          <w:szCs w:val="18"/>
          <w:color w:val="auto"/>
        </w:rPr>
        <w:t>in our 2024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Additionally, we continue to focus on initiatives to reengineer our business through the use of digital solutions, process enhancements and procurement transformation and we intend to continue to invest in reengineering our business through the remainder of 2025 and beyond to build an even more efficient airline and continue to manage costs while delivering a better experience for our customers and team.</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2025 third quarter total operating cost per available seat mile (CASM) was 17.49 cents, a decrease of 2.4% from 17.92 cents in the third quarter of 2024. The decrease in CASM was primarily driven by a decrease in operating net special items and lower aircraft fuel costs, offset in part by higher costs for salaries, wages and benefits and regional expenses.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Our 2025 third quarter CASM excluding net special items and fuel was 13.91 cents, an increase of 3.9% from 13.39 cents in the third quarter of 2024, which was primarily driven by higher costs for salaries, wages and benefits and regional expenses.</w:t>
      </w:r>
    </w:p>
    <w:p>
      <w:pPr>
        <w:spacing w:after="0" w:line="99"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 xml:space="preserve">For a reconciliation of CASM to CASM excluding net special items and fuel, see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88"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As of September 30, 2025, we had $10.3 billion in total available liquidity, consisting of $6.9 billion in unrestricted cash and short-term investments, and $3.4 billion in total undrawn capacity under revolving credit and other facilities.</w:t>
      </w:r>
    </w:p>
    <w:p>
      <w:pPr>
        <w:spacing w:after="0" w:line="99"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During the first nine months of 2025, we completed the following financing transactions (see Note 1 and Note 5 to AAG’s Condensed Consolidated Financial Statements in Part I, Item 1A for further information on 2025 financing activities):</w:t>
      </w:r>
    </w:p>
    <w:p>
      <w:pPr>
        <w:spacing w:after="0" w:line="99" w:lineRule="exact"/>
        <w:rPr>
          <w:sz w:val="20"/>
          <w:szCs w:val="20"/>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amended the AAdvantage term loan credit and guaranty agreement to reduce the applicable interest rate margin and to reduce the scheduled quarterly principal amortization amount;</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$1.0 billion of incremental term loans pursuant to the AAdvantage term loan credit guaranty agreement (2025 AAdvantage Term Loan Facility), as amended;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prepaid $487 million of the outstanding principal amounts of certain equipment notes issued under enhanced equipment trust certificates (EETCs);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the aggregate revolving commitments under the 2013, 2014 and 2023 Revolving Facilities from $2.9 billion to $3.0 billion;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received $432 million of gross proceeds pursuant to special facility revenue bonds issued by the Tulsa Municipal Airport Trust (TMAT), of which a portion was used to fund the redemption of other bonds related to TMAT and the remaining amount will be used to finance the cost of improvements at American’s overhaul and maintenance base at Tulsa International Airport;</w:t>
      </w:r>
    </w:p>
    <w:p>
      <w:pPr>
        <w:spacing w:after="0" w:line="11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prepaid $308 million toward portions of the outstanding principal amounts of the 10.75% senior secured IP notes (the IP Notes) and the 10.75% senior secured LGA/DCA notes (LGA/DCA Notes);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$1.2 billion of equipment loans and other notes payable in connection with the financing of certain aircraft.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American Eagle Flight 5342</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January 29, 2025, American Eagle flight 5342 was involved in a fatal accident in Washington, D.C. The Bombardier CRJ700 aircraft operated by PSA Airlines, Inc. was en route to Washington, D.C. from Wichita, Kansas when it was involved in a midair collision near Ronald Reagan Washington National Airport. We estimate that the accident reduced first quarter 2025 total operating revenues by approximately $200 million, of which the impacted revenue is not covered by insurance. In September 2025, the families of two passengers on flight 5342 filed complaints against the U.S. Government, PSA Airlines, Inc. and American seeking unspecified damages, and we currently expect that additional lawsuits will be filed. While we cannot predict the outcome of these lawsuits, American has industry standard insurance coverage for this incident and is continuing to assess the full impact on its business resulting from the accident.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provides management with an additional tool to understand our core operating performance.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0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r>
      <w:tr>
        <w:trPr>
          <w:trHeight w:val="196"/>
        </w:trPr>
        <w:tc>
          <w:tcPr>
            <w:tcW w:w="20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0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Income (Loss) Excluding Net Special Items: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Pre-tax income (loss) – GAAP</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6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Nonoperating special items,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pre-tax net special items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r>
      <w:tr>
        <w:trPr>
          <w:trHeight w:val="248"/>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3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-1336675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-1336675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jc w:val="center"/>
        <w:ind w:left="5520" w:right="600" w:hanging="5512"/>
        <w:spacing w:after="0" w:line="721" w:lineRule="auto"/>
        <w:tabs>
          <w:tab w:leader="none" w:pos="322"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net special items and fuel provides management with an additional tool to understand and analyze our non-fuel costs and core operating performance. Amounts may not recalculate due to rounding.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6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08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r>
      <w:tr>
        <w:trPr>
          <w:trHeight w:val="210"/>
        </w:trPr>
        <w:tc>
          <w:tcPr>
            <w:tcW w:w="60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CASM Excluding Net Special Items and Fuel: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5"/>
        </w:trPr>
        <w:tc>
          <w:tcPr>
            <w:tcW w:w="6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1"/>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39,071</w:t>
            </w:r>
          </w:p>
        </w:tc>
      </w:tr>
      <w:tr>
        <w:trPr>
          <w:trHeight w:val="229"/>
        </w:trPr>
        <w:tc>
          <w:tcPr>
            <w:tcW w:w="60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Mainline operating special items,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6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w:t>
            </w:r>
          </w:p>
        </w:tc>
      </w:tr>
      <w:tr>
        <w:trPr>
          <w:trHeight w:val="248"/>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available seat miles (ASM)</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221,445</w:t>
            </w:r>
          </w:p>
        </w:tc>
      </w:tr>
      <w:tr>
        <w:trPr>
          <w:trHeight w:val="201"/>
        </w:trPr>
        <w:tc>
          <w:tcPr>
            <w:tcW w:w="6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1"/>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30"/>
        </w:trPr>
        <w:tc>
          <w:tcPr>
            <w:tcW w:w="60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Mainline operating special items,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6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r>
      <w:tr>
        <w:trPr>
          <w:trHeight w:val="248"/>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-2365375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center"/>
        <w:ind w:left="5520" w:right="600" w:hanging="5512"/>
        <w:spacing w:after="0" w:line="721" w:lineRule="auto"/>
        <w:tabs>
          <w:tab w:leader="none" w:pos="322"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table below sets forth selected operating data for the three and nine months ended September 30, 2025 and 2024. Amounts may not recalculate due to rounding.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1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Increase</w:t>
            </w:r>
          </w:p>
        </w:tc>
        <w:tc>
          <w:tcPr>
            <w:tcW w:w="21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(Decrease)</w:t>
            </w: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1.6%</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188,698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188,120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000" w:type="dxa"/>
            <w:vAlign w:val="bottom"/>
          </w:tcPr>
          <w:p>
            <w:pPr>
              <w:jc w:val="right"/>
              <w:spacing w:after="0"/>
              <w:rPr>
                <w:sz w:val="20"/>
                <w:szCs w:val="20"/>
                <w:color w:val="auto"/>
              </w:rPr>
            </w:pPr>
            <w:r>
              <w:rPr>
                <w:rFonts w:ascii="Arial" w:cs="Arial" w:eastAsia="Arial" w:hAnsi="Arial"/>
                <w:sz w:val="18"/>
                <w:szCs w:val="18"/>
                <w:color w:val="auto"/>
              </w:rPr>
              <w:t>77,400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75,665</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2.3%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224,939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221,445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(0.6)pts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(1.1)pts</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00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19.12</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(2.0)%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19.77</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8"/>
              </w:rPr>
              <w:t>(2.7)%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00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18.04</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(1.9)%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18.31</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6"/>
        </w:trPr>
        <w:tc>
          <w:tcPr>
            <w:tcW w:w="4700" w:type="dxa"/>
            <w:vAlign w:val="bottom"/>
          </w:tcPr>
          <w:p>
            <w:pPr>
              <w:ind w:left="180"/>
              <w:spacing w:after="0" w:line="176" w:lineRule="exact"/>
              <w:rPr>
                <w:sz w:val="20"/>
                <w:szCs w:val="20"/>
                <w:color w:val="auto"/>
              </w:rPr>
            </w:pPr>
            <w:r>
              <w:rPr>
                <w:rFonts w:ascii="Arial" w:cs="Arial" w:eastAsia="Arial" w:hAnsi="Arial"/>
                <w:sz w:val="18"/>
                <w:szCs w:val="18"/>
                <w:color w:val="auto"/>
              </w:rPr>
              <w:t>Average aircraft fuel price including related taxes</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110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8"/>
              </w:rPr>
              <w:t>(5.5)%</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11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8"/>
              </w:rPr>
              <w:t>(11.5)%</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(dollars per gallon)</w:t>
            </w: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8"/>
              </w:rPr>
              <w:t>(2.4)%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10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1,546</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1,546</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134,200</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134,200</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6"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Excluded from the aircraft count above as of September 30, 2025 are aircraft in temporary storage including two mainline Airbus A321XLR aircraft as well as four regional aircraft as follows: three Bombardier CRJ900 and one Embraer ERJ145.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2025 Compared to Three Months Ended September 30, 2024</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center"/>
              <w:ind w:right="137"/>
              <w:spacing w:after="0" w:line="118" w:lineRule="exact"/>
              <w:rPr>
                <w:sz w:val="20"/>
                <w:szCs w:val="20"/>
                <w:color w:val="auto"/>
              </w:rPr>
            </w:pPr>
            <w:r>
              <w:rPr>
                <w:rFonts w:ascii="Arial" w:cs="Arial" w:eastAsia="Arial" w:hAnsi="Arial"/>
                <w:sz w:val="13"/>
                <w:szCs w:val="13"/>
                <w:b w:val="1"/>
                <w:bCs w:val="1"/>
                <w:color w:val="auto"/>
              </w:rPr>
              <w:t>Increase</w:t>
            </w:r>
          </w:p>
        </w:tc>
        <w:tc>
          <w:tcPr>
            <w:tcW w:w="1500" w:type="dxa"/>
            <w:vAlign w:val="bottom"/>
          </w:tcPr>
          <w:p>
            <w:pPr>
              <w:jc w:val="center"/>
              <w:ind w:left="3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737"/>
              <w:spacing w:after="0"/>
              <w:rPr>
                <w:sz w:val="20"/>
                <w:szCs w:val="20"/>
                <w:color w:val="auto"/>
              </w:rPr>
            </w:pPr>
            <w:r>
              <w:rPr>
                <w:rFonts w:ascii="Arial" w:cs="Arial" w:eastAsia="Arial" w:hAnsi="Arial"/>
                <w:sz w:val="18"/>
                <w:szCs w:val="18"/>
                <w:color w:val="auto"/>
                <w:w w:val="99"/>
              </w:rPr>
              <w:t>(52)</w:t>
            </w:r>
          </w:p>
        </w:tc>
        <w:tc>
          <w:tcPr>
            <w:tcW w:w="150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737"/>
              <w:spacing w:after="0"/>
              <w:rPr>
                <w:sz w:val="20"/>
                <w:szCs w:val="20"/>
                <w:color w:val="auto"/>
              </w:rPr>
            </w:pPr>
            <w:r>
              <w:rPr>
                <w:rFonts w:ascii="Arial" w:cs="Arial" w:eastAsia="Arial" w:hAnsi="Arial"/>
                <w:sz w:val="18"/>
                <w:szCs w:val="18"/>
                <w:color w:val="auto"/>
                <w:w w:val="99"/>
              </w:rPr>
              <w:t>10</w:t>
            </w:r>
          </w:p>
        </w:tc>
        <w:tc>
          <w:tcPr>
            <w:tcW w:w="1500" w:type="dxa"/>
            <w:vAlign w:val="bottom"/>
          </w:tcPr>
          <w:p>
            <w:pPr>
              <w:jc w:val="right"/>
              <w:ind w:right="49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9"/>
              </w:rPr>
              <w:t>86</w:t>
            </w:r>
          </w:p>
        </w:tc>
        <w:tc>
          <w:tcPr>
            <w:tcW w:w="15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3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737"/>
              <w:spacing w:after="0"/>
              <w:rPr>
                <w:sz w:val="20"/>
                <w:szCs w:val="20"/>
                <w:color w:val="auto"/>
              </w:rPr>
            </w:pPr>
            <w:r>
              <w:rPr>
                <w:rFonts w:ascii="Arial" w:cs="Arial" w:eastAsia="Arial" w:hAnsi="Arial"/>
                <w:sz w:val="18"/>
                <w:szCs w:val="18"/>
                <w:color w:val="auto"/>
                <w:w w:val="99"/>
              </w:rPr>
              <w:t>44</w:t>
            </w:r>
          </w:p>
        </w:tc>
        <w:tc>
          <w:tcPr>
            <w:tcW w:w="1500" w:type="dxa"/>
            <w:vAlign w:val="bottom"/>
          </w:tcPr>
          <w:p>
            <w:pPr>
              <w:jc w:val="right"/>
              <w:ind w:right="49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-762000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Increase (Decrease)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rPr>
              <w:t>vs. Three Months Ended September 30, 2024</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Three Months Ended</w:t>
            </w: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2"/>
                <w:szCs w:val="12"/>
                <w:color w:val="auto"/>
              </w:rPr>
            </w:pPr>
          </w:p>
        </w:tc>
        <w:tc>
          <w:tcPr>
            <w:tcW w:w="128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Load</w:t>
            </w:r>
          </w:p>
        </w:tc>
        <w:tc>
          <w:tcPr>
            <w:tcW w:w="10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Passenger</w:t>
            </w: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12,471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(0.6)pts</w:t>
            </w:r>
          </w:p>
        </w:tc>
        <w:tc>
          <w:tcPr>
            <w:tcW w:w="900" w:type="dxa"/>
            <w:vAlign w:val="bottom"/>
            <w:shd w:val="clear" w:color="auto" w:fill="CCEEFF"/>
          </w:tcPr>
          <w:p>
            <w:pPr>
              <w:jc w:val="center"/>
              <w:ind w:right="8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decreased $52 million, or 0.4%, in the third quarter of 2025 from the third quarter of 2024. Our passenger revenue in the third quarter of 2025 was impacted by weakness in international travel, primarily in the Latin America region, offset in part by improvement in domestic revenue.</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increased $10 million, or 5.0%, in the third quarter of 2025 from the third quarter of 2024, primarily due to a 4.3% increase in cargo yield.</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$86 million, or 9.4%, in the third quarter of 2025 from the third quarter of 2024, driven primarily by higher revenue associated with our loyalty program. During the three months ended September 30, 2025 and 2024, cash payments from co-branded credit card and other partners were $1.5 billion and $1.4 billion, respectively.</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3"/>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4"/>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(98.7)</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-1782445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decreased $107 million, or 3.7%, in the third quarter of 2025 from the third quarter of 2024, primarily due to a 5.5% decrease in the average price per gallon of aircraft fuel including related taxes to $2.37 in the third quarter of 2025 from $2.50 in the third quarter of 2024, offset in part by a 1.9% increase in gallons of fuel consumed due to increased capacity.</w:t>
      </w:r>
    </w:p>
    <w:p>
      <w:pPr>
        <w:sectPr>
          <w:pgSz w:w="11900" w:h="16838" w:orient="portrait"/>
          <w:cols w:equalWidth="0" w:num="1">
            <w:col w:w="11240"/>
          </w:cols>
          <w:pgMar w:left="320" w:top="122"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Salaries, wages and benefits increased $ 363 million, or 8.9%, in the third quarter of 2025 from the third quarter of 2024, primarily due to contractual wage rate increases and higher costs for benefit-related items associated with newly ratified and extended labor agreements reached in 2024, as well as annual contractual wage rate increases in our other labor agreements.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increased $106 million, or 8.4%, in the third quarter of 2025 from the third quarter of 2024, primarily due to an increase in regional flight operations as regional capacity, as measured by ASMs, increased 7.6% in the third quarter of 2025 from the third quarter of 2024.</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$ 39 million, or 3.9%, in the third quarter of 2025 from the third quarter of 2024, primarily due to increased costs for component part repairs and airframe heavy checks driven by higher volume, offset in part by a decrease in the volume of engine overhauls.</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Other rent and landing fees increased $45 million, or 5.3%, in the third quarter of 2025 from the third quarter of 2024, primarily due to rate increases at certain airports, offset in part by a decrease in leased engines.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8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7"/>
                <w:szCs w:val="17"/>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1"/>
        </w:trPr>
        <w:tc>
          <w:tcPr>
            <w:tcW w:w="2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42"/>
        </w:trPr>
        <w:tc>
          <w:tcPr>
            <w:tcW w:w="2080" w:type="dxa"/>
            <w:vAlign w:val="bottom"/>
            <w:tcBorders>
              <w:bottom w:val="single" w:sz="8" w:color="auto"/>
            </w:tcBorders>
          </w:tcPr>
          <w:p>
            <w:pPr>
              <w:spacing w:after="0"/>
              <w:rPr>
                <w:sz w:val="12"/>
                <w:szCs w:val="12"/>
                <w:color w:val="auto"/>
              </w:rPr>
            </w:pPr>
          </w:p>
        </w:tc>
        <w:tc>
          <w:tcPr>
            <w:tcW w:w="5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September 30, 2024 included one-time charges resulting from the ratification of a new collective bargaining agreement with our mainline flight attendants, including a one-time payment of $514 million.</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tcPr>
          <w:p>
            <w:pPr>
              <w:spacing w:after="0"/>
              <w:rPr>
                <w:sz w:val="17"/>
                <w:szCs w:val="17"/>
                <w:color w:val="auto"/>
              </w:rPr>
            </w:pPr>
          </w:p>
        </w:tc>
        <w:tc>
          <w:tcPr>
            <w:tcW w:w="314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1160" w:type="dxa"/>
            <w:vAlign w:val="bottom"/>
          </w:tcPr>
          <w:p>
            <w:pPr>
              <w:jc w:val="center"/>
              <w:ind w:right="136"/>
              <w:spacing w:after="0"/>
              <w:rPr>
                <w:sz w:val="20"/>
                <w:szCs w:val="20"/>
                <w:color w:val="auto"/>
              </w:rPr>
            </w:pPr>
            <w:r>
              <w:rPr>
                <w:rFonts w:ascii="Arial" w:cs="Arial" w:eastAsia="Arial" w:hAnsi="Arial"/>
                <w:sz w:val="14"/>
                <w:szCs w:val="14"/>
                <w:b w:val="1"/>
                <w:bCs w:val="1"/>
                <w:color w:val="auto"/>
              </w:rPr>
              <w:t>Increase</w:t>
            </w:r>
          </w:p>
        </w:tc>
        <w:tc>
          <w:tcPr>
            <w:tcW w:w="1480" w:type="dxa"/>
            <w:vAlign w:val="bottom"/>
          </w:tcPr>
          <w:p>
            <w:pPr>
              <w:jc w:val="center"/>
              <w:ind w:left="16"/>
              <w:spacing w:after="0"/>
              <w:rPr>
                <w:sz w:val="20"/>
                <w:szCs w:val="20"/>
                <w:color w:val="auto"/>
              </w:rPr>
            </w:pPr>
            <w:r>
              <w:rPr>
                <w:rFonts w:ascii="Arial" w:cs="Arial" w:eastAsia="Arial" w:hAnsi="Arial"/>
                <w:sz w:val="14"/>
                <w:szCs w:val="14"/>
                <w:b w:val="1"/>
                <w:bCs w:val="1"/>
                <w:color w:val="auto"/>
              </w:rPr>
              <w:t>Percent Increase</w:t>
            </w:r>
          </w:p>
        </w:tc>
      </w:tr>
      <w:tr>
        <w:trPr>
          <w:trHeight w:val="197"/>
        </w:trPr>
        <w:tc>
          <w:tcPr>
            <w:tcW w:w="52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(Decrease)</w:t>
            </w:r>
          </w:p>
        </w:tc>
      </w:tr>
      <w:tr>
        <w:trPr>
          <w:trHeight w:val="195"/>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676"/>
              <w:spacing w:after="0"/>
              <w:rPr>
                <w:sz w:val="20"/>
                <w:szCs w:val="20"/>
                <w:color w:val="auto"/>
              </w:rPr>
            </w:pPr>
            <w:r>
              <w:rPr>
                <w:rFonts w:ascii="Arial" w:cs="Arial" w:eastAsia="Arial" w:hAnsi="Arial"/>
                <w:sz w:val="18"/>
                <w:szCs w:val="18"/>
                <w:color w:val="auto"/>
                <w:w w:val="99"/>
              </w:rPr>
              <w:t>(27)</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7"/>
              </w:rPr>
              <w:t>(22.8)</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left="716"/>
              <w:spacing w:after="0"/>
              <w:rPr>
                <w:sz w:val="20"/>
                <w:szCs w:val="20"/>
                <w:color w:val="auto"/>
              </w:rPr>
            </w:pPr>
            <w:r>
              <w:rPr>
                <w:rFonts w:ascii="Arial" w:cs="Arial" w:eastAsia="Arial" w:hAnsi="Arial"/>
                <w:sz w:val="18"/>
                <w:szCs w:val="18"/>
                <w:color w:val="auto"/>
                <w:w w:val="99"/>
              </w:rPr>
              <w:t>48</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7"/>
              </w:rPr>
              <w:t>(10.0)</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16"/>
              <w:spacing w:after="0"/>
              <w:rPr>
                <w:sz w:val="20"/>
                <w:szCs w:val="20"/>
                <w:color w:val="auto"/>
              </w:rPr>
            </w:pPr>
            <w:r>
              <w:rPr>
                <w:rFonts w:ascii="Arial" w:cs="Arial" w:eastAsia="Arial" w:hAnsi="Arial"/>
                <w:sz w:val="18"/>
                <w:szCs w:val="18"/>
                <w:color w:val="auto"/>
                <w:w w:val="99"/>
              </w:rPr>
              <w:t>31</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nm</w:t>
            </w: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716"/>
              <w:spacing w:after="0"/>
              <w:rPr>
                <w:sz w:val="20"/>
                <w:szCs w:val="20"/>
                <w:color w:val="auto"/>
              </w:rPr>
            </w:pPr>
            <w:r>
              <w:rPr>
                <w:rFonts w:ascii="Arial" w:cs="Arial" w:eastAsia="Arial" w:hAnsi="Arial"/>
                <w:sz w:val="18"/>
                <w:szCs w:val="18"/>
                <w:color w:val="auto"/>
                <w:w w:val="99"/>
              </w:rPr>
              <w:t>52</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7"/>
              </w:rPr>
              <w:t>(15.3)</w:t>
            </w: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-762635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-762635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-762635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Interest income decreased $27 million, or 22.8%, in the third quarter of 2025 from the third quarter of 2024, primarily due to lower interest rates that reduced returns on our short-term investments. Interest expense, net decreased $48 million, or 10.0%, in the third quarter of 2025 from the third quarter of 2024, primarily due to lower interest rates on our variable-rate debt instruments and lower outstanding debt subsequent to the third quarter of 2024, as we continue our efforts to strengthen the balance sheet.</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third quarter of 2025, other nonoperating income, net primarily included $31 million of net earnings related to our equity investments accounted for under the equity method and $17 million of non-service related pension and other postretirement benefit plan income.</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third quarter of 2024, other nonoperating income, net primarily included $27 million of non-service related pension and other postretirement benefit plan income and $27 million of net special credits for mark-to-market net unrealized gains associated with certain equity investments, offset in part by $21 million of foreign currency losses.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third quarter of 2025, we recorded an income tax benefit of $28 million. Substantially all of our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2025 Compared to Nine Months Ended September 30, 2024</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337"/>
              <w:spacing w:after="0" w:line="118" w:lineRule="exact"/>
              <w:rPr>
                <w:sz w:val="20"/>
                <w:szCs w:val="20"/>
                <w:color w:val="auto"/>
              </w:rPr>
            </w:pPr>
            <w:r>
              <w:rPr>
                <w:rFonts w:ascii="Arial" w:cs="Arial" w:eastAsia="Arial" w:hAnsi="Arial"/>
                <w:sz w:val="13"/>
                <w:szCs w:val="13"/>
                <w:b w:val="1"/>
                <w:bCs w:val="1"/>
                <w:color w:val="auto"/>
              </w:rPr>
              <w:t>Increase</w:t>
            </w:r>
          </w:p>
        </w:tc>
        <w:tc>
          <w:tcPr>
            <w:tcW w:w="1540" w:type="dxa"/>
            <w:vAlign w:val="bottom"/>
          </w:tcPr>
          <w:p>
            <w:pPr>
              <w:jc w:val="center"/>
              <w:ind w:left="3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5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540" w:type="dxa"/>
            <w:vAlign w:val="bottom"/>
          </w:tcPr>
          <w:p>
            <w:pPr>
              <w:jc w:val="right"/>
              <w:ind w:right="51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54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540" w:type="dxa"/>
            <w:vAlign w:val="bottom"/>
          </w:tcPr>
          <w:p>
            <w:pPr>
              <w:jc w:val="right"/>
              <w:ind w:right="51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-762000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Increase (Decrease)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rPr>
              <w:t>vs. Nine Months Ended September 30, 2024</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Nine Months Ended</w:t>
            </w: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2"/>
                <w:szCs w:val="12"/>
                <w:color w:val="auto"/>
              </w:rPr>
            </w:pPr>
          </w:p>
        </w:tc>
        <w:tc>
          <w:tcPr>
            <w:tcW w:w="128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Load</w:t>
            </w:r>
          </w:p>
        </w:tc>
        <w:tc>
          <w:tcPr>
            <w:tcW w:w="10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Passenger</w:t>
            </w: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36,985</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(1.1)pts</w:t>
            </w:r>
          </w:p>
        </w:tc>
        <w:tc>
          <w:tcPr>
            <w:tcW w:w="900" w:type="dxa"/>
            <w:vAlign w:val="bottom"/>
            <w:shd w:val="clear" w:color="auto" w:fill="CCEEFF"/>
          </w:tcPr>
          <w:p>
            <w:pPr>
              <w:jc w:val="center"/>
              <w:ind w:right="82"/>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20" w:firstLine="202"/>
        <w:spacing w:after="0" w:line="268" w:lineRule="auto"/>
        <w:rPr>
          <w:sz w:val="20"/>
          <w:szCs w:val="20"/>
          <w:color w:val="auto"/>
        </w:rPr>
      </w:pPr>
      <w:r>
        <w:rPr>
          <w:rFonts w:ascii="Arial" w:cs="Arial" w:eastAsia="Arial" w:hAnsi="Arial"/>
          <w:sz w:val="18"/>
          <w:szCs w:val="18"/>
          <w:color w:val="auto"/>
        </w:rPr>
        <w:t>Passenger revenue decreased $ 199 million, or 0.5%, in the first nine months of 2025 from the first nine months of 2024. Our passenger revenue in the first nine months of 2025 was impacted by softness in domestic demand for air travel and the American Eagle Flight 5342 accident, offset in part by strength in international air travel, particularly in the Atlantic and Pacific regions.</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Cargo revenue increased $28 million, or 4.8%, in the first nine months of 2025 from the first nine months of 2024, primarily due to a 4.2% increase in cargo yield.</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Other operating revenue increased $ 254 million, or 9.1%, in the first nine months of 2025 from the first nine months of 2024, driven primarily by higher revenue associated with our loyalty program. During the nine months ended September 30, 2025 and 2024, cash payments from co-branded credit card and other partners were $4.7 billion and $4.4 billion,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3"/>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4"/>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(10.1)</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1,148</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10.2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(80.0)</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-1782445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Aircraft fuel and related taxes decreased $899 million, or 10.1%, in the first nine months of 2025 from the first nine months of 2024, primarily due to an 11.5% decrease in the average price per gallon of aircraft fuel including related taxes to $2.38 in the first nine months of 2025 from $2.68 in the first nine months of 2024, offset in part by a 1.6% increase in gallons of fuel consumed due to increased capacity.</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Salaries, wages and benefits increased $1.1 billion, or 9.6%, in the first nine months of 2025 from the first nine months of 2024, primarily due to contractual wage rate increases and higher costs for benefit-related items associated with newly ratified and extended labor agreements reached in 2024, as well as annual contractual wage rate increases in our other labor agreements.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increased $320 million, or 8.6%, in the first nine months of 2025 from the first nine months of 2024, primarily due to an increase in regional flight operations as regional capacity, as measured by ASMs, increased 11.3% in the first nine months of 2025 from the first nine months of 2024. In addition, higher maintenance, materials and repair costs driven by an increase in the volume of airframe heavy checks and engine overhauls also contributed to the increase in regional expenses.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$53 million, or 1.9%, in the first nine months of 2025 from the first nine months of 2024, primarily due to increased costs for component part repairs and airframe heavy checks driven by higher volume, offset in part by a decrease in the volume of engine overhauls.</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rent and landing fees increased $113 million, or 4.5%, in the first nine months of 2025 from the first nine months of 2024, primarily due to rate increases at certain airports, offset in part by a decrease in leased engines.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Selling expenses increased $136 million, or 10.2%, in the first nine months of 2025 from the first nine months of 2024, primarily due to an increase in commissions expense, driven by higher costs resulting from renegotiated agency contracts, as well as an increase in advertising expenses. Higher credit card fees driven by higher rates also contributed to the increase in selling expenses.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r>
      <w:tr>
        <w:trPr>
          <w:trHeight w:val="196"/>
        </w:trPr>
        <w:tc>
          <w:tcPr>
            <w:tcW w:w="20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r>
      <w:tr>
        <w:trPr>
          <w:trHeight w:val="196"/>
        </w:trPr>
        <w:tc>
          <w:tcPr>
            <w:tcW w:w="20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r>
      <w:tr>
        <w:trPr>
          <w:trHeight w:val="231"/>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020" w:type="dxa"/>
            <w:vAlign w:val="bottom"/>
            <w:tcBorders>
              <w:bottom w:val="single" w:sz="8" w:color="auto"/>
            </w:tcBorders>
          </w:tcPr>
          <w:p>
            <w:pPr>
              <w:spacing w:after="0"/>
              <w:rPr>
                <w:sz w:val="10"/>
                <w:szCs w:val="10"/>
                <w:color w:val="auto"/>
              </w:rPr>
            </w:pPr>
          </w:p>
        </w:tc>
        <w:tc>
          <w:tcPr>
            <w:tcW w:w="55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-1010920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jc w:val="both"/>
        <w:ind w:left="340" w:hanging="332"/>
        <w:spacing w:after="0" w:line="237"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nine months ended September 30, 2025 included a one-time charge for adjustments to vacation accruals resulting from pay rate increases effective January 1, 2025, related to the ratification of the contract extension in the fourth quarter of 2024 with our mainline maintenance and fleet service team members.</w:t>
      </w:r>
    </w:p>
    <w:p>
      <w:pPr>
        <w:spacing w:after="0" w:line="140" w:lineRule="exact"/>
        <w:rPr>
          <w:rFonts w:ascii="Arial" w:cs="Arial" w:eastAsia="Arial" w:hAnsi="Arial"/>
          <w:sz w:val="23"/>
          <w:szCs w:val="23"/>
          <w:color w:val="auto"/>
          <w:vertAlign w:val="superscript"/>
        </w:rPr>
      </w:pPr>
    </w:p>
    <w:p>
      <w:pPr>
        <w:jc w:val="both"/>
        <w:ind w:left="340" w:right="20"/>
        <w:spacing w:after="0" w:line="268"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nine months ended September 30, 2024 included one-time charges resulting from the ratification of a new collective bargaining agreement with our mainline flight attendants, including a one-time payment of $514 million, and from the ratification of a new collective bargaining agreement with our mainline passenger service team members.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7"/>
                <w:szCs w:val="17"/>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Increase</w:t>
            </w:r>
          </w:p>
        </w:tc>
        <w:tc>
          <w:tcPr>
            <w:tcW w:w="1480" w:type="dxa"/>
            <w:vAlign w:val="bottom"/>
          </w:tcPr>
          <w:p>
            <w:pPr>
              <w:jc w:val="center"/>
              <w:ind w:left="16"/>
              <w:spacing w:after="0"/>
              <w:rPr>
                <w:sz w:val="20"/>
                <w:szCs w:val="20"/>
                <w:color w:val="auto"/>
              </w:rPr>
            </w:pPr>
            <w:r>
              <w:rPr>
                <w:rFonts w:ascii="Arial" w:cs="Arial" w:eastAsia="Arial" w:hAnsi="Arial"/>
                <w:sz w:val="14"/>
                <w:szCs w:val="14"/>
                <w:b w:val="1"/>
                <w:bCs w:val="1"/>
                <w:color w:val="auto"/>
              </w:rPr>
              <w:t>Percent Increase</w:t>
            </w:r>
          </w:p>
        </w:tc>
      </w:tr>
      <w:tr>
        <w:trPr>
          <w:trHeight w:val="197"/>
        </w:trPr>
        <w:tc>
          <w:tcPr>
            <w:tcW w:w="5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(Decrease)</w:t>
            </w:r>
          </w:p>
        </w:tc>
      </w:tr>
      <w:tr>
        <w:trPr>
          <w:trHeight w:val="195"/>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7"/>
              </w:rPr>
              <w:t>(21.5)</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7"/>
              </w:rPr>
              <w:t>(11.6)</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nm</w:t>
            </w: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7"/>
              </w:rPr>
              <w:t>(13.7)</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-762000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Interest income decreased $78 million, or 21.5%, in the first nine months of 2025 from the first nine months of 2024, primarily due to lower interest rates that reduced returns on our short-term investments. Interest expense, net decreased $170 million, or 11.6%, in the first nine months of 2025 from the first nine months of 2024, primarily due to lower interest rates on our variable-rate debt instruments and lower outstanding debt subsequent to the third quarter of 2024, as we continue our efforts to strengthen the balance sheet.</w:t>
      </w:r>
    </w:p>
    <w:p>
      <w:pPr>
        <w:spacing w:after="0" w:line="122"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 the first nine months of 2025, other nonoperating income, net included $46 million of net earnings related to our equity investments accounted for under the equity method and $39 million of non-service related pension and other postretirement benefit plan income, offset in part by $28 million of net special charges primarily for mark-to-market net unrealized losses associated with certain equity investments and debt refinancings and extinguishments.</w:t>
      </w:r>
    </w:p>
    <w:p>
      <w:pPr>
        <w:spacing w:after="0" w:line="122"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 the first nine months of 2024, other nonoperating expense, net included $31 million of foreign currency losses, $30 million of net special charges primarily for mark-to-market net unrealized losses associated with certain equity investments and $27 million of net losses related to our equity investments accounted for under the equity method, offset in part by $76 million of non-service related pension and other postretirement benefit plan income.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In the first nine months of 2025, we recorded an income tax provision of $36 million. Substantially all of our income before income taxes is attributable to the United States.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2025 Compared to Three Months Ended September 30, 2024</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17"/>
              <w:spacing w:after="0" w:line="118" w:lineRule="exact"/>
              <w:rPr>
                <w:sz w:val="20"/>
                <w:szCs w:val="20"/>
                <w:color w:val="auto"/>
              </w:rPr>
            </w:pPr>
            <w:r>
              <w:rPr>
                <w:rFonts w:ascii="Arial" w:cs="Arial" w:eastAsia="Arial" w:hAnsi="Arial"/>
                <w:sz w:val="13"/>
                <w:szCs w:val="13"/>
                <w:b w:val="1"/>
                <w:bCs w:val="1"/>
                <w:color w:val="auto"/>
              </w:rPr>
              <w:t>Increase</w:t>
            </w:r>
          </w:p>
        </w:tc>
        <w:tc>
          <w:tcPr>
            <w:tcW w:w="1500" w:type="dxa"/>
            <w:vAlign w:val="bottom"/>
          </w:tcPr>
          <w:p>
            <w:pPr>
              <w:jc w:val="center"/>
              <w:ind w:left="3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717"/>
              <w:spacing w:after="0"/>
              <w:rPr>
                <w:sz w:val="20"/>
                <w:szCs w:val="20"/>
                <w:color w:val="auto"/>
              </w:rPr>
            </w:pPr>
            <w:r>
              <w:rPr>
                <w:rFonts w:ascii="Arial" w:cs="Arial" w:eastAsia="Arial" w:hAnsi="Arial"/>
                <w:sz w:val="18"/>
                <w:szCs w:val="18"/>
                <w:color w:val="auto"/>
                <w:w w:val="99"/>
              </w:rPr>
              <w:t>(52)</w:t>
            </w:r>
          </w:p>
        </w:tc>
        <w:tc>
          <w:tcPr>
            <w:tcW w:w="150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left="757"/>
              <w:spacing w:after="0"/>
              <w:rPr>
                <w:sz w:val="20"/>
                <w:szCs w:val="20"/>
                <w:color w:val="auto"/>
              </w:rPr>
            </w:pPr>
            <w:r>
              <w:rPr>
                <w:rFonts w:ascii="Arial" w:cs="Arial" w:eastAsia="Arial" w:hAnsi="Arial"/>
                <w:sz w:val="18"/>
                <w:szCs w:val="18"/>
                <w:color w:val="auto"/>
                <w:w w:val="99"/>
              </w:rPr>
              <w:t>10</w:t>
            </w:r>
          </w:p>
        </w:tc>
        <w:tc>
          <w:tcPr>
            <w:tcW w:w="1500" w:type="dxa"/>
            <w:vAlign w:val="bottom"/>
          </w:tcPr>
          <w:p>
            <w:pPr>
              <w:jc w:val="right"/>
              <w:ind w:right="49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57"/>
              <w:spacing w:after="0"/>
              <w:rPr>
                <w:sz w:val="20"/>
                <w:szCs w:val="20"/>
                <w:color w:val="auto"/>
              </w:rPr>
            </w:pPr>
            <w:r>
              <w:rPr>
                <w:rFonts w:ascii="Arial" w:cs="Arial" w:eastAsia="Arial" w:hAnsi="Arial"/>
                <w:sz w:val="18"/>
                <w:szCs w:val="18"/>
                <w:color w:val="auto"/>
                <w:w w:val="99"/>
              </w:rPr>
              <w:t>85</w:t>
            </w:r>
          </w:p>
        </w:tc>
        <w:tc>
          <w:tcPr>
            <w:tcW w:w="15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3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757"/>
              <w:spacing w:after="0"/>
              <w:rPr>
                <w:sz w:val="20"/>
                <w:szCs w:val="20"/>
                <w:color w:val="auto"/>
              </w:rPr>
            </w:pPr>
            <w:r>
              <w:rPr>
                <w:rFonts w:ascii="Arial" w:cs="Arial" w:eastAsia="Arial" w:hAnsi="Arial"/>
                <w:sz w:val="18"/>
                <w:szCs w:val="18"/>
                <w:color w:val="auto"/>
                <w:w w:val="99"/>
              </w:rPr>
              <w:t>43</w:t>
            </w:r>
          </w:p>
        </w:tc>
        <w:tc>
          <w:tcPr>
            <w:tcW w:w="1500" w:type="dxa"/>
            <w:vAlign w:val="bottom"/>
          </w:tcPr>
          <w:p>
            <w:pPr>
              <w:jc w:val="right"/>
              <w:ind w:right="49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-762635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-762635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-762635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decreased $52 million, or 0.4%, in the third quarter of 2025 from the third quarter of 2024. American’s passenger revenue in the third quarter of 2025 was impacted by weakness in international travel, primarily in the Latin America region, offset in part by improvement in domestic revenue.</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increased $10 million, or 5.0%, in the third quarter of 2025 from the third quarter of 2024, primarily due to an increase in cargo yield.</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$85 million, or 9.4%, in the third quarter of 2025 from the third quarter of 2024, driven primarily by higher revenue associated with American’s loyalty program. During the three months ended September 30, 2025 and 2024, cash payments from co-branded credit card and other partners were $1.5 billion and $1.4 billion, respectively.</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gridSpan w:val="3"/>
            <w:vMerge w:val="restart"/>
          </w:tcPr>
          <w:p>
            <w:pPr>
              <w:jc w:val="center"/>
              <w:ind w:left="474"/>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293"/>
              <w:spacing w:after="0" w:line="122" w:lineRule="exact"/>
              <w:rPr>
                <w:sz w:val="20"/>
                <w:szCs w:val="20"/>
                <w:color w:val="auto"/>
              </w:rPr>
            </w:pPr>
            <w:r>
              <w:rPr>
                <w:rFonts w:ascii="Arial" w:cs="Arial" w:eastAsia="Arial" w:hAnsi="Arial"/>
                <w:sz w:val="14"/>
                <w:szCs w:val="14"/>
                <w:b w:val="1"/>
                <w:bCs w:val="1"/>
                <w:color w:val="auto"/>
              </w:rPr>
              <w:t>Increase</w:t>
            </w:r>
          </w:p>
        </w:tc>
        <w:tc>
          <w:tcPr>
            <w:tcW w:w="1480" w:type="dxa"/>
            <w:vAlign w:val="bottom"/>
          </w:tcPr>
          <w:p>
            <w:pPr>
              <w:jc w:val="center"/>
              <w:ind w:left="14"/>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(3.7)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w:t>
            </w:r>
          </w:p>
        </w:tc>
        <w:tc>
          <w:tcPr>
            <w:tcW w:w="1480" w:type="dxa"/>
            <w:vAlign w:val="bottom"/>
          </w:tcPr>
          <w:p>
            <w:pPr>
              <w:jc w:val="center"/>
              <w:ind w:left="34"/>
              <w:spacing w:after="0"/>
              <w:rPr>
                <w:sz w:val="20"/>
                <w:szCs w:val="20"/>
                <w:color w:val="auto"/>
              </w:rPr>
            </w:pPr>
            <w:r>
              <w:rPr>
                <w:rFonts w:ascii="Arial" w:cs="Arial" w:eastAsia="Arial" w:hAnsi="Arial"/>
                <w:sz w:val="18"/>
                <w:szCs w:val="18"/>
                <w:color w:val="auto"/>
                <w:w w:val="95"/>
              </w:rPr>
              <w:t>8.9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6.7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480" w:type="dxa"/>
            <w:vAlign w:val="bottom"/>
          </w:tcPr>
          <w:p>
            <w:pPr>
              <w:jc w:val="center"/>
              <w:ind w:left="34"/>
              <w:spacing w:after="0"/>
              <w:rPr>
                <w:sz w:val="20"/>
                <w:szCs w:val="20"/>
                <w:color w:val="auto"/>
              </w:rPr>
            </w:pPr>
            <w:r>
              <w:rPr>
                <w:rFonts w:ascii="Arial" w:cs="Arial" w:eastAsia="Arial" w:hAnsi="Arial"/>
                <w:sz w:val="18"/>
                <w:szCs w:val="18"/>
                <w:color w:val="auto"/>
                <w:w w:val="95"/>
              </w:rPr>
              <w:t>3.9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5.3</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480" w:type="dxa"/>
            <w:vAlign w:val="bottom"/>
          </w:tcPr>
          <w:p>
            <w:pPr>
              <w:jc w:val="center"/>
              <w:ind w:left="34"/>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480" w:type="dxa"/>
            <w:vAlign w:val="bottom"/>
          </w:tcPr>
          <w:p>
            <w:pPr>
              <w:jc w:val="center"/>
              <w:ind w:left="34"/>
              <w:spacing w:after="0"/>
              <w:rPr>
                <w:sz w:val="20"/>
                <w:szCs w:val="20"/>
                <w:color w:val="auto"/>
              </w:rPr>
            </w:pPr>
            <w:r>
              <w:rPr>
                <w:rFonts w:ascii="Arial" w:cs="Arial" w:eastAsia="Arial" w:hAnsi="Arial"/>
                <w:sz w:val="18"/>
                <w:szCs w:val="18"/>
                <w:color w:val="auto"/>
                <w:w w:val="97"/>
              </w:rPr>
              <w:t>(0.9)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8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8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-1782445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-1782445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decreased $107 million, or 3.7%, in the third quarter of 2025 from the third quarter of 2024, primarily due to a 5.5% decrease in the average price per gallon of aircraft fuel including related taxes to $2.37 in the third quarter of 2025 from $2.50 in the third quarter of 2024, offset in part by a 1.9% increase in gallons of fuel consumed due to increased capacity.</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Salaries, wages and benefits increased $ 363 million, or 8.9%, in the third quarter of 2025 from the third quarter of 2024, primarily due to contractual wage rate increases and higher costs for benefit-related items associated with newly ratified and extended labor agreements reached in 2024, as well as annual contractual wage rate increases in American’s other labor agreements.</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Regional expenses increased $85 million, or 6.7%, in the third quarter of 2025 from the third quarter of 2024, primarily due to an increase in regional flight operations and costs at American’s regional carriers.</w:t>
      </w:r>
    </w:p>
    <w:p>
      <w:pPr>
        <w:sectPr>
          <w:pgSz w:w="11900" w:h="16838" w:orient="portrait"/>
          <w:cols w:equalWidth="0" w:num="1">
            <w:col w:w="11240"/>
          </w:cols>
          <w:pgMar w:left="320" w:top="122"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$ 39 million, or 3.9%, in the third quarter of 2025 from the third quarter of 2024, primarily due to increased costs for component part repairs and airframe heavy checks driven by higher volume, offset in part by a decrease in the volume of engine overhauls.</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Other rent and landing fees increased $45 million, or 5.3%, in the third quarter of 2025 from the third quarter of 2024, primarily due to rate increases at certain airports, offset in part by a decrease in leased engines.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8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7"/>
                <w:szCs w:val="17"/>
                <w:color w:val="auto"/>
              </w:rPr>
            </w:pPr>
          </w:p>
        </w:tc>
      </w:tr>
      <w:tr>
        <w:trPr>
          <w:trHeight w:val="231"/>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0"/>
        </w:trPr>
        <w:tc>
          <w:tcPr>
            <w:tcW w:w="2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28"/>
        </w:trPr>
        <w:tc>
          <w:tcPr>
            <w:tcW w:w="2080" w:type="dxa"/>
            <w:vAlign w:val="bottom"/>
            <w:tcBorders>
              <w:bottom w:val="single" w:sz="8" w:color="auto"/>
            </w:tcBorders>
          </w:tcPr>
          <w:p>
            <w:pPr>
              <w:spacing w:after="0"/>
              <w:rPr>
                <w:sz w:val="11"/>
                <w:szCs w:val="11"/>
                <w:color w:val="auto"/>
              </w:rPr>
            </w:pPr>
          </w:p>
        </w:tc>
        <w:tc>
          <w:tcPr>
            <w:tcW w:w="5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40" w:type="dxa"/>
            <w:vAlign w:val="bottom"/>
          </w:tcPr>
          <w:p>
            <w:pPr>
              <w:spacing w:after="0"/>
              <w:rPr>
                <w:sz w:val="11"/>
                <w:szCs w:val="1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September 30, 2024 included one-time charges resulting from the ratification of a new collective bargaining agreement with American’s mainline flight attendants, including a one-time payment of $514 million.</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314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center"/>
              <w:ind w:right="138"/>
              <w:spacing w:after="0" w:line="108" w:lineRule="exact"/>
              <w:rPr>
                <w:sz w:val="20"/>
                <w:szCs w:val="20"/>
                <w:color w:val="auto"/>
              </w:rPr>
            </w:pPr>
            <w:r>
              <w:rPr>
                <w:rFonts w:ascii="Arial" w:cs="Arial" w:eastAsia="Arial" w:hAnsi="Arial"/>
                <w:sz w:val="12"/>
                <w:szCs w:val="12"/>
                <w:b w:val="1"/>
                <w:bCs w:val="1"/>
                <w:color w:val="auto"/>
              </w:rPr>
              <w:t>Increase</w:t>
            </w:r>
          </w:p>
        </w:tc>
        <w:tc>
          <w:tcPr>
            <w:tcW w:w="1500" w:type="dxa"/>
            <w:vAlign w:val="bottom"/>
            <w:vMerge w:val="restart"/>
          </w:tcPr>
          <w:p>
            <w:pPr>
              <w:jc w:val="center"/>
              <w:ind w:left="39"/>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22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698"/>
              <w:spacing w:after="0"/>
              <w:rPr>
                <w:sz w:val="20"/>
                <w:szCs w:val="20"/>
                <w:color w:val="auto"/>
              </w:rPr>
            </w:pPr>
            <w:r>
              <w:rPr>
                <w:rFonts w:ascii="Arial" w:cs="Arial" w:eastAsia="Arial" w:hAnsi="Arial"/>
                <w:sz w:val="18"/>
                <w:szCs w:val="18"/>
                <w:color w:val="auto"/>
                <w:w w:val="99"/>
              </w:rPr>
              <w:t>(19)</w:t>
            </w:r>
          </w:p>
        </w:tc>
        <w:tc>
          <w:tcPr>
            <w:tcW w:w="150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7"/>
              </w:rPr>
              <w:t>(7.1)</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center"/>
              <w:ind w:left="738"/>
              <w:spacing w:after="0"/>
              <w:rPr>
                <w:sz w:val="20"/>
                <w:szCs w:val="20"/>
                <w:color w:val="auto"/>
              </w:rPr>
            </w:pPr>
            <w:r>
              <w:rPr>
                <w:rFonts w:ascii="Arial" w:cs="Arial" w:eastAsia="Arial" w:hAnsi="Arial"/>
                <w:sz w:val="18"/>
                <w:szCs w:val="18"/>
                <w:color w:val="auto"/>
                <w:w w:val="99"/>
              </w:rPr>
              <w:t>55</w:t>
            </w:r>
          </w:p>
        </w:tc>
        <w:tc>
          <w:tcPr>
            <w:tcW w:w="1500" w:type="dxa"/>
            <w:vAlign w:val="bottom"/>
          </w:tcPr>
          <w:p>
            <w:pPr>
              <w:jc w:val="center"/>
              <w:ind w:left="19"/>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738"/>
              <w:spacing w:after="0"/>
              <w:rPr>
                <w:sz w:val="20"/>
                <w:szCs w:val="20"/>
                <w:color w:val="auto"/>
              </w:rPr>
            </w:pPr>
            <w:r>
              <w:rPr>
                <w:rFonts w:ascii="Arial" w:cs="Arial" w:eastAsia="Arial" w:hAnsi="Arial"/>
                <w:sz w:val="18"/>
                <w:szCs w:val="18"/>
                <w:color w:val="auto"/>
                <w:w w:val="99"/>
              </w:rPr>
              <w:t>31</w:t>
            </w:r>
          </w:p>
        </w:tc>
        <w:tc>
          <w:tcPr>
            <w:tcW w:w="150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738"/>
              <w:spacing w:after="0"/>
              <w:rPr>
                <w:sz w:val="20"/>
                <w:szCs w:val="20"/>
                <w:color w:val="auto"/>
              </w:rPr>
            </w:pPr>
            <w:r>
              <w:rPr>
                <w:rFonts w:ascii="Arial" w:cs="Arial" w:eastAsia="Arial" w:hAnsi="Arial"/>
                <w:sz w:val="18"/>
                <w:szCs w:val="18"/>
                <w:color w:val="auto"/>
                <w:w w:val="99"/>
              </w:rPr>
              <w:t>67</w:t>
            </w:r>
          </w:p>
        </w:tc>
        <w:tc>
          <w:tcPr>
            <w:tcW w:w="1500" w:type="dxa"/>
            <w:vAlign w:val="bottom"/>
          </w:tcPr>
          <w:p>
            <w:pPr>
              <w:jc w:val="center"/>
              <w:ind w:left="19"/>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-788035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-788035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-788035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Interest income decreased $19 million, or 7.1%, in the third quarter of 2025 from the third quarter of 2024, primarily due to lower interest rates that reduced returns on American’s short-term investments. Interest expense, net decreased $ 55 million, or 10.8%, in the third quarter of 2025 from the third quarter of 2024, primarily due to lower interest rates on its variable-rate debt instruments and lower outstanding debt subsequent to the third quarter of 2024, as American continues its efforts to strengthen the balance sheet.</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third quarter of 2025, other nonoperating income, net primarily included $ 31 million of net earnings related to American’s equity investments accounted for under the equity method and $17 million of non-service related pension and other postretirement benefit plan income.</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third quarter of 2024, other nonoperating income, net primarily included $27 million of non-service related pension and other postretirement benefit plan income and $27 million of net special credits for mark-to-market net unrealized gains associated with certain equity investments, offset in part by $21 million of foreign currency losses.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third quarter of 2025, American recorded an income tax provision of $5 million. Substantially all of American’s income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2025 Compared to Nine Months Ended September 30, 2024</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7"/>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8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480" w:type="dxa"/>
            <w:vAlign w:val="bottom"/>
          </w:tcPr>
          <w:p>
            <w:pPr>
              <w:jc w:val="right"/>
              <w:ind w:right="47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80" w:type="dxa"/>
            <w:vAlign w:val="bottom"/>
            <w:shd w:val="clear" w:color="auto" w:fill="CCEEFF"/>
          </w:tcPr>
          <w:p>
            <w:pPr>
              <w:jc w:val="right"/>
              <w:ind w:right="478"/>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80" w:type="dxa"/>
            <w:vAlign w:val="bottom"/>
          </w:tcPr>
          <w:p>
            <w:pPr>
              <w:jc w:val="right"/>
              <w:ind w:right="47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-762635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-762635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-762635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Passenger revenue decreased $ 199 million, or 0.5%, in the first nine months of 2025 from the first nine months of 2024. American’s passenger revenue in the first nine months of 2025 was impacted by softness in domestic demand for air travel and the American Eagle Flight 5342 accident, offset in part by strength in international air travel, particularly in the Atlantic and Pacific regions.</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Cargo revenue increased $28 million, or 4.8%, in the first nine months of 2025 from the first nine months of 2024, primarily due to an increase in cargo yield.</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Other operating revenue increased $253 million, or 9.1%, in the first nine months of 2025 from the first nine months of 2024, driven primarily by higher revenue associated with American’s loyalty program. During the nine months ended September 30, 2025 and 2024, cash payments from co-branded credit card and other partners were $4.7 billion and $4.4 billion, respectively.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3"/>
              <w:spacing w:after="0" w:line="122" w:lineRule="exact"/>
              <w:rPr>
                <w:sz w:val="20"/>
                <w:szCs w:val="20"/>
                <w:color w:val="auto"/>
              </w:rPr>
            </w:pPr>
            <w:r>
              <w:rPr>
                <w:rFonts w:ascii="Arial" w:cs="Arial" w:eastAsia="Arial" w:hAnsi="Arial"/>
                <w:sz w:val="14"/>
                <w:szCs w:val="14"/>
                <w:b w:val="1"/>
                <w:bCs w:val="1"/>
                <w:color w:val="auto"/>
              </w:rPr>
              <w:t>Increase</w:t>
            </w:r>
          </w:p>
        </w:tc>
        <w:tc>
          <w:tcPr>
            <w:tcW w:w="1480" w:type="dxa"/>
            <w:vAlign w:val="bottom"/>
          </w:tcPr>
          <w:p>
            <w:pPr>
              <w:jc w:val="center"/>
              <w:ind w:left="14"/>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(10.1)</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1,147</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10.2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(80.0)</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-1782445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Aircraft fuel and related taxes decreased $899 million, or 10.1%, in the first nine months of 2025 from the first nine months of 2024, primarily due to an 11.5% decrease in the average price per gallon of aircraft fuel including related taxes to $2.38 in the first nine months of 2025 from $2.68 in the first nine months of 2024, offset in part by a 1.6% increase in gallons of fuel consumed due to increased capacity.</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Salaries, wages and benefits increased $1.1 billion, or 9.6%, in the first nine months of 2025 from the first nine months of 2024, primarily due to contractual wage rate increases and higher costs for benefit-related items associated with newly ratified and extended labor agreements reached in 2024, as well as annual contractual wage rate increases in American’s other labor agreements.</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Regional expenses increased $302 million, or 8.1%, in the first nine months of 2025 from the first nine months of 2024, primarily due to an increase in regional flight operations and costs at American’s regional carriers.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Maintenance, materials and repairs increased $53 million, or 1.9%, in the first nine months of 2025 from the first nine months of 2024, primarily due to increased costs for component part repairs and airframe heavy checks driven by higher volume, offset in part by a decrease in the volume of engine overhauls.</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Other rent and landing fees increased $113 million, or 4.5%, in the first nine months of 2025 from the first nine months of 2024, primarily due to rate increases at certain airports, offset in part by a decrease in leased engines.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Selling expenses increased $136 million, or 10.2%, in the first nine months of 2025 from the first nine months of 2024, primarily due to an increase in commissions expense, driven by higher costs resulting from renegotiated agency contracts, as well as an increase in advertising expenses. Higher credit card fees driven by higher rates also contributed to the increase in selling expenses.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r>
      <w:tr>
        <w:trPr>
          <w:trHeight w:val="196"/>
        </w:trPr>
        <w:tc>
          <w:tcPr>
            <w:tcW w:w="20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r>
      <w:tr>
        <w:trPr>
          <w:trHeight w:val="196"/>
        </w:trPr>
        <w:tc>
          <w:tcPr>
            <w:tcW w:w="20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2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r>
      <w:tr>
        <w:trPr>
          <w:trHeight w:val="23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special items, net</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020" w:type="dxa"/>
            <w:vAlign w:val="bottom"/>
            <w:tcBorders>
              <w:bottom w:val="single" w:sz="8" w:color="auto"/>
            </w:tcBorders>
          </w:tcPr>
          <w:p>
            <w:pPr>
              <w:spacing w:after="0"/>
              <w:rPr>
                <w:sz w:val="10"/>
                <w:szCs w:val="10"/>
                <w:color w:val="auto"/>
              </w:rPr>
            </w:pPr>
          </w:p>
        </w:tc>
        <w:tc>
          <w:tcPr>
            <w:tcW w:w="56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-1010920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jc w:val="both"/>
        <w:ind w:left="340" w:hanging="332"/>
        <w:spacing w:after="0" w:line="237"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nine months ended September 30, 2025 included a one-time charge for adjustments to vacation accruals resulting from pay rate increases effective January 1, 2025, related to the ratification of the contract extension in the fourth quarter of 2024 with American’s mainline maintenance and fleet service team members.</w:t>
      </w:r>
    </w:p>
    <w:p>
      <w:pPr>
        <w:spacing w:after="0" w:line="140" w:lineRule="exact"/>
        <w:rPr>
          <w:rFonts w:ascii="Arial" w:cs="Arial" w:eastAsia="Arial" w:hAnsi="Arial"/>
          <w:sz w:val="23"/>
          <w:szCs w:val="23"/>
          <w:color w:val="auto"/>
          <w:vertAlign w:val="superscript"/>
        </w:rPr>
      </w:pPr>
    </w:p>
    <w:p>
      <w:pPr>
        <w:jc w:val="both"/>
        <w:ind w:left="340"/>
        <w:spacing w:after="0" w:line="268"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nine months ended September 30, 2024 included one-time charges resulting from the ratification of a new collective bargaining agreement with American’s mainline flight attendants, including a one-time payment of $514 million, and from the ratification of a new collective bargaining agreement with American’s mainline passenger service team members.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7"/>
                <w:szCs w:val="17"/>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Increase</w:t>
            </w:r>
          </w:p>
        </w:tc>
        <w:tc>
          <w:tcPr>
            <w:tcW w:w="1480" w:type="dxa"/>
            <w:vAlign w:val="bottom"/>
          </w:tcPr>
          <w:p>
            <w:pPr>
              <w:jc w:val="center"/>
              <w:ind w:left="16"/>
              <w:spacing w:after="0"/>
              <w:rPr>
                <w:sz w:val="20"/>
                <w:szCs w:val="20"/>
                <w:color w:val="auto"/>
              </w:rPr>
            </w:pPr>
            <w:r>
              <w:rPr>
                <w:rFonts w:ascii="Arial" w:cs="Arial" w:eastAsia="Arial" w:hAnsi="Arial"/>
                <w:sz w:val="14"/>
                <w:szCs w:val="14"/>
                <w:b w:val="1"/>
                <w:bCs w:val="1"/>
                <w:color w:val="auto"/>
              </w:rPr>
              <w:t>Percent Increase</w:t>
            </w:r>
          </w:p>
        </w:tc>
      </w:tr>
      <w:tr>
        <w:trPr>
          <w:trHeight w:val="197"/>
        </w:trPr>
        <w:tc>
          <w:tcPr>
            <w:tcW w:w="5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(Decrease)</w:t>
            </w:r>
          </w:p>
        </w:tc>
      </w:tr>
      <w:tr>
        <w:trPr>
          <w:trHeight w:val="195"/>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(9.0)</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7"/>
              </w:rPr>
              <w:t>(12.5)</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nm</w:t>
            </w: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7"/>
              </w:rPr>
              <w:t>(24.2)</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-762635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-762635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-762635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Interest income decreased $73 million, or 9.0% in the first nine months of 2025 from the first nine months of 2024, primarily due to lower interest rates that reduced returns on American’s short-term investments. Interest expense, net decreased $193 million, or 12.5%, in the first nine months of 2025 from the first nine months of 2024, primarily due to lower interest rates on its variable-rate debt instruments and lower outstanding debt subsequent to the third quarter of 2024, as American continues its efforts to strengthen the balance sheet.</w:t>
      </w:r>
    </w:p>
    <w:p>
      <w:pPr>
        <w:spacing w:after="0" w:line="122"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 the first nine months of 2025, other nonoperating income, net included $46 million of net earnings related to American’s equity investments accounted for under the equity method and $39 million of non-service related pension and other postretirement benefit plan income, offset in part by $28 million of net special charges primarily for mark-to-market net unrealized losses associated with certain equity investments and debt refinancings and extinguishments.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 the first nine months of 2024, other nonoperating expense, net included $31 million of foreign currency losses, $30 million of net special charges primarily for mark-to-market net unrealized losses associated with certain equity investments and $27 million of net losses related to American’s equity investments accounted for under the equity method, offset in part by $75 million of non-service related pension and other postretirement benefit plan income.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In the first nine months of 2025, American recorded an income tax provision of $128 million. Substantially all of American’s income before income taxes is attributable to the United States.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September 30, 2025, AAG had $10.3 billion in total available liquidity and $760 million in restricted cash and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AAG</w:t>
            </w:r>
          </w:p>
        </w:tc>
        <w:tc>
          <w:tcPr>
            <w:tcW w:w="1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American</w:t>
            </w:r>
          </w:p>
        </w:tc>
        <w:tc>
          <w:tcPr>
            <w:tcW w:w="1580" w:type="dxa"/>
            <w:vAlign w:val="bottom"/>
            <w:tcBorders>
              <w:bottom w:val="single" w:sz="8" w:color="auto"/>
            </w:tcBorders>
          </w:tcPr>
          <w:p>
            <w:pPr>
              <w:spacing w:after="0"/>
              <w:rPr>
                <w:sz w:val="17"/>
                <w:szCs w:val="17"/>
                <w:color w:val="auto"/>
              </w:rPr>
            </w:pPr>
          </w:p>
        </w:tc>
      </w:tr>
      <w:tr>
        <w:trPr>
          <w:trHeight w:val="196"/>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2025</w:t>
            </w:r>
          </w:p>
        </w:tc>
        <w:tc>
          <w:tcPr>
            <w:tcW w:w="20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2025</w:t>
            </w:r>
          </w:p>
        </w:tc>
        <w:tc>
          <w:tcPr>
            <w:tcW w:w="260" w:type="dxa"/>
            <w:vAlign w:val="bottom"/>
          </w:tcPr>
          <w:p>
            <w:pPr>
              <w:spacing w:after="0"/>
              <w:rPr>
                <w:sz w:val="17"/>
                <w:szCs w:val="17"/>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6,177</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r>
      <w:tr>
        <w:trPr>
          <w:trHeight w:val="223"/>
        </w:trPr>
        <w:tc>
          <w:tcPr>
            <w:tcW w:w="350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10,261</w:t>
            </w: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our ability and that of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Our 5.50% senior secured notes due 2026, 5.75% senior secured notes due 2029 and the 2021 and 2025 AAdvantage Term Loan Facilities (collectively, the AAdvantage Financing) contain a peak debt service coverage ratio, pursuant to which failure to comply with a certain threshold may result in early repayment, in whole or in part, of the AAdvantage Financing. As of the most recent applicable measurement dates, we were in compliance with each of the foregoing covenants.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Our net cash provided by operating activities was $3.4 billion and $3.6 billion for the first nine months of 2025 and 2024, respectively, a $212 million period-over-period decrease driven primarily by lower profitability in the first nine months of 2025 as compared to the same period in 2024.</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$1.5 billion and $1.8 billion for the first nine months of 2025 and 2024, respectively.</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principal investing activities in the first nine months of 2025 included $2.1 billion of capital expenditures, which primarily related to the purchase of 13 Boeing 737 MAX aircraft, six Embraer E175 aircraft, five Bombardier CRJ900 aircraft, three Boeing 787-9 aircraft, two Airbus A321XLR aircraft, one Airbus A321neo aircraft, one Airbus A320 aircraft lease repurchase and seven aircraft engines. These cash outflows were offset in part by $328 million in net proceeds from the issuance of the TMAT special facility revenue bonds and $243 million in proceeds from sale-leaseback transactions and sale of property and equipment, which primarily related to the modernization of Terminals 4 and 5 at Los Angeles International Airport (LAX). Additionally, we had $143 million in net sales of short-term investments.</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investing activities in the first nine months of 2024 included $1.9 billion of capital expenditures, which primarily related to the purchase of 12 Embraer E175 aircraft, three Boeing 737 MAX aircraft, three Boeing 737-800 aircraft lease repurchases, two Airbus A321neo aircraft, 39 aircraft engines and aircraft purchase deposits. Additionally, we had $627 million in net purchases of short-term investments. These cash outflows were offset in part by $598 million of proceeds from sale-leaseback transactions and sale of property and equipment, which primarily related to the modernization of Terminals 4 and 5 at LAX.</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financing activities was $1.8 billion and $1.5 billion for the first nine months of 2025 and 2024, respectively.</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principal financing activities in the first nine months of 2025 primarily included $4.1 billion in debt and finance lease repayments, consisting of $3.3 billion in scheduled repayments, including the $1.0 billion cash settlement of AAG’s 6.50% convertible senior notes. Debt and finance lease repayments also included early repayments of $487 million for the outstanding principal amount of equipment notes issued under EETCs and $308 million toward portions of the outstanding principal amounts of the IP Notes and LGA/DCA Notes. These cash outflows were offset in part by $2.2 billion of proceeds from the issuance of long-term debt, consisting of $1.0 billion from the issuance of the 2025 AAdvantage Term Loan Facility and $1.2 billion from the issuance of equipment loans and other notes payable in connection with the financing of certain aircraft.</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principal financing activities in the first nine months of 2024 included $2.7 billion in scheduled repayments of debt and finance lease obligations. These cash outflows were offset in part by $1.3 billion of proceeds from issuance of long-term debt, consisting of $684 million from the issuance of EETCs in connection with the financing of certain aircraft that had been previously delivered and $571 million from the issuance of equipment loans and other notes payable.</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net cash provided by operating activities was $ 2.2 billion and $ 3.5 billion for the first nine months of 2025 and 2024, respectively, a $1.3 billion period-over-period decrease driven by a net increase in receivables from related parties, including the scheduled repayment of AAG’s $1.0 billion 6.50% convertible senior notes. Excluding this net increase in receivables from related parties, American’s operating cash flow decreased $198 million primarily due to lower profitability in the first nine months of 2025 as compared to the same period in 2024.</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$1.5 billion and $1.8 billion for the first nine months of 2025 and 2024,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American’s principal investing activities in the first nine months of 2025 included $2.1 billion of capital expenditures, which primarily related to the purchase of 13 Boeing 737 MAX aircraft, six Embraer E175 aircraft, five Bombardier CRJ900 aircraft, three Boeing 787-9 aircraft, two Airbus A321XLR aircraft, one Airbus A321neo aircraft, one Airbus A320 aircraft lease repurchase and seven aircraft engines. These cash outflows were offset in part by $328 million in net proceeds from the issuance of the TMAT special facility revenue bonds and $243 million in proceeds from sale-leaseback transactions and sale of property and equipment, which primarily related to the modernization of Terminals 4 and 5 at LAX. Additionally, American had $143 million in net sales of short-term investments.</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principal investing activities in the first nine months of 2024 included $1.9 billion of capital expenditures, which primarily related to the purchase of 12 Embraer E175 aircraft, three Boeing 737 MAX aircraft, three Boeing 737-800 aircraft lease repurchases, two Airbus A321neo aircraft, 39 aircraft engines and aircraft purchase deposits. Additionally, American had $626 million in net purchases of short-term investments. These cash outflows were offset in part by $ 598 million of proceeds from sale-leaseback transactions and sale of property and equipment, which primarily related to the modernization of Terminals 4 and 5 at LAX.</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financing activities was $737 million and $1.5 billion for the first nine months of 2025 and 2024, respectively.</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American’s principal financing activities in the first nine months of 2025 primarily included $ 3.1 billion in debt and finance lease repayments, consisting of $2.3 billion in scheduled repayments and early repayments of $487 million for the outstanding principal amount of equipment notes issued under EETCs and $308 million toward portions of the outstanding principal amounts of the IP Notes and LGA/DCA Notes. These cash outflows were offset in part by $2.2 billion of proceeds from the issuance of long-term debt, consisting of $1.0 billion from the issuance of the 2025 AAdvantage Term Loan Facility and $1.2 billion from the issuance of equipment loans and other notes payable in connection with the financing of certain aircraft.</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principal financing activities in the first nine months of 2024 included $2.7 billion in scheduled repayments of debt and finance lease obligations. These cash outflows were offset in part by $1.3 billion of proceeds from issuance of long-term debt, consisting of $684 million from the issuance of EETCs in connection with the financing of certain aircraft that had been previously delivered and $571 million from the issuance of equipment loans and other notes payable.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September 30, 2025, AAG had $28.4 billion in long-term debt, including current maturities of $3.5 billion. As of September 30, 2025, American had $24.6 billion in long-term debt, including current maturities of $3.5 billion. All material changes in our significant indebtedness since our 2024 Form 10-K are discussed in Note 5 to AAG’s Condensed Consolidated Financial Statements in Part I, Item 1A and Note 4 to American’s Condensed Consolidated Financial Statements in Part I, Item 1B.</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September 30, 2025, we had definitive purchase agreements for the acquisition of the following new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Remainder</w:t>
            </w:r>
          </w:p>
        </w:tc>
        <w:tc>
          <w:tcPr>
            <w:tcW w:w="11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1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2028 and</w:t>
            </w:r>
          </w:p>
        </w:tc>
        <w:tc>
          <w:tcPr>
            <w:tcW w:w="12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2025</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4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A320 Family</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4180" w:type="dxa"/>
            <w:vAlign w:val="bottom"/>
            <w:tcBorders>
              <w:bottom w:val="single" w:sz="8" w:color="CCEEFF"/>
            </w:tcBorders>
            <w:gridSpan w:val="2"/>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737 Family</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Embraer</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E175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0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73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0" w:type="dxa"/>
            <w:vAlign w:val="bottom"/>
          </w:tcPr>
          <w:p>
            <w:pPr>
              <w:jc w:val="right"/>
              <w:ind w:right="215"/>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13112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340" w:hanging="332"/>
        <w:spacing w:after="0" w:line="245"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 xml:space="preserve">Delivery schedule represents our best estimate as of the date of this report as described in footnote (d) to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Actual delivery dates are subject to change, which could be material, based on various potential factors including production delays by the manufacturer and regulatory concerns. See Part I, Item 1A. Risk Factors – </w:t>
      </w:r>
      <w:r>
        <w:rPr>
          <w:rFonts w:ascii="Arial" w:cs="Arial" w:eastAsia="Arial" w:hAnsi="Arial"/>
          <w:sz w:val="18"/>
          <w:szCs w:val="18"/>
          <w:i w:val="1"/>
          <w:iCs w:val="1"/>
          <w:color w:val="auto"/>
        </w:rPr>
        <w:t>“We depend on a limited number of suppliers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t>
      </w:r>
      <w:r>
        <w:rPr>
          <w:rFonts w:ascii="Arial" w:cs="Arial" w:eastAsia="Arial" w:hAnsi="Arial"/>
          <w:sz w:val="18"/>
          <w:szCs w:val="18"/>
          <w:color w:val="auto"/>
        </w:rPr>
        <w:t>in our 2024</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p>
    <w:p>
      <w:pPr>
        <w:spacing w:after="0" w:line="13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 xml:space="preserve">In addition, we have committed to purchase seven used Bombardier CRJ900 aircraft which are scheduled to be delivered from the fourth quarter of 2025 through 2026. We also have agreements for 49 spare engines to be delivered in the fourth quarter of 2025 and beyond. The </w:t>
      </w: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table below reflects these commitments.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intend to finance future aircraft deliveries and option exercises using long-term debt.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2024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table provides details of our estimated material cash requirements from contractual obligations as of September 30, 2025 (in millions). The table does not include commitments that are contingent on events or other factors that are uncertain or unknown at this time and is subject to other conventions as set forth in the applicable accompanying footnotes.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Remainder</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2030 and</w:t>
            </w:r>
          </w:p>
        </w:tc>
        <w:tc>
          <w:tcPr>
            <w:tcW w:w="22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2025</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25,111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175"/>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68"/>
        </w:trPr>
        <w:tc>
          <w:tcPr>
            <w:tcW w:w="4040" w:type="dxa"/>
            <w:vAlign w:val="bottom"/>
            <w:vMerge w:val="restart"/>
          </w:tcPr>
          <w:p>
            <w:pPr>
              <w:ind w:left="180"/>
              <w:spacing w:after="0"/>
              <w:rPr>
                <w:sz w:val="20"/>
                <w:szCs w:val="20"/>
                <w:color w:val="auto"/>
              </w:rPr>
            </w:pPr>
            <w:r>
              <w:rPr>
                <w:rFonts w:ascii="Arial" w:cs="Arial" w:eastAsia="Arial" w:hAnsi="Arial"/>
                <w:sz w:val="12"/>
                <w:szCs w:val="12"/>
                <w:color w:val="auto"/>
              </w:rPr>
              <w:t>(f)</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4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11,867</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83,333</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purchase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88,186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$317 million and $2 million of unamortized debt discount, premium and issuance costs as of September 30, 2025 for American and AAG Parent, respectively. For additional information, see Note 5 and Note 4 to AAG’s and American’s Condensed Consolidated Financial Statements in Part I, Items 1A and 1B, respectively.</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September 30, 2025.</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2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Includes $6.2 billion of future principal payments and $664 million of future interest payments as of September 30, 2025, related to EETCs associated with mortgage financings of certain aircraft and spare engines.</w:t>
      </w:r>
    </w:p>
    <w:p>
      <w:pPr>
        <w:spacing w:after="0" w:line="140"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above for additional information about the firm commitments for the acquisition of aircraft and engines, including the anticipated aircraft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manufacturer and regulatory concerns.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340" w:hanging="332"/>
        <w:spacing w:after="0" w:line="237" w:lineRule="auto"/>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line above.</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29"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and expected contributions to our retiree medical and other postretirement plans based on actuarially determined estimates as of December 31, 2024 and is based on estimated payments through 2034. During the first nine months of 2025, we made required contributions of $224 million to our defined benefit pension plans.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and information technology support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governmental actions, military actions, terrorism, disease outbreaks, natural disasters or other causes could reduce the demand for air travel, which would reduce the amount of cash generated by operations. See Part I, Item 1A. Risk Factors – </w:t>
      </w:r>
      <w:r>
        <w:rPr>
          <w:rFonts w:ascii="Arial" w:cs="Arial" w:eastAsia="Arial" w:hAnsi="Arial"/>
          <w:sz w:val="18"/>
          <w:szCs w:val="18"/>
          <w:i w:val="1"/>
          <w:iCs w:val="1"/>
          <w:color w:val="auto"/>
        </w:rPr>
        <w:t>“Downturns in economic conditions could adversely affect our business”</w:t>
      </w:r>
      <w:r>
        <w:rPr>
          <w:rFonts w:ascii="Arial" w:cs="Arial" w:eastAsia="Arial" w:hAnsi="Arial"/>
          <w:sz w:val="18"/>
          <w:szCs w:val="18"/>
          <w:color w:val="auto"/>
        </w:rPr>
        <w:t xml:space="preserve"> in our 2024 Form 10-K for additional discussion. An increase in costs, either due to an increase in borrowing costs caused by a reduction in credit ratings or a general increase in interest rates, due to an increase in the cost of fuel, maintenance, aircraft, aircraft engines or parts, or due to an increase in tariffs,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 and the amounts involved may be material.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 xml:space="preserve">For information regarding our critical accounting policies and estimates, see Part II, Item 7. Management’s Discussion and Analysis of Financial Condition and Results of Operations –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xml:space="preserve"> in our 2024 Form 10-K.</w:t>
      </w:r>
    </w:p>
    <w:p>
      <w:pPr>
        <w:spacing w:after="0" w:line="180" w:lineRule="exact"/>
        <w:rPr>
          <w:sz w:val="20"/>
          <w:szCs w:val="20"/>
          <w:color w:val="auto"/>
        </w:rPr>
      </w:pPr>
    </w:p>
    <w:p>
      <w:pPr>
        <w:ind w:right="4240"/>
        <w:spacing w:after="0" w:line="344"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spacing w:after="0" w:line="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2024 Form 10-K except as updated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6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September 30, 2025,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Based on our 2025 forecasted fuel consumption, we estimate that a one cent per gallon increase in the price of aircraft fuel would increase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 xml:space="preserve">our 2025 annual fuel expense by approximately $ 45 million. See Part I, Item 1A. Risk Factors – </w:t>
      </w:r>
      <w:r>
        <w:rPr>
          <w:rFonts w:ascii="Arial" w:cs="Arial" w:eastAsia="Arial" w:hAnsi="Arial"/>
          <w:sz w:val="17"/>
          <w:szCs w:val="17"/>
          <w:i w:val="1"/>
          <w:iCs w:val="1"/>
          <w:color w:val="auto"/>
        </w:rPr>
        <w:t>“Our business is very dependent on the price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availability of aircraft fuel. Continued periods of high volatility in fuel costs, increased fuel prices or significant disruptions in the supply of aircraft fuel could have a significant negative impact on consumer demand, our operating results and liquidity” </w:t>
      </w:r>
      <w:r>
        <w:rPr>
          <w:rFonts w:ascii="Arial" w:cs="Arial" w:eastAsia="Arial" w:hAnsi="Arial"/>
          <w:sz w:val="17"/>
          <w:szCs w:val="17"/>
          <w:color w:val="auto"/>
        </w:rPr>
        <w:t>in our 2024 Form 10-K</w:t>
      </w:r>
      <w:r>
        <w:rPr>
          <w:rFonts w:ascii="Arial" w:cs="Arial" w:eastAsia="Arial" w:hAnsi="Arial"/>
          <w:sz w:val="17"/>
          <w:szCs w:val="17"/>
          <w:i w:val="1"/>
          <w:iCs w:val="1"/>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Canadian dollar, British pound sterling and various Latin American currencies (primarily the Brazilian real). We do not currently have a foreign currency hedge program.</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devaluations or imposition of more stringent repatriation restrictions, may materially adversely affect our business, results of operations and financial condition. See Part I, Item 1A. Risk Factors – </w:t>
      </w:r>
      <w:r>
        <w:rPr>
          <w:rFonts w:ascii="Arial" w:cs="Arial" w:eastAsia="Arial" w:hAnsi="Arial"/>
          <w:sz w:val="18"/>
          <w:szCs w:val="18"/>
          <w:i w:val="1"/>
          <w:iCs w:val="1"/>
          <w:color w:val="auto"/>
        </w:rPr>
        <w:t>“We operate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in our 2024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September 30, 2025 variable-rate debt and short-term investments balances, annual interest expense on variable rate debt would increase by approximately $130 million and annual interest income on short-term investments would increase by approximately $70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September 30, 2025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September 30, 2025 at the reasonable assurance level.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quarter ended September 30, 2025, there have been no changes in AAG’s or American’s internal control over financial reporting that have materially affected, or are reasonably likely to materially affect, AAG’s and American’s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September 30, 2025.</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12 to each of AAG and American’s Condensed Consolidated Financial Statements in Part I, Item 1A and Part I, Item 1B, respectively, for information on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There have been no material changes in our risk factors as previously disclosed in Part I, Item 1A in our 2024 Form 10-K. The risks in our 2024 Form 10-K are not the only risks facing AAG and American. Additional risks and uncertainties not currently known to us, or that we currently deem to be immaterial, could also materially adversely affect our business, financial condition or future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Securities Trading Plans of Directors and Executive Officers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July 28, 2025, David G. Seymour, Executive Vice President and Chief Operating Officer, adopted a Rule 10b5-1 trading agreement that is intended to satisfy the affirmative defense of Rule 10b5-1(c) for the sale of up to 363,193 shares of AAG’s common stock until July 30, 2027.</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than noted above, during the quarter ended September 30, 2025, none of our directors or “officers” (as defined in Rule 16a-1(f) under the Exchange Act) adopted or terminated any contract, instruction or written plan for the purchase or sale of AAG securities that was intended to satisfy the affirmative defense conditions of Rule 10b5-1(c) or any “non-Rule 10b5-1 trading arrangement.”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6"/>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760" w:right="200" w:hanging="741"/>
        <w:spacing w:after="0" w:line="266"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44">
        <w:r>
          <w:rPr>
            <w:rFonts w:ascii="Arial" w:cs="Arial" w:eastAsia="Arial" w:hAnsi="Arial"/>
            <w:sz w:val="18"/>
            <w:szCs w:val="18"/>
            <w:u w:val="single" w:color="auto"/>
            <w:color w:val="0000FF"/>
          </w:rPr>
          <w:t>Fifth Amended and Restated Bylaws of American Airlines Group Inc. (incorporated by reference to Exhibit 3.1 to American</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Airlines Group Inc.’s Current Report on Form 8-K filed on August 7, 2025 (Commission File No. 1-8400)).</w:t>
        </w:r>
      </w:hyperlink>
    </w:p>
    <w:p>
      <w:pPr>
        <w:ind w:left="2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AAG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AAG Chief Financial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u w:val="single" w:color="auto"/>
          <w:color w:val="0000FF"/>
        </w:rPr>
        <w:t>Certification of American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u w:val="single" w:color="auto"/>
          <w:color w:val="0000FF"/>
        </w:rPr>
        <w:t>Certification of American Chief Financial Officer pursuant to Rule 13a-14(a).</w:t>
      </w:r>
    </w:p>
    <w:p>
      <w:pPr>
        <w:spacing w:after="0" w:line="50" w:lineRule="exact"/>
        <w:rPr>
          <w:sz w:val="20"/>
          <w:szCs w:val="20"/>
          <w:color w:val="auto"/>
        </w:rPr>
      </w:pP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AAG Certification pursuant to Rule 13a-14(b) and section 906 of the Sarbanes-Oxley Act of 2002 (subsections (a) and (b) of section 1350, chapter 63 of title 18, United States Code).</w:t>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American Certification pursuant to Rule 13a-14(b) and section 906 of the Sarbanes-Oxley Act of 2002 (subsections (a) and (b) of section 1350, chapter 63 of title 18, United States Code).</w:t>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101.1</w:t>
        <w:tab/>
        <w:t>Interactive data files pursuant to Rule 405 of Regulation S-T, formatted in Inline XBRL (eXtensible Business Reporting Language).</w:t>
      </w:r>
    </w:p>
    <w:p>
      <w:pPr>
        <w:ind w:left="20"/>
        <w:spacing w:after="0"/>
        <w:tabs>
          <w:tab w:leader="none" w:pos="740" w:val="left"/>
        </w:tabs>
        <w:rPr>
          <w:sz w:val="20"/>
          <w:szCs w:val="20"/>
          <w:color w:val="auto"/>
        </w:rPr>
      </w:pPr>
      <w:r>
        <w:rPr>
          <w:rFonts w:ascii="Arial" w:cs="Arial" w:eastAsia="Arial" w:hAnsi="Arial"/>
          <w:sz w:val="18"/>
          <w:szCs w:val="18"/>
          <w:color w:val="auto"/>
        </w:rPr>
        <w:t>104.1</w:t>
        <w:tab/>
        <w:t>Cover page interactive data file (formatted in Inline XBRL and contained in Exhibit 101.1).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October 23,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4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October 23,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2025</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17780</wp:posOffset>
            </wp:positionV>
            <wp:extent cx="23831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9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2025</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7"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0" w:right="33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2025</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17780</wp:posOffset>
            </wp:positionV>
            <wp:extent cx="23742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9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2025</w:t>
      </w:r>
    </w:p>
    <w:p>
      <w:pPr>
        <w:spacing w:after="0" w:line="200" w:lineRule="exact"/>
        <w:rPr>
          <w:sz w:val="20"/>
          <w:szCs w:val="20"/>
          <w:color w:val="auto"/>
        </w:rPr>
      </w:pPr>
    </w:p>
    <w:p>
      <w:pPr>
        <w:spacing w:after="0" w:line="29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7"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0" w:right="33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September 30, 2025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23, 2025</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23, 2025</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90"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September 30, 2025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23, 2025</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23, 2025</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4"/>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lvl w:ilvl="1">
      <w:lvlJc w:val="left"/>
      <w:lvlText w:val="(%2)"/>
      <w:numFmt w:val="lowerLetter"/>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3"/>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lowerLetter"/>
      <w:start w:val="5"/>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44" Type="http://schemas.openxmlformats.org/officeDocument/2006/relationships/hyperlink" Target="https://www.sec.gov/Archives/edgar/data/6201/000000620125000042/a8-k08062025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2025-10-23T06:18:07Z</dcterms:created>
  <dcterms:modified xsi:type="dcterms:W3CDTF">2025-10-23T06:18:07Z</dcterms:modified>
</cp:coreProperties>
</file>